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 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from__________ to __________</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No.: 000-09881 </w:t>
      </w:r>
    </w:p>
    <w:p>
      <w:pPr>
        <w:pStyle w:val="TextBody"/>
        <w:bidi w:val="0"/>
        <w:spacing w:before="0" w:after="0"/>
        <w:jc w:val="center"/>
        <w:rPr/>
      </w:pPr>
      <w:r>
        <w:rPr/>
      </w:r>
    </w:p>
    <w:p>
      <w:pPr>
        <w:pStyle w:val="TextBody"/>
        <w:bidi w:val="0"/>
        <w:spacing w:before="0" w:after="0"/>
        <w:jc w:val="center"/>
        <w:rPr/>
      </w:pPr>
      <w:r>
        <w:rPr/>
        <w:drawing>
          <wp:inline distT="0" distB="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SHENANDOAH TELECOMMUNICATIONS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1"/>
        <w:gridCol w:w="1581"/>
        <w:gridCol w:w="1593"/>
        <w:gridCol w:w="109"/>
        <w:gridCol w:w="109"/>
        <w:gridCol w:w="109"/>
        <w:gridCol w:w="884"/>
        <w:gridCol w:w="884"/>
        <w:gridCol w:w="1261"/>
      </w:tblGrid>
      <w:tr>
        <w:trPr/>
        <w:tc>
          <w:tcPr>
            <w:tcW w:w="17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54-1162807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500 Shentel Way, Edinburg, Virginia    22824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(540) 984-4141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66"/>
        <w:gridCol w:w="587"/>
        <w:gridCol w:w="589"/>
        <w:gridCol w:w="389"/>
        <w:gridCol w:w="389"/>
        <w:gridCol w:w="395"/>
        <w:gridCol w:w="794"/>
        <w:gridCol w:w="785"/>
        <w:gridCol w:w="788"/>
        <w:gridCol w:w="1408"/>
        <w:gridCol w:w="1408"/>
        <w:gridCol w:w="2007"/>
      </w:tblGrid>
      <w:tr>
        <w:trPr/>
        <w:tc>
          <w:tcPr>
            <w:tcW w:w="6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SHEN</w:t>
            </w:r>
          </w:p>
        </w:tc>
        <w:tc>
          <w:tcPr>
            <w:tcW w:w="2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54,898,139</w:t>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Class)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2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c>
          <w:tcPr>
            <w:tcW w:w="4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on October 24, 2025)</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8"/>
        <w:gridCol w:w="530"/>
        <w:gridCol w:w="109"/>
        <w:gridCol w:w="109"/>
        <w:gridCol w:w="109"/>
        <w:gridCol w:w="428"/>
        <w:gridCol w:w="428"/>
        <w:gridCol w:w="430"/>
        <w:gridCol w:w="109"/>
        <w:gridCol w:w="109"/>
        <w:gridCol w:w="109"/>
        <w:gridCol w:w="518"/>
        <w:gridCol w:w="518"/>
        <w:gridCol w:w="520"/>
        <w:gridCol w:w="109"/>
        <w:gridCol w:w="109"/>
        <w:gridCol w:w="109"/>
        <w:gridCol w:w="666"/>
        <w:gridCol w:w="666"/>
        <w:gridCol w:w="669"/>
        <w:gridCol w:w="109"/>
        <w:gridCol w:w="109"/>
        <w:gridCol w:w="109"/>
        <w:gridCol w:w="671"/>
        <w:gridCol w:w="671"/>
        <w:gridCol w:w="674"/>
        <w:gridCol w:w="109"/>
        <w:gridCol w:w="109"/>
        <w:gridCol w:w="161"/>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before="0" w:after="0"/>
        <w:ind w:left="0" w:right="0" w:firstLine="900"/>
        <w:jc w:val="left"/>
        <w:rPr/>
      </w:pPr>
      <w:r>
        <w:rPr/>
      </w:r>
    </w:p>
    <w:tbl>
      <w:tblPr>
        <w:tblW w:w="9680" w:type="dxa"/>
        <w:jc w:val="left"/>
        <w:tblInd w:w="0" w:type="dxa"/>
        <w:tblLayout w:type="fixed"/>
        <w:tblCellMar>
          <w:top w:w="28" w:type="dxa"/>
          <w:left w:w="28" w:type="dxa"/>
          <w:bottom w:w="28" w:type="dxa"/>
          <w:right w:w="28" w:type="dxa"/>
        </w:tblCellMar>
      </w:tblPr>
      <w:tblGrid>
        <w:gridCol w:w="299"/>
        <w:gridCol w:w="262"/>
        <w:gridCol w:w="263"/>
        <w:gridCol w:w="2609"/>
        <w:gridCol w:w="2609"/>
        <w:gridCol w:w="2612"/>
        <w:gridCol w:w="109"/>
        <w:gridCol w:w="109"/>
        <w:gridCol w:w="109"/>
        <w:gridCol w:w="109"/>
        <w:gridCol w:w="109"/>
        <w:gridCol w:w="109"/>
        <w:gridCol w:w="109"/>
        <w:gridCol w:w="109"/>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br/>
              <w:t>Numbers</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6">
              <w:r>
                <w:rPr>
                  <w:rStyle w:val="InternetLink"/>
                  <w:rFonts w:ascii="Times New Roman;serif" w:hAnsi="Times New Roman;serif"/>
                  <w:b w:val="false"/>
                  <w:color w:val="0000FF"/>
                  <w:sz w:val="20"/>
                  <w:u w:val="single"/>
                </w:rPr>
                <w:t>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9">
              <w:r>
                <w:rPr>
                  <w:rStyle w:val="InternetLink"/>
                  <w:rFonts w:ascii="Times New Roman;serif" w:hAnsi="Times New Roman;serif"/>
                  <w:b w:val="false"/>
                  <w:color w:val="0000FF"/>
                  <w:sz w:val="20"/>
                  <w:u w:val="single"/>
                </w:rPr>
                <w:t>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Comprehensive (Loss) Income</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22">
              <w:r>
                <w:rPr>
                  <w:rStyle w:val="InternetLink"/>
                  <w:rFonts w:ascii="Times New Roman;serif" w:hAnsi="Times New Roman;serif"/>
                  <w:b w:val="false"/>
                  <w:color w:val="0000FF"/>
                  <w:sz w:val="20"/>
                  <w:u w:val="single"/>
                </w:rPr>
                <w:t>5</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Temporary Equity and Shareholders’ Equity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25">
              <w:r>
                <w:rPr>
                  <w:rStyle w:val="InternetLink"/>
                  <w:rFonts w:ascii="Times New Roman;serif" w:hAnsi="Times New Roman;serif"/>
                  <w:b w:val="false"/>
                  <w:color w:val="0000FF"/>
                  <w:sz w:val="20"/>
                  <w:u w:val="single"/>
                </w:rPr>
                <w:t>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Cash Flows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28">
              <w:r>
                <w:rPr>
                  <w:rStyle w:val="InternetLink"/>
                  <w:rFonts w:ascii="Times New Roman;serif" w:hAnsi="Times New Roman;serif"/>
                  <w:b w:val="false"/>
                  <w:color w:val="0000FF"/>
                  <w:sz w:val="20"/>
                  <w:u w:val="single"/>
                </w:rPr>
                <w:t>8</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31">
              <w:r>
                <w:rPr>
                  <w:rStyle w:val="InternetLink"/>
                  <w:rFonts w:ascii="Times New Roman;serif" w:hAnsi="Times New Roman;serif"/>
                  <w:b w:val="false"/>
                  <w:color w:val="0000FF"/>
                  <w:sz w:val="20"/>
                  <w:u w:val="single"/>
                </w:rPr>
                <w:t>9</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91">
              <w:r>
                <w:rPr>
                  <w:rStyle w:val="InternetLink"/>
                  <w:rFonts w:ascii="Times New Roman;serif" w:hAnsi="Times New Roman;serif"/>
                  <w:b w:val="false"/>
                  <w:color w:val="0000FF"/>
                  <w:sz w:val="20"/>
                  <w:u w:val="single"/>
                </w:rPr>
                <w:t>24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09">
              <w:r>
                <w:rPr>
                  <w:rStyle w:val="InternetLink"/>
                  <w:rFonts w:ascii="Times New Roman;serif" w:hAnsi="Times New Roman;serif"/>
                  <w:b w:val="false"/>
                  <w:color w:val="0000FF"/>
                  <w:sz w:val="20"/>
                  <w:u w:val="single"/>
                </w:rPr>
                <w:t>32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12">
              <w:r>
                <w:rPr>
                  <w:rStyle w:val="InternetLink"/>
                  <w:rFonts w:ascii="Times New Roman;serif" w:hAnsi="Times New Roman;serif"/>
                  <w:b w:val="false"/>
                  <w:color w:val="0000FF"/>
                  <w:sz w:val="20"/>
                  <w:u w:val="single"/>
                </w:rPr>
                <w:t>32</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18">
              <w:r>
                <w:rPr>
                  <w:rStyle w:val="InternetLink"/>
                  <w:rFonts w:ascii="Times New Roman;serif" w:hAnsi="Times New Roman;serif"/>
                  <w:b w:val="false"/>
                  <w:color w:val="0000FF"/>
                  <w:sz w:val="20"/>
                  <w:u w:val="single"/>
                </w:rPr>
                <w:t>33</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21">
              <w:r>
                <w:rPr>
                  <w:rStyle w:val="InternetLink"/>
                  <w:rFonts w:ascii="Times New Roman;serif" w:hAnsi="Times New Roman;serif"/>
                  <w:b w:val="false"/>
                  <w:color w:val="0000FF"/>
                  <w:sz w:val="20"/>
                  <w:u w:val="single"/>
                </w:rPr>
                <w:t>33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24">
              <w:r>
                <w:rPr>
                  <w:rStyle w:val="InternetLink"/>
                  <w:rFonts w:ascii="Times New Roman;serif" w:hAnsi="Times New Roman;serif"/>
                  <w:b w:val="false"/>
                  <w:color w:val="0000FF"/>
                  <w:sz w:val="20"/>
                  <w:u w:val="single"/>
                </w:rPr>
                <w:t>33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27">
              <w:r>
                <w:rPr>
                  <w:rStyle w:val="InternetLink"/>
                  <w:rFonts w:ascii="Times New Roman;serif" w:hAnsi="Times New Roman;serif"/>
                  <w:b w:val="false"/>
                  <w:color w:val="0000FF"/>
                  <w:sz w:val="20"/>
                  <w:u w:val="single"/>
                </w:rPr>
                <w:t>33</w:t>
              </w:r>
            </w:hyperlink>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30">
              <w:r>
                <w:rPr>
                  <w:rStyle w:val="InternetLink"/>
                  <w:rFonts w:ascii="Times New Roman;serif" w:hAnsi="Times New Roman;serif"/>
                  <w:b w:val="false"/>
                  <w:color w:val="0000FF"/>
                  <w:sz w:val="20"/>
                  <w:u w:val="single"/>
                </w:rPr>
                <w:t>34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9ce08fae08e54eafaa8579d78431e04a_133">
              <w:r>
                <w:rPr>
                  <w:rStyle w:val="InternetLink"/>
                  <w:rFonts w:ascii="Times New Roman;serif" w:hAnsi="Times New Roman;serif"/>
                  <w:b w:val="false"/>
                  <w:color w:val="0000FF"/>
                  <w:sz w:val="20"/>
                  <w:u w:val="single"/>
                </w:rPr>
                <w:t>35</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902"/>
        <w:gridCol w:w="2273"/>
        <w:gridCol w:w="2290"/>
        <w:gridCol w:w="198"/>
        <w:gridCol w:w="882"/>
        <w:gridCol w:w="110"/>
        <w:gridCol w:w="109"/>
        <w:gridCol w:w="109"/>
        <w:gridCol w:w="109"/>
        <w:gridCol w:w="196"/>
        <w:gridCol w:w="871"/>
        <w:gridCol w:w="156"/>
      </w:tblGrid>
      <w:tr>
        <w:trPr/>
        <w:tc>
          <w:tcPr>
            <w:tcW w:w="2902"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$1,241 and $1,156, respectively</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1,571,726 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1,438,538 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157,386 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1,850,424 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1,740,273 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 net of unamortized loan fees</w:t>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135,401 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524,019 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407,675 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obligations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211,370 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216,980 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 authorized 96,000; 54,898 and 54,605 issued and outstanding at September 30, 2025 and December 31, 2024, respectively</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155,390 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736,935 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768,997 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net of taxes</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892,678 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918,583 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1,850,424 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1,740,273 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08"/>
        <w:gridCol w:w="1336"/>
        <w:gridCol w:w="1343"/>
        <w:gridCol w:w="228"/>
        <w:gridCol w:w="821"/>
        <w:gridCol w:w="127"/>
        <w:gridCol w:w="127"/>
        <w:gridCol w:w="127"/>
        <w:gridCol w:w="127"/>
        <w:gridCol w:w="228"/>
        <w:gridCol w:w="754"/>
        <w:gridCol w:w="127"/>
        <w:gridCol w:w="127"/>
        <w:gridCol w:w="127"/>
        <w:gridCol w:w="127"/>
        <w:gridCol w:w="228"/>
        <w:gridCol w:w="860"/>
        <w:gridCol w:w="127"/>
        <w:gridCol w:w="127"/>
        <w:gridCol w:w="127"/>
        <w:gridCol w:w="127"/>
        <w:gridCol w:w="228"/>
        <w:gridCol w:w="860"/>
        <w:gridCol w:w="187"/>
      </w:tblGrid>
      <w:tr>
        <w:trPr/>
        <w:tc>
          <w:tcPr>
            <w:tcW w:w="160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UNAUDITED CONDENSED CONSOLIDATED STATEMENTS OF OPERATIONS</w:t>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89,796 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87,599 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266,262 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242,646 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98,038 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94,941 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34,492 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70,703 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96,960 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91,775 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288,626 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265,483 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(22,364)</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(22,837)</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(6,789)</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(11,740)</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 before income taxes</w:t>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(12,364)</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(34,711)</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(29,935)</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(27,570)</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(22,167)</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the sale of discontinued operations, net of tax</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216,805 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discontinued operations, net of tax</w:t>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218,728 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0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(27,570)</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196,561 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common shareholders</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(10,913)</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(6,901)</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(32,062)</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194,923 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 attributable to common shareholders, basic and diluted:</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49"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55,150 </w:t>
            </w:r>
          </w:p>
        </w:tc>
        <w:tc>
          <w:tcPr>
            <w:tcW w:w="12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54,781 </w:t>
            </w:r>
          </w:p>
        </w:tc>
        <w:tc>
          <w:tcPr>
            <w:tcW w:w="12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55,083 </w:t>
            </w:r>
          </w:p>
        </w:tc>
        <w:tc>
          <w:tcPr>
            <w:tcW w:w="12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53,370 </w:t>
            </w:r>
          </w:p>
        </w:tc>
        <w:tc>
          <w:tcPr>
            <w:tcW w:w="18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82"/>
        <w:gridCol w:w="1097"/>
        <w:gridCol w:w="1048"/>
        <w:gridCol w:w="265"/>
        <w:gridCol w:w="952"/>
        <w:gridCol w:w="147"/>
        <w:gridCol w:w="147"/>
        <w:gridCol w:w="147"/>
        <w:gridCol w:w="147"/>
        <w:gridCol w:w="265"/>
        <w:gridCol w:w="831"/>
        <w:gridCol w:w="147"/>
        <w:gridCol w:w="147"/>
        <w:gridCol w:w="147"/>
        <w:gridCol w:w="147"/>
        <w:gridCol w:w="265"/>
        <w:gridCol w:w="952"/>
        <w:gridCol w:w="147"/>
        <w:gridCol w:w="147"/>
        <w:gridCol w:w="147"/>
        <w:gridCol w:w="147"/>
        <w:gridCol w:w="265"/>
        <w:gridCol w:w="999"/>
        <w:gridCol w:w="220"/>
      </w:tblGrid>
      <w:tr>
        <w:trPr/>
        <w:tc>
          <w:tcPr>
            <w:tcW w:w="128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COMPREHENSIVE (LOSS) INCOME</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(27,570)</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196,561 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 (loss)</w:t>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(10,037)</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(29,070)</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195,896 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1,638 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common shareholders</w:t>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(11,560)</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(9,303)</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(33,562)</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194,258 </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10636"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79"/>
        <w:gridCol w:w="267"/>
        <w:gridCol w:w="196"/>
        <w:gridCol w:w="109"/>
        <w:gridCol w:w="109"/>
        <w:gridCol w:w="109"/>
        <w:gridCol w:w="196"/>
        <w:gridCol w:w="736"/>
        <w:gridCol w:w="109"/>
        <w:gridCol w:w="109"/>
        <w:gridCol w:w="109"/>
        <w:gridCol w:w="109"/>
        <w:gridCol w:w="196"/>
        <w:gridCol w:w="736"/>
        <w:gridCol w:w="109"/>
        <w:gridCol w:w="109"/>
        <w:gridCol w:w="109"/>
        <w:gridCol w:w="109"/>
        <w:gridCol w:w="276"/>
        <w:gridCol w:w="785"/>
        <w:gridCol w:w="155"/>
        <w:gridCol w:w="109"/>
        <w:gridCol w:w="109"/>
        <w:gridCol w:w="109"/>
        <w:gridCol w:w="249"/>
        <w:gridCol w:w="753"/>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3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tc>
      </w:tr>
      <w:tr>
        <w:trPr/>
        <w:tc>
          <w:tcPr>
            <w:tcW w:w="1063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TEMPORARY EQUITY AND SHAREHOLDERS' EQUITY</w:t>
            </w:r>
          </w:p>
        </w:tc>
      </w:tr>
      <w:tr>
        <w:trPr/>
        <w:tc>
          <w:tcPr>
            <w:tcW w:w="10636"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54,897 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747,848 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901,964 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736,935 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br/>
              <w:t>(no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736,935 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10696"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203"/>
        <w:gridCol w:w="203"/>
        <w:gridCol w:w="196"/>
        <w:gridCol w:w="109"/>
        <w:gridCol w:w="109"/>
        <w:gridCol w:w="109"/>
        <w:gridCol w:w="196"/>
        <w:gridCol w:w="646"/>
        <w:gridCol w:w="109"/>
        <w:gridCol w:w="109"/>
        <w:gridCol w:w="109"/>
        <w:gridCol w:w="109"/>
        <w:gridCol w:w="109"/>
        <w:gridCol w:w="109"/>
        <w:gridCol w:w="109"/>
        <w:gridCol w:w="391"/>
        <w:gridCol w:w="255"/>
        <w:gridCol w:w="256"/>
        <w:gridCol w:w="109"/>
        <w:gridCol w:w="109"/>
        <w:gridCol w:w="109"/>
        <w:gridCol w:w="196"/>
        <w:gridCol w:w="736"/>
        <w:gridCol w:w="109"/>
        <w:gridCol w:w="109"/>
        <w:gridCol w:w="109"/>
        <w:gridCol w:w="109"/>
        <w:gridCol w:w="196"/>
        <w:gridCol w:w="736"/>
        <w:gridCol w:w="109"/>
        <w:gridCol w:w="109"/>
        <w:gridCol w:w="109"/>
        <w:gridCol w:w="109"/>
        <w:gridCol w:w="276"/>
        <w:gridCol w:w="785"/>
        <w:gridCol w:w="155"/>
        <w:gridCol w:w="109"/>
        <w:gridCol w:w="109"/>
        <w:gridCol w:w="109"/>
        <w:gridCol w:w="208"/>
        <w:gridCol w:w="783"/>
        <w:gridCol w:w="165"/>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785,893 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933,082 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(5,263)</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54,573 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778,992 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925,358 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652,670 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196,561 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71,862 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54,573 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778,992 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925,358 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9233" w:type="dxa"/>
        <w:jc w:val="left"/>
        <w:tblInd w:w="0" w:type="dxa"/>
        <w:tblLayout w:type="fixed"/>
        <w:tblCellMar>
          <w:top w:w="28" w:type="dxa"/>
          <w:left w:w="28" w:type="dxa"/>
          <w:bottom w:w="28" w:type="dxa"/>
          <w:right w:w="28" w:type="dxa"/>
        </w:tblCellMar>
      </w:tblPr>
      <w:tblGrid>
        <w:gridCol w:w="2463"/>
        <w:gridCol w:w="2164"/>
        <w:gridCol w:w="2167"/>
        <w:gridCol w:w="196"/>
        <w:gridCol w:w="721"/>
        <w:gridCol w:w="109"/>
        <w:gridCol w:w="109"/>
        <w:gridCol w:w="109"/>
        <w:gridCol w:w="109"/>
        <w:gridCol w:w="196"/>
        <w:gridCol w:w="73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UNAUDITED CONDENSED CONSOLIDATED STATEMENTS OF CASH FLOWS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provided by operating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of amount capitalized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of business acquisition:</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deferrals and accruals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 - discontinued operations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grants received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escrow related to business acquisition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disbursed for acquisitions, net of cash acquired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continuing operations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(560,923)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 - discontinued operations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(255,096)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 borrowings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and amendment costs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redeemable noncontrolling interest, net of financing fees paid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for equity award issuances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arrangements and other</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(96,156)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 net of amounts capitalized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(6,657)</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 Basis of Presentation and Other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digital subscriber line (“DSL”) services as a Rural Local Exchange Carrier (“RLEC”) to customers in Shenandoah County and portions of adjacent counties in Virginia, and in Ross County and portions of adjacent counties in Ohio. These integrated networks are connected by a fiber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serif" w:hAnsi="Times New Roman;serif"/>
          <w:b w:val="false"/>
          <w:color w:val="000000"/>
          <w:sz w:val="20"/>
        </w:rPr>
        <w:t>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 xml:space="preserve">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estimates and assumptions, including, but not limited to, revenue recognition, stock-based compensation, estimated useful lives of assets, impairment of goodwill and indefinite-lived intangible assets, intangible assets subject to amortization, the computation of income taxes and the fair value of interest rate swaps.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In October 2023, the Financial Accounting Standards Board (“FASB”) issued Accounting Standards Update (“ASU”) 2023-06, “Disclosure Improvements: Codification Amendments in Response to the Securities and Exchange Commission’s (“SEC”) Disclosure Update and Simplification Initiative,” (“ASU 2023-06”), which aligns the disclosure and presentation requirements of a variety of the FASB’s </w:t>
      </w:r>
      <w:r>
        <w:rPr>
          <w:rFonts w:ascii="Times New Roman;serif" w:hAnsi="Times New Roman;serif"/>
          <w:b w:val="false"/>
          <w:color w:val="000000"/>
          <w:sz w:val="20"/>
        </w:rPr>
        <w:t>Accounting Standards Codification (“ASC”)</w:t>
      </w:r>
      <w:r>
        <w:rPr>
          <w:color w:val="212529"/>
        </w:rPr>
        <w:t xml:space="preserve"> </w:t>
      </w:r>
      <w:r>
        <w:rPr>
          <w:rFonts w:ascii="Times New Roman;serif" w:hAnsi="Times New Roman;serif"/>
          <w:b w:val="false"/>
          <w:color w:val="212529"/>
          <w:sz w:val="20"/>
        </w:rPr>
        <w:t>Topics with the requirements described in the SEC’s Disclosure Update and Simplification Initiative. ASU 2023-06 will become effective for each amendment on the effective date of the SEC’s corresponding disclosure rule changes; these dates are unknown as of this filing. The Company is currently assessing the impact of adopting ASU 2023-06 on the consolidated financial statements and related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FASB issued ASU 2023-09 “Income Taxes (Topic 740), Improvements to Income Tax Disclosures” (“ASU 2023-09”). This accounting update requires public entities, on an annual basis, to provide disclosure of specific categories in the rate reconciliation, as well as disclosure of income taxes paid disaggregated by jurisdiction. The updated disclosure requirements are to be adopted for annual periods beginning after December 15, 2024. The Company does not anticipate adoption of ASU 2023-09 will have a material impact on the financial position, results of operations, cash flows or disclosures, but expects certain changes to disclosures including disclosure of a rate reconciliation between the amount of reported income tax expense or benefit and the United States statutory rate and disclosure of income taxes paid disaggregated by jurisdiction.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In November 2024, FASB issued ASU 2024-03 “Income Statement—Reporting Comprehensive Income—Expense Disaggregation Disclosures (Subtopic 220-40)” (“ASU 2024-03”). This accounting update requires disclosure of disaggregated expense in prescribed categories underlying any relevant income statement expense caption. The updated disclosure requirements are to be adopted for annual periods beginning after December 15, 2026, and interim reporting periods beginning after December 15, 2027. The Company is currently assessing the impact of adopting ASU 2024-03 on the consolidated financial statements and related disclosures. The Company expects the adoption of the standard to result in additional disaggregation of expense captions within its footnote disclosures.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additional material developments related to recently issued accounting standards beyond those noted above, including the expected dates of adoption and estimated effects on the Company’s unaudited condensed consolidated financial statements and note disclosures from those disclosed in the Company’s Annual Report on Form 10-K for its fiscal year ended December 31, 2024, that would be expected to impact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Acquisitions</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Virginia Fiber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9, 2025, Shentel completed an acquisition of the fiber to the home (“FTTH”) assets and operations of a fiber business based in Virginia to expand its footprint. Shentel concluded that the set of acquired assets and operations meets the definition of a business, and therefore, applied the acquisition method of accounting, in accordance with the FASB’s ASC 805, “Business Combinations.”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price used to apply the acquisition method was $5.0 million. Shentel recorded $3.9 million in property, plant and equipment assets, $0.6 million in definite-lived intangible assets and $0.5 million in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Horizon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2024 (the “Closing Date”), Shentel completed the acquisition of Horizon Acquisition Parent LLC, a Delaware limited liability company (“Horizon”), pursuant to the terms of an Agreement and Plan of Merger, dated October 24, 2023, by and among Shentel, Horizon, the sellers set forth on the signature pages thereto and the other parties thereto (as amended by the First Amendment to Agreement and Plan of Merger, dated April 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price used to apply the acquisition method of accounting was $416.2 million, which consisted of $349.4 million of cash consideration paid and $71.8 million of common stock, representing the fair value of 4,100,375 shares of Shentel’s common stock issued to a selling shareholder of Horizon. In accordance with ASC 805, “Business Combinations,” the allocation of the consideration value was subject to adjustment until the Company completed its analysis, in a period of time, but not to exceed one year after the date of acquisition, or April 1, 2025, in order to provide the Company with the time to complete the valuation of its assets and liabilities. As of April 1, 2025, the Company completed and finalized its analysis and allocation of the consideration value to assets acquired and liabilities assumed. In July 2025, Shentel received a $6.5 million refund of escrow amounts related to the original purchase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Shentel incurred integration and acquisition-related costs of $0.6 million related to severance, information technology, and other similar expenses for the nine months ended September 30, 2025. No material integration and acquisition-related costs were incurred during the three months ended September 30, 2025. Shentel incurred acquisition-related costs of $1.7 million and $13.6 million related to banking, legal, accounting, and other similar expenses for the three and nine months ended September 30, 2024, respectively. These costs are recorded in restructuring, integration and acquisition expenses in the Company’s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included the results of the operations of Horizon for financial reporting purposes for the period subsequent to the date of acquisition. The unaudited pro forma operating revenues and loss before income taxes of the Company for the nine months ended September 30, 2024, as if the Horizon acquisition had occurred at the beginning of the period, were $258.5 million and $34.9 million, respectively. The pro forma results are based upon estimated valuations of the assets acquired and liabilities assumed as well as preliminary estimates of depreciation and amortization charges thereon. Other pro forma adjustments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historical depreciation expense was adjusted for the fair value adjustment increasing the basis of property, plant and equipment and shorter estimated useful lives to conform to the Company’s standard policy and the acceleration of depreciation on certain equipment;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incremental amortization due to the customer-based contract rights associated with acquired customers;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removal of Horizon’s interest expense and amortization of deferred financing fees due to the repayment of the outstanding principal of Horizon’s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3. Revenue from Contracts with Customers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revenues by activity type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9855" w:type="dxa"/>
        <w:jc w:val="left"/>
        <w:tblInd w:w="0" w:type="dxa"/>
        <w:tblLayout w:type="fixed"/>
        <w:tblCellMar>
          <w:top w:w="28" w:type="dxa"/>
          <w:left w:w="28" w:type="dxa"/>
          <w:bottom w:w="28" w:type="dxa"/>
          <w:right w:w="28" w:type="dxa"/>
        </w:tblCellMar>
      </w:tblPr>
      <w:tblGrid>
        <w:gridCol w:w="1613"/>
        <w:gridCol w:w="1419"/>
        <w:gridCol w:w="142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Incumbent Broadband Markets</w:t>
            </w:r>
            <w:r>
              <w:rPr>
                <w:rFonts w:ascii="Times New Roman;serif" w:hAnsi="Times New Roman;serif"/>
                <w:b w:val="false"/>
                <w:color w:val="000000"/>
                <w:sz w:val="13"/>
              </w:rPr>
              <w:t>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Glo Fiber Expansion Markets</w:t>
            </w:r>
            <w:r>
              <w:rPr>
                <w:rFonts w:ascii="Times New Roman;serif" w:hAnsi="Times New Roman;serif"/>
                <w:b w:val="false"/>
                <w:color w:val="000000"/>
                <w:sz w:val="13"/>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1.Revenue from residential and small and medium business (“SMB”) customers in Incumbent Broadband Markets is primarily earned through the Company’s provision of data, video and voice services over primarily hybrid fiber coaxial cable and to a lesser extent FTTH networks in incumbent markets.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2.Revenue from residential and SMB customers in Glo Fiber Expansion Markets is primarily earned through the Company’s provision of data, video and voice services over FTTH networks in new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Markets, Commercial Fiber and RLEC &amp; Other revenues for the prior year to conform with changes in how management currently views these lines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had $19.3 million and $27.4 million of gross trade receivables from customers as of September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activity of current and non-current contract assets:</w:t>
      </w:r>
    </w:p>
    <w:tbl>
      <w:tblPr>
        <w:tblW w:w="7320" w:type="dxa"/>
        <w:jc w:val="left"/>
        <w:tblInd w:w="0" w:type="dxa"/>
        <w:tblLayout w:type="fixed"/>
        <w:tblCellMar>
          <w:top w:w="28" w:type="dxa"/>
          <w:left w:w="28" w:type="dxa"/>
          <w:bottom w:w="28" w:type="dxa"/>
          <w:right w:w="28" w:type="dxa"/>
        </w:tblCellMar>
      </w:tblPr>
      <w:tblGrid>
        <w:gridCol w:w="847"/>
        <w:gridCol w:w="746"/>
        <w:gridCol w:w="74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payments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in its unaudited condensed consolidated balance sheets and the Company’s non-current contract liabilities are included in other liabilities in its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Shentel’s current contract liability balances were $13.2 million and $12.5 million as of September 30, 2025 and December 31, 2024, respectively. Shentel’s non-current contract liability balances were $11.1 million and $9.5 million as of September 30, 2025 and December 31, 2024, respectively. Shentel expects its current contract liability balances to be recognized as revenues during the twelve-month periods following the respective balance sheet dates. The majority of Shentel’s non-current contract liability balance is expected to be recognized as revenues within approximately 5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consisted of the following:</w:t>
      </w:r>
    </w:p>
    <w:tbl>
      <w:tblPr>
        <w:tblW w:w="5545" w:type="dxa"/>
        <w:jc w:val="left"/>
        <w:tblInd w:w="0" w:type="dxa"/>
        <w:tblLayout w:type="fixed"/>
        <w:tblCellMar>
          <w:top w:w="28" w:type="dxa"/>
          <w:left w:w="28" w:type="dxa"/>
          <w:bottom w:w="28" w:type="dxa"/>
          <w:right w:w="28" w:type="dxa"/>
        </w:tblCellMar>
      </w:tblPr>
      <w:tblGrid>
        <w:gridCol w:w="945"/>
        <w:gridCol w:w="831"/>
        <w:gridCol w:w="833"/>
        <w:gridCol w:w="264"/>
        <w:gridCol w:w="904"/>
        <w:gridCol w:w="136"/>
        <w:gridCol w:w="109"/>
        <w:gridCol w:w="109"/>
        <w:gridCol w:w="109"/>
        <w:gridCol w:w="253"/>
        <w:gridCol w:w="867"/>
        <w:gridCol w:w="18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 investments at fair value</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SERP investments at fair value:</w:t>
      </w:r>
      <w:r>
        <w:rPr>
          <w:color w:val="000000"/>
        </w:rPr>
        <w:t xml:space="preserve"> </w:t>
      </w:r>
      <w:r>
        <w:rPr>
          <w:rFonts w:ascii="Times New Roman;serif" w:hAnsi="Times New Roman;serif"/>
          <w:b w:val="false"/>
          <w:color w:val="000000"/>
          <w:sz w:val="20"/>
        </w:rPr>
        <w:t>The fair value of the supplemental executive retirement plan (“SERP”) investments is based on unadjusted quoted prices in active markets and are classified as Level 1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Cost method investments</w:t>
      </w:r>
      <w:r>
        <w:rPr>
          <w:rFonts w:ascii="Times New Roman;serif" w:hAnsi="Times New Roman;serif"/>
          <w:b w:val="false"/>
          <w:color w:val="000000"/>
          <w:sz w:val="20"/>
        </w:rPr>
        <w:t>: Shentel’s investment in CoBank’s Class A common stock, derived from the CoBank patronage program, represented substantially all of the Company’s cost method investments with a balance of $12.4 million and $12.1 million as of September 30, 2025 and December 31, 2024, respectively. Shentel recognized approximately $0.8 million and $0.4 million of patronage income in other income, net for the three months ended September 30, 2025 and 2024, respectively, and approximately $2.3 million and $1.1 million during the nine months ended September 30, 2025 and 2024, respectively. The Company expects that approximately 75% of the patronage distributions will be collected in cash and 25% in equity in 2025.</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5.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w:t>
      </w:r>
    </w:p>
    <w:p>
      <w:pPr>
        <w:pStyle w:val="TextBody"/>
        <w:bidi w:val="0"/>
        <w:spacing w:lineRule="auto" w:line="288" w:before="0" w:after="0"/>
        <w:jc w:val="left"/>
        <w:rPr>
          <w:color w:val="000000"/>
        </w:rPr>
      </w:pPr>
      <w:r>
        <w:rPr>
          <w:color w:val="000000"/>
        </w:rPr>
        <w:t> </w:t>
      </w:r>
    </w:p>
    <w:tbl>
      <w:tblPr>
        <w:tblW w:w="9447" w:type="dxa"/>
        <w:jc w:val="left"/>
        <w:tblInd w:w="0" w:type="dxa"/>
        <w:tblLayout w:type="fixed"/>
        <w:tblCellMar>
          <w:top w:w="28" w:type="dxa"/>
          <w:left w:w="28" w:type="dxa"/>
          <w:bottom w:w="28" w:type="dxa"/>
          <w:right w:w="28" w:type="dxa"/>
        </w:tblCellMar>
      </w:tblPr>
      <w:tblGrid>
        <w:gridCol w:w="1488"/>
        <w:gridCol w:w="1308"/>
        <w:gridCol w:w="1313"/>
        <w:gridCol w:w="679"/>
        <w:gridCol w:w="679"/>
        <w:gridCol w:w="681"/>
        <w:gridCol w:w="109"/>
        <w:gridCol w:w="109"/>
        <w:gridCol w:w="109"/>
        <w:gridCol w:w="212"/>
        <w:gridCol w:w="983"/>
        <w:gridCol w:w="109"/>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structures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10 - 45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and fiber</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12 - 30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4 - 12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plant in service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under construction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1,571,726 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increased primarily due to capital expenditures to support the Company’s Glo Fiber market expansion. The Company’s accounts payable as of September 30, 2025 and December 31, 2024 included amounts associated with capital expenditures of approximately $70.4 million and $55.1 million, respectively. Depreciation and amortization expense was $34.0 million and $27.2 million during the three months ended September 30, 2025 and 2024, respectively, and $97.6 million and $69.6 million during the nine months ended September 30, 2025 and 2024, respectively. The Company also wrote off $3.2 million and $7.4 million plant under construction inventory assets during the three and nine months ended September 30, 2025, respectively. The write-off related to plant under construction inventory assets that are no longer planned to be used. These amounts are presented in depreciation and amortization in the Company’s unaudited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6. Goodwill and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consisted of the following:</w:t>
      </w:r>
    </w:p>
    <w:tbl>
      <w:tblPr>
        <w:tblW w:w="10205" w:type="dxa"/>
        <w:jc w:val="left"/>
        <w:tblInd w:w="0" w:type="dxa"/>
        <w:tblLayout w:type="fixed"/>
        <w:tblCellMar>
          <w:top w:w="28" w:type="dxa"/>
          <w:left w:w="28" w:type="dxa"/>
          <w:bottom w:w="28" w:type="dxa"/>
          <w:right w:w="28" w:type="dxa"/>
        </w:tblCellMar>
      </w:tblPr>
      <w:tblGrid>
        <w:gridCol w:w="510"/>
        <w:gridCol w:w="448"/>
        <w:gridCol w:w="451"/>
        <w:gridCol w:w="211"/>
        <w:gridCol w:w="826"/>
        <w:gridCol w:w="109"/>
        <w:gridCol w:w="109"/>
        <w:gridCol w:w="109"/>
        <w:gridCol w:w="109"/>
        <w:gridCol w:w="251"/>
        <w:gridCol w:w="881"/>
        <w:gridCol w:w="131"/>
        <w:gridCol w:w="109"/>
        <w:gridCol w:w="109"/>
        <w:gridCol w:w="109"/>
        <w:gridCol w:w="211"/>
        <w:gridCol w:w="826"/>
        <w:gridCol w:w="109"/>
        <w:gridCol w:w="109"/>
        <w:gridCol w:w="109"/>
        <w:gridCol w:w="109"/>
        <w:gridCol w:w="211"/>
        <w:gridCol w:w="826"/>
        <w:gridCol w:w="109"/>
        <w:gridCol w:w="109"/>
        <w:gridCol w:w="109"/>
        <w:gridCol w:w="109"/>
        <w:gridCol w:w="251"/>
        <w:gridCol w:w="881"/>
        <w:gridCol w:w="131"/>
        <w:gridCol w:w="109"/>
        <w:gridCol w:w="109"/>
        <w:gridCol w:w="109"/>
        <w:gridCol w:w="211"/>
        <w:gridCol w:w="826"/>
        <w:gridCol w:w="160"/>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franchise rights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FCC Spectrum licenses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Railroad crossing rights and 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(30,714)</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(30,714)</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was $0.5 million and $0.5 million during the three months ended September 30, 2025 and 2024, respectively, and $1.4 million and $1.1 million during the nine months ended September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1, 2024, management concluded that the estimated fair value of the broadband reporting unit exceeded the carrying value by 11%. During the three and nine months ended September 30, 2025, the Company performed goodwill impairment monitoring procedures and identified no indicators of impairment or triggering events. The Company will continue to monitor its reporting unit for any triggers that could impact recoverability of goodwill.</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Other Assets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classified as current assets, included the following:</w:t>
      </w:r>
    </w:p>
    <w:tbl>
      <w:tblPr>
        <w:tblW w:w="6070" w:type="dxa"/>
        <w:jc w:val="left"/>
        <w:tblInd w:w="0" w:type="dxa"/>
        <w:tblLayout w:type="fixed"/>
        <w:tblCellMar>
          <w:top w:w="28" w:type="dxa"/>
          <w:left w:w="28" w:type="dxa"/>
          <w:bottom w:w="28" w:type="dxa"/>
          <w:right w:w="28" w:type="dxa"/>
        </w:tblCellMar>
      </w:tblPr>
      <w:tblGrid>
        <w:gridCol w:w="1134"/>
        <w:gridCol w:w="999"/>
        <w:gridCol w:w="1001"/>
        <w:gridCol w:w="264"/>
        <w:gridCol w:w="904"/>
        <w:gridCol w:w="136"/>
        <w:gridCol w:w="109"/>
        <w:gridCol w:w="109"/>
        <w:gridCol w:w="109"/>
        <w:gridCol w:w="253"/>
        <w:gridCol w:w="867"/>
        <w:gridCol w:w="185"/>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expenses</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16,754 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charges and other assets, classified as long-term assets, included the following:</w:t>
      </w:r>
    </w:p>
    <w:tbl>
      <w:tblPr>
        <w:tblW w:w="6071" w:type="dxa"/>
        <w:jc w:val="left"/>
        <w:tblInd w:w="0" w:type="dxa"/>
        <w:tblLayout w:type="fixed"/>
        <w:tblCellMar>
          <w:top w:w="28" w:type="dxa"/>
          <w:left w:w="28" w:type="dxa"/>
          <w:bottom w:w="28" w:type="dxa"/>
          <w:right w:w="28" w:type="dxa"/>
        </w:tblCellMar>
      </w:tblPr>
      <w:tblGrid>
        <w:gridCol w:w="1135"/>
        <w:gridCol w:w="999"/>
        <w:gridCol w:w="1001"/>
        <w:gridCol w:w="264"/>
        <w:gridCol w:w="904"/>
        <w:gridCol w:w="136"/>
        <w:gridCol w:w="109"/>
        <w:gridCol w:w="109"/>
        <w:gridCol w:w="109"/>
        <w:gridCol w:w="253"/>
        <w:gridCol w:w="867"/>
        <w:gridCol w:w="185"/>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liabilities and other, classified as current liabilities, included the following:</w:t>
      </w:r>
    </w:p>
    <w:tbl>
      <w:tblPr>
        <w:tblW w:w="5365" w:type="dxa"/>
        <w:jc w:val="left"/>
        <w:tblInd w:w="0" w:type="dxa"/>
        <w:tblLayout w:type="fixed"/>
        <w:tblCellMar>
          <w:top w:w="28" w:type="dxa"/>
          <w:left w:w="28" w:type="dxa"/>
          <w:bottom w:w="28" w:type="dxa"/>
          <w:right w:w="28" w:type="dxa"/>
        </w:tblCellMar>
      </w:tblPr>
      <w:tblGrid>
        <w:gridCol w:w="879"/>
        <w:gridCol w:w="774"/>
        <w:gridCol w:w="776"/>
        <w:gridCol w:w="264"/>
        <w:gridCol w:w="904"/>
        <w:gridCol w:w="136"/>
        <w:gridCol w:w="109"/>
        <w:gridCol w:w="109"/>
        <w:gridCol w:w="109"/>
        <w:gridCol w:w="253"/>
        <w:gridCol w:w="867"/>
        <w:gridCol w:w="18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programming costs</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liabilities, classified as long-term liabilities, included the following:</w:t>
      </w:r>
    </w:p>
    <w:tbl>
      <w:tblPr>
        <w:tblW w:w="6220" w:type="dxa"/>
        <w:jc w:val="left"/>
        <w:tblInd w:w="0" w:type="dxa"/>
        <w:tblLayout w:type="fixed"/>
        <w:tblCellMar>
          <w:top w:w="28" w:type="dxa"/>
          <w:left w:w="28" w:type="dxa"/>
          <w:bottom w:w="28" w:type="dxa"/>
          <w:right w:w="28" w:type="dxa"/>
        </w:tblCellMar>
      </w:tblPr>
      <w:tblGrid>
        <w:gridCol w:w="1189"/>
        <w:gridCol w:w="1046"/>
        <w:gridCol w:w="1049"/>
        <w:gridCol w:w="264"/>
        <w:gridCol w:w="904"/>
        <w:gridCol w:w="136"/>
        <w:gridCol w:w="109"/>
        <w:gridCol w:w="109"/>
        <w:gridCol w:w="109"/>
        <w:gridCol w:w="253"/>
        <w:gridCol w:w="867"/>
        <w:gridCol w:w="185"/>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deferred revenue</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27,567 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various broadband network sites, fiber optic cable routes, warehouses, retail stores and office facilities for use in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p>
      <w:pPr>
        <w:pStyle w:val="TextBody"/>
        <w:bidi w:val="0"/>
        <w:spacing w:before="0" w:after="0"/>
        <w:jc w:val="both"/>
        <w:rPr/>
      </w:pPr>
      <w:r>
        <w:rPr/>
      </w:r>
    </w:p>
    <w:tbl>
      <w:tblPr>
        <w:tblW w:w="10151" w:type="dxa"/>
        <w:jc w:val="left"/>
        <w:tblInd w:w="0" w:type="dxa"/>
        <w:tblLayout w:type="fixed"/>
        <w:tblCellMar>
          <w:top w:w="28" w:type="dxa"/>
          <w:left w:w="28" w:type="dxa"/>
          <w:bottom w:w="28" w:type="dxa"/>
          <w:right w:w="28" w:type="dxa"/>
        </w:tblCellMar>
      </w:tblPr>
      <w:tblGrid>
        <w:gridCol w:w="895"/>
        <w:gridCol w:w="788"/>
        <w:gridCol w:w="791"/>
        <w:gridCol w:w="857"/>
        <w:gridCol w:w="857"/>
        <w:gridCol w:w="86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(1)Operating lease expense is presented in cost of services or selling, general and administrative expense based on the use of the relevant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expected maturity of lease liabilities as of September 30, 2025:</w:t>
      </w:r>
    </w:p>
    <w:tbl>
      <w:tblPr>
        <w:tblW w:w="7734" w:type="dxa"/>
        <w:jc w:val="left"/>
        <w:tblInd w:w="0" w:type="dxa"/>
        <w:tblLayout w:type="fixed"/>
        <w:tblCellMar>
          <w:top w:w="28" w:type="dxa"/>
          <w:left w:w="28" w:type="dxa"/>
          <w:bottom w:w="28" w:type="dxa"/>
          <w:right w:w="28" w:type="dxa"/>
        </w:tblCellMar>
      </w:tblPr>
      <w:tblGrid>
        <w:gridCol w:w="972"/>
        <w:gridCol w:w="855"/>
        <w:gridCol w:w="857"/>
        <w:gridCol w:w="109"/>
        <w:gridCol w:w="109"/>
        <w:gridCol w:w="109"/>
        <w:gridCol w:w="322"/>
        <w:gridCol w:w="1101"/>
        <w:gridCol w:w="166"/>
        <w:gridCol w:w="109"/>
        <w:gridCol w:w="109"/>
        <w:gridCol w:w="109"/>
        <w:gridCol w:w="314"/>
        <w:gridCol w:w="918"/>
        <w:gridCol w:w="162"/>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operating and finance leases was as follows:</w:t>
      </w:r>
    </w:p>
    <w:p>
      <w:pPr>
        <w:pStyle w:val="TextBody"/>
        <w:bidi w:val="0"/>
        <w:spacing w:before="0" w:after="0"/>
        <w:jc w:val="left"/>
        <w:rPr/>
      </w:pPr>
      <w:r>
        <w:rPr/>
      </w:r>
    </w:p>
    <w:tbl>
      <w:tblPr>
        <w:tblW w:w="6835" w:type="dxa"/>
        <w:jc w:val="left"/>
        <w:tblInd w:w="0" w:type="dxa"/>
        <w:tblLayout w:type="fixed"/>
        <w:tblCellMar>
          <w:top w:w="28" w:type="dxa"/>
          <w:left w:w="28" w:type="dxa"/>
          <w:bottom w:w="28" w:type="dxa"/>
          <w:right w:w="28" w:type="dxa"/>
        </w:tblCellMar>
      </w:tblPr>
      <w:tblGrid>
        <w:gridCol w:w="1412"/>
        <w:gridCol w:w="1238"/>
        <w:gridCol w:w="1249"/>
        <w:gridCol w:w="290"/>
        <w:gridCol w:w="290"/>
        <w:gridCol w:w="724"/>
        <w:gridCol w:w="109"/>
        <w:gridCol w:w="109"/>
        <w:gridCol w:w="109"/>
        <w:gridCol w:w="266"/>
        <w:gridCol w:w="266"/>
        <w:gridCol w:w="773"/>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4"/>
        <w:gridCol w:w="1692"/>
        <w:gridCol w:w="169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04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new lease liabilities (includes new leases or modification of existing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other operating lease arrangements which generate revenue from leasing the excess fiber capacity of its fiber network assets. Contract terms for these arrangements can range from 1 to 40 years and are billed monthly. Lease revenue from these arrangements was $1.7 million and $5.1 million for the three and nine months ended September 30, 2025, respectively, and $1.8 million and $4.1 million for the three and nine months ended September 30, 2024, respectively. These amounts are presented in service revenue and other in the Company’s unaudited condensed consolidated statements of operations. Contractual minimum rental receipts expected under the lease agreements in place as of September 30, 2025 is as follows:</w:t>
      </w:r>
    </w:p>
    <w:tbl>
      <w:tblPr>
        <w:tblW w:w="4375"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317"/>
        <w:gridCol w:w="1086"/>
        <w:gridCol w:w="231"/>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35,304 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Broadband Operations LLC, an indirect wholly owned subsidiary of Shentel, has a credit agreement which contains a $150 million revolving credit facility (the “Revolver”) and $525 million in delayed draw amortizing term loans, including Term Loans A-1, A-2 and A-3 in the table below (collectively, the “Term Loans” and collectively with Revolver, the “Credit Agreement”). As of September 30, 2025, the availability under our Revolver was $118 million. The following Term Loans were outstanding under the Credit Agreement:</w:t>
      </w:r>
    </w:p>
    <w:p>
      <w:pPr>
        <w:pStyle w:val="TextBody"/>
        <w:bidi w:val="0"/>
        <w:spacing w:before="0" w:after="0"/>
        <w:jc w:val="both"/>
        <w:rPr/>
      </w:pPr>
      <w:r>
        <w:rPr/>
      </w:r>
    </w:p>
    <w:tbl>
      <w:tblPr>
        <w:tblW w:w="6280" w:type="dxa"/>
        <w:jc w:val="left"/>
        <w:tblInd w:w="0" w:type="dxa"/>
        <w:tblLayout w:type="fixed"/>
        <w:tblCellMar>
          <w:top w:w="28" w:type="dxa"/>
          <w:left w:w="28" w:type="dxa"/>
          <w:bottom w:w="28" w:type="dxa"/>
          <w:right w:w="28" w:type="dxa"/>
        </w:tblCellMar>
      </w:tblPr>
      <w:tblGrid>
        <w:gridCol w:w="1211"/>
        <w:gridCol w:w="1065"/>
        <w:gridCol w:w="1068"/>
        <w:gridCol w:w="240"/>
        <w:gridCol w:w="941"/>
        <w:gridCol w:w="124"/>
        <w:gridCol w:w="109"/>
        <w:gridCol w:w="109"/>
        <w:gridCol w:w="109"/>
        <w:gridCol w:w="231"/>
        <w:gridCol w:w="905"/>
        <w:gridCol w:w="168"/>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A-1</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A-2</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A-3</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223,876 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535,350 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417,957 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loan fees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loan fees</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534,103 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416,879 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Term Loans bear interest at one-month term SOFR plus a margin. The margin is variable and determined by the Company’s net leverage ratio. Interest is paid monthly. The weighted-average interest rate was 7.47% for the Term Loans and Revolver at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 charged commitment fees on unutilized portions of its Revolver and Term Loans. The Company recorded $0.2 million and $0.6 million related to these fees for the three and nine months ended September 30, 2025, respectively, and $0.2 million and $0.7 million for the three and nine months ended September 30, 2024, respectively, which are included in interest expense in the unaudited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recorded in Shentel’s unaudited condensed consolidated statements of operations consisted of the following:</w:t>
      </w:r>
    </w:p>
    <w:tbl>
      <w:tblPr>
        <w:tblW w:w="8550" w:type="dxa"/>
        <w:jc w:val="left"/>
        <w:tblInd w:w="0" w:type="dxa"/>
        <w:tblLayout w:type="fixed"/>
        <w:tblCellMar>
          <w:top w:w="28" w:type="dxa"/>
          <w:left w:w="28" w:type="dxa"/>
          <w:bottom w:w="28" w:type="dxa"/>
          <w:right w:w="28" w:type="dxa"/>
        </w:tblCellMar>
      </w:tblPr>
      <w:tblGrid>
        <w:gridCol w:w="1293"/>
        <w:gridCol w:w="1137"/>
        <w:gridCol w:w="114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capitalized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various covenants, including total net leverage ratio and debt service coverage ratio financial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Term Loans require quarterly payments based on a percentage of the outstanding balance.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16, 2025, Shentel amended the Credit Agreement (the “Fourth Amendment”) to extend the maturity date of the Revolver and Term Loan A-1 to July 1, 2027. Both Term Loan A-2 and Term Loan A-3 mature on July 1,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Fourth Amendment of Shentel’s Credit Agreement also amended certain covenant provisions, including increasing the maximum Total Net Leverage Ratio (as defined in the Credit Agreement) permitted as of the last day of any fiscal quarter to 4.75:1.00.</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expected payments of Shentel’s outstanding borrowings as of September 30, 2025:</w:t>
      </w:r>
    </w:p>
    <w:tbl>
      <w:tblPr>
        <w:tblW w:w="3932" w:type="dxa"/>
        <w:jc w:val="left"/>
        <w:tblInd w:w="0" w:type="dxa"/>
        <w:tblLayout w:type="fixed"/>
        <w:tblCellMar>
          <w:top w:w="28" w:type="dxa"/>
          <w:left w:w="28" w:type="dxa"/>
          <w:bottom w:w="28" w:type="dxa"/>
          <w:right w:w="28" w:type="dxa"/>
        </w:tblCellMar>
      </w:tblPr>
      <w:tblGrid>
        <w:gridCol w:w="874"/>
        <w:gridCol w:w="769"/>
        <w:gridCol w:w="771"/>
        <w:gridCol w:w="109"/>
        <w:gridCol w:w="109"/>
        <w:gridCol w:w="109"/>
        <w:gridCol w:w="211"/>
        <w:gridCol w:w="82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535,350 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borrowed $25 million under its Revolver as of September 30, 2025. The entire outstanding principal amount borrowed against the Revolver is due July 1, 2027.</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addition to amounts borrowed under the Revolver as of September 30, 2025, Shentel has executed letter of credit arrangements totaling $7.1 million that reduce the available balance of the Revolver. The letter of credit arrangements were executed primarily pursuant to the requirements of the National Telecommunications and Information government grant program, discussed further in Note 14, </w:t>
      </w:r>
      <w:r>
        <w:rPr>
          <w:rFonts w:ascii="Times New Roman;serif" w:hAnsi="Times New Roman;serif"/>
          <w:b w:val="false"/>
          <w:i/>
          <w:color w:val="000000"/>
          <w:sz w:val="20"/>
        </w:rPr>
        <w:t>Government Grants</w:t>
      </w:r>
      <w:r>
        <w:rPr>
          <w:rFonts w:ascii="Times New Roman;serif" w:hAnsi="Times New Roman;serif"/>
          <w:b w:val="false"/>
          <w:color w:val="000000"/>
          <w:sz w:val="20"/>
        </w:rPr>
        <w:t>. These amounts are not considered borrowed, as no cash has been disbursed to Shentel or other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is fully secured by a pledge and unconditional guarantee from Shentel Personal Communications, LLC, Shenandoah Cable Television, LLC, Shenandoah Mobile, LLC and Shentel Management Company. This provides the lenders a security interest in substantially all of the assets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Derivatives and Hedging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pay fixed (2.90%) receive variable (one-month term SOFR)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outstanding debt under Term Loan A-1 and Term Loan A-2. The Company uses the Swaps to manage its exposure to interest rate risk for its long-term variable-rate Term Loans.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Prior to August 2025, the Swaps were determined to be highly effective hedges and therefore all change in the fair value of the Swaps was recognized in accumulated other comprehensive income. In August 2025, certain future interest rate payments that represent forecasted hedged transactions became probable of not occurring. Amounts related to these forecasted hedged transactions were reclassified from accumulated other comprehensive income on the Company’s unaudited condensed consolidated balance sheets to other income, net in the Company’s unaudited condensed consolidated statements of operations. Amounts related to future interest rate payments that remain probable of occurring will continue to be recorded in 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 of the Swaps as well as their classification in the unaudited condensed consolidated balance sheets. The fair value of these instruments was estimated using an income approach and observable market inputs (Level 2):</w:t>
      </w:r>
    </w:p>
    <w:tbl>
      <w:tblPr>
        <w:tblW w:w="7841" w:type="dxa"/>
        <w:jc w:val="left"/>
        <w:tblInd w:w="0" w:type="dxa"/>
        <w:tblLayout w:type="fixed"/>
        <w:tblCellMar>
          <w:top w:w="28" w:type="dxa"/>
          <w:left w:w="28" w:type="dxa"/>
          <w:bottom w:w="28" w:type="dxa"/>
          <w:right w:w="28" w:type="dxa"/>
        </w:tblCellMar>
      </w:tblPr>
      <w:tblGrid>
        <w:gridCol w:w="1776"/>
        <w:gridCol w:w="1563"/>
        <w:gridCol w:w="1566"/>
        <w:gridCol w:w="350"/>
        <w:gridCol w:w="773"/>
        <w:gridCol w:w="181"/>
        <w:gridCol w:w="109"/>
        <w:gridCol w:w="109"/>
        <w:gridCol w:w="109"/>
        <w:gridCol w:w="280"/>
        <w:gridCol w:w="819"/>
        <w:gridCol w:w="206"/>
      </w:tblGrid>
      <w:tr>
        <w:trPr/>
        <w:tc>
          <w:tcPr>
            <w:tcW w:w="177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line item of derivative financial instruments:</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11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3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changes in accumulated other comprehensive income by component: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16"/>
        <w:gridCol w:w="1078"/>
        <w:gridCol w:w="1080"/>
        <w:gridCol w:w="109"/>
        <w:gridCol w:w="109"/>
        <w:gridCol w:w="109"/>
        <w:gridCol w:w="258"/>
        <w:gridCol w:w="755"/>
        <w:gridCol w:w="133"/>
        <w:gridCol w:w="109"/>
        <w:gridCol w:w="109"/>
        <w:gridCol w:w="109"/>
        <w:gridCol w:w="323"/>
        <w:gridCol w:w="799"/>
        <w:gridCol w:w="166"/>
        <w:gridCol w:w="109"/>
        <w:gridCol w:w="109"/>
        <w:gridCol w:w="109"/>
        <w:gridCol w:w="689"/>
        <w:gridCol w:w="2015"/>
        <w:gridCol w:w="512"/>
      </w:tblGrid>
      <w:tr>
        <w:trPr/>
        <w:tc>
          <w:tcPr>
            <w:tcW w:w="14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6"/>
        <w:gridCol w:w="1078"/>
        <w:gridCol w:w="1080"/>
        <w:gridCol w:w="109"/>
        <w:gridCol w:w="109"/>
        <w:gridCol w:w="109"/>
        <w:gridCol w:w="258"/>
        <w:gridCol w:w="755"/>
        <w:gridCol w:w="133"/>
        <w:gridCol w:w="109"/>
        <w:gridCol w:w="109"/>
        <w:gridCol w:w="109"/>
        <w:gridCol w:w="323"/>
        <w:gridCol w:w="799"/>
        <w:gridCol w:w="166"/>
        <w:gridCol w:w="109"/>
        <w:gridCol w:w="109"/>
        <w:gridCol w:w="109"/>
        <w:gridCol w:w="689"/>
        <w:gridCol w:w="2015"/>
        <w:gridCol w:w="512"/>
      </w:tblGrid>
      <w:tr>
        <w:trPr/>
        <w:tc>
          <w:tcPr>
            <w:tcW w:w="14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05"/>
        <w:gridCol w:w="1064"/>
        <w:gridCol w:w="1068"/>
        <w:gridCol w:w="109"/>
        <w:gridCol w:w="109"/>
        <w:gridCol w:w="109"/>
        <w:gridCol w:w="257"/>
        <w:gridCol w:w="753"/>
        <w:gridCol w:w="133"/>
        <w:gridCol w:w="109"/>
        <w:gridCol w:w="109"/>
        <w:gridCol w:w="109"/>
        <w:gridCol w:w="289"/>
        <w:gridCol w:w="917"/>
        <w:gridCol w:w="149"/>
        <w:gridCol w:w="109"/>
        <w:gridCol w:w="109"/>
        <w:gridCol w:w="109"/>
        <w:gridCol w:w="683"/>
        <w:gridCol w:w="1998"/>
        <w:gridCol w:w="508"/>
      </w:tblGrid>
      <w:tr>
        <w:trPr/>
        <w:tc>
          <w:tcPr>
            <w:tcW w:w="140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5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w:t>
            </w:r>
          </w:p>
        </w:tc>
        <w:tc>
          <w:tcPr>
            <w:tcW w:w="5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5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6"/>
        <w:gridCol w:w="1078"/>
        <w:gridCol w:w="1080"/>
        <w:gridCol w:w="109"/>
        <w:gridCol w:w="109"/>
        <w:gridCol w:w="109"/>
        <w:gridCol w:w="258"/>
        <w:gridCol w:w="755"/>
        <w:gridCol w:w="133"/>
        <w:gridCol w:w="109"/>
        <w:gridCol w:w="109"/>
        <w:gridCol w:w="109"/>
        <w:gridCol w:w="323"/>
        <w:gridCol w:w="799"/>
        <w:gridCol w:w="166"/>
        <w:gridCol w:w="109"/>
        <w:gridCol w:w="109"/>
        <w:gridCol w:w="109"/>
        <w:gridCol w:w="689"/>
        <w:gridCol w:w="2015"/>
        <w:gridCol w:w="512"/>
      </w:tblGrid>
      <w:tr>
        <w:trPr/>
        <w:tc>
          <w:tcPr>
            <w:tcW w:w="14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5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11. Income Taxes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files U.S. federal income tax returns and various state income tax returns. The Company is currently involved in one state income tax audit and no federal income tax audits as of September 30, 2025. The Company’s income tax returns are generally open to examination from 2021 forward. The net operating losses acquired in the acquisition of nTelos are open to examination from 2005 forward and the net operating losses acquired from Horizon are open to examination from 2013 forward.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nine months ended September 30, 2025 and 2024, differ from the statutory U.S. federal income tax rate of 21% primarily due to the state income taxes, excess tax benefits and other discrete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21"/>
        <w:gridCol w:w="1631"/>
        <w:gridCol w:w="1635"/>
        <w:gridCol w:w="211"/>
        <w:gridCol w:w="677"/>
        <w:gridCol w:w="109"/>
        <w:gridCol w:w="109"/>
        <w:gridCol w:w="109"/>
        <w:gridCol w:w="109"/>
        <w:gridCol w:w="211"/>
        <w:gridCol w:w="677"/>
        <w:gridCol w:w="109"/>
        <w:gridCol w:w="109"/>
        <w:gridCol w:w="109"/>
        <w:gridCol w:w="109"/>
        <w:gridCol w:w="211"/>
        <w:gridCol w:w="677"/>
        <w:gridCol w:w="109"/>
        <w:gridCol w:w="109"/>
        <w:gridCol w:w="109"/>
        <w:gridCol w:w="109"/>
        <w:gridCol w:w="211"/>
        <w:gridCol w:w="677"/>
        <w:gridCol w:w="158"/>
      </w:tblGrid>
      <w:tr>
        <w:trPr/>
        <w:tc>
          <w:tcPr>
            <w:tcW w:w="192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benefit at federal statutory rate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benefit, net of federal tax effect</w:t>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deficiency from share-based compensation and other expense, net</w:t>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made $2.3 million in payments and received $0.3 million in refunds for income taxes during the nine months ended September 30, 2025. The Company made $8.0 million in payments and received $1.3 million in refunds for income taxes for the nine months ended September 30, 2024.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was signed into law and includes numerous changes to existing tax law, including provisions providing current deductibility of certain property additions and limitations on interest deductions based on a tax EBITDA framework. These provisions are generally effective beginning in 2025, and we currently anticipate they will partially defer our income tax payments in future years. The legislation does not have a material impact on our consolidated financial statements for the interim period ended September 30, 2025, and we do not expect it to materially change our effective income tax rate for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Redeemable Noncontrolling Interest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24, 2023, Shentel Broadband Holding Inc. (“Shentel Broadband”), a wholly-owned subsidiary of Shentel,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April 1, 2024, Shentel Broadband issued to ECP Investor 81,000 shares of Shentel Broadband’s 7% Series A Participating Exchangeable Perpetual Preferred Stock, par value $0.01 per share (the “Series A Preferred Stock”), at a purchase price of $1,000 per share in exchange for $81 million in cash. As of September 30, 2025, 100,000 shares of the Series A Preferred Stock were authorized for issuance and 81,000 shares of the Series A Preferred Stock were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is exchangeable at the option of the Investor in certain circumstances for shares of Common Stock at an exchange price of $24.50 per share, which may be adjusted pursuant to the terms of the Investment Agreement. As of September 30, 2025, the Series A Preferred Stock was exchangeable for 3,615,357 shares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on the Series A Preferred Stock accrue at 7% per annum compounded and payable quarterly in arrears, and, at Shentel’s option, may be paid in cash or in kind (such dividends paid in kind, “PIK Dividends”). The Company has historically elected to issue PIK Dividends which increase the liquidation preference of the Series A Preferred Stock. As of September 30, 2025, the Series A Preferred Stock had a liquidation preference of $88.6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Stock Compensation and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equity compensation, which includes the Company’s restricted stock units (“RSUs”) and performance stock units (“PSUs”),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2024</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September 30, 2025</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was $4.2 million during the nine months ended September 30,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Relative Total Shareholder Return RSUs (“RTSRs”) was as follows:</w:t>
      </w:r>
    </w:p>
    <w:p>
      <w:pPr>
        <w:pStyle w:val="TextBody"/>
        <w:bidi w:val="0"/>
        <w:spacing w:before="0" w:after="0"/>
        <w:jc w:val="both"/>
        <w:rPr/>
      </w:pPr>
      <w:r>
        <w:rPr/>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2024</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September 30, 2025</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as follows:</w:t>
      </w:r>
    </w:p>
    <w:p>
      <w:pPr>
        <w:pStyle w:val="TextBody"/>
        <w:bidi w:val="0"/>
        <w:spacing w:before="0" w:after="0"/>
        <w:jc w:val="both"/>
        <w:rPr/>
      </w:pPr>
      <w:r>
        <w:rPr/>
      </w:r>
    </w:p>
    <w:tbl>
      <w:tblPr>
        <w:tblW w:w="7589" w:type="dxa"/>
        <w:jc w:val="left"/>
        <w:tblInd w:w="0" w:type="dxa"/>
        <w:tblLayout w:type="fixed"/>
        <w:tblCellMar>
          <w:top w:w="28" w:type="dxa"/>
          <w:left w:w="28" w:type="dxa"/>
          <w:bottom w:w="28" w:type="dxa"/>
          <w:right w:w="28" w:type="dxa"/>
        </w:tblCellMar>
      </w:tblPr>
      <w:tblGrid>
        <w:gridCol w:w="1021"/>
        <w:gridCol w:w="897"/>
        <w:gridCol w:w="90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$8.8 million of total unrecognized compensation cost related to non-vested RSUs and RTSRs which is expected to be recognized over weighted average period of 2.3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the computation of basic and diluted earnings (loss) per share:</w:t>
      </w:r>
    </w:p>
    <w:p>
      <w:pPr>
        <w:pStyle w:val="TextBody"/>
        <w:bidi w:val="0"/>
        <w:spacing w:before="0" w:after="0"/>
        <w:jc w:val="both"/>
        <w:rPr/>
      </w:pPr>
      <w:r>
        <w:rPr/>
      </w:r>
    </w:p>
    <w:tbl>
      <w:tblPr>
        <w:tblW w:w="10005" w:type="dxa"/>
        <w:jc w:val="left"/>
        <w:tblInd w:w="0" w:type="dxa"/>
        <w:tblLayout w:type="fixed"/>
        <w:tblCellMar>
          <w:top w:w="28" w:type="dxa"/>
          <w:left w:w="28" w:type="dxa"/>
          <w:bottom w:w="28" w:type="dxa"/>
          <w:right w:w="28" w:type="dxa"/>
        </w:tblCellMar>
      </w:tblPr>
      <w:tblGrid>
        <w:gridCol w:w="1661"/>
        <w:gridCol w:w="1460"/>
        <w:gridCol w:w="1469"/>
        <w:gridCol w:w="211"/>
        <w:gridCol w:w="796"/>
        <w:gridCol w:w="109"/>
        <w:gridCol w:w="109"/>
        <w:gridCol w:w="109"/>
        <w:gridCol w:w="109"/>
        <w:gridCol w:w="211"/>
        <w:gridCol w:w="691"/>
        <w:gridCol w:w="109"/>
        <w:gridCol w:w="109"/>
        <w:gridCol w:w="109"/>
        <w:gridCol w:w="109"/>
        <w:gridCol w:w="211"/>
        <w:gridCol w:w="796"/>
        <w:gridCol w:w="109"/>
        <w:gridCol w:w="109"/>
        <w:gridCol w:w="109"/>
        <w:gridCol w:w="109"/>
        <w:gridCol w:w="211"/>
        <w:gridCol w:w="82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of net (loss) income per share:</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discontinued operations, net of tax</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attributable to common shareholders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from discontinued operations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shares outstanding</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 share amounts attributable to common shareholders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the two-class method when computing net income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dilutive impact of equity awards and the Series A Preferred Stock (on an as-converted basis) by applying the treasury stock method and the if-converted method, respectively. The following table presents potentially dilutive instruments: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30"/>
        <w:gridCol w:w="1698"/>
        <w:gridCol w:w="1703"/>
        <w:gridCol w:w="308"/>
        <w:gridCol w:w="308"/>
        <w:gridCol w:w="205"/>
        <w:gridCol w:w="205"/>
        <w:gridCol w:w="205"/>
        <w:gridCol w:w="205"/>
        <w:gridCol w:w="310"/>
        <w:gridCol w:w="306"/>
        <w:gridCol w:w="219"/>
        <w:gridCol w:w="109"/>
        <w:gridCol w:w="109"/>
        <w:gridCol w:w="109"/>
        <w:gridCol w:w="308"/>
        <w:gridCol w:w="308"/>
        <w:gridCol w:w="189"/>
        <w:gridCol w:w="189"/>
        <w:gridCol w:w="189"/>
        <w:gridCol w:w="189"/>
        <w:gridCol w:w="308"/>
        <w:gridCol w:w="308"/>
        <w:gridCol w:w="288"/>
      </w:tblGrid>
      <w:tr>
        <w:trPr/>
        <w:tc>
          <w:tcPr>
            <w:tcW w:w="1930"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equity awards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related to the Series A Preferred Stock</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instruments</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instruments were excluded from the calculation of diluted weighted average shares outstanding due to the fact that they were anti-dilutive as a result of the Company’s loss from continuing operations for the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Government Grants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was awarded additional grants of $2.8 million to strategically expand the Company’s broadband network in order to provide broadband services to unserved residences.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grant receivables at the time it becomes probable that the Company will be eligible to receive the grant, which is estimated to correspond with the date when specified build-out milestones are achieved. As a result of these programs, the Company received $39.9 million and $11.1 million in cash receipts during the nine months ended September 30, 2025 and 2024, respectively, and had approximately $6.1 million and $0.3 million in accounts receivable as of September 30, 2025 and December 31,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Commitments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We are committed to make payments to satisfy our lease liabilities. The scheduled payments under those obligations are summarized in Note 8, </w:t>
      </w:r>
      <w:r>
        <w:rPr>
          <w:rFonts w:ascii="Times New Roman;serif" w:hAnsi="Times New Roman;serif"/>
          <w:b w:val="false"/>
          <w:i/>
          <w:color w:val="000000"/>
          <w:sz w:val="20"/>
        </w:rPr>
        <w:t>Leases</w:t>
      </w:r>
      <w:r>
        <w:rPr>
          <w:rFonts w:ascii="Times New Roman;serif" w:hAnsi="Times New Roman;serif"/>
          <w:b w:val="false"/>
          <w:color w:val="000000"/>
          <w:sz w:val="20"/>
        </w:rPr>
        <w:t>. We also have outstanding unconditional purchase commitments to procure marketing services and IT software licenses through 2029.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Discontinued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On March 29, 2024, Shenandoah Mobile, LLC, a wholly-owned subsidiary of Shentel, completed the initial closing of its previously disclosed sale of substantially all of Shentel’s tower portfolio and operations (“Tower Portfolio”) to Vertical Bridge Holdco, LLC for $309.9 million (the “Tower Transaction”). The Tower Transaction represented a strategic shift in the Company’s business and the Tower Portfolio was reclassified as a discontinued operation. As a result, for all periods presented, the operating results and cash flows related to the Tower Portfolio were reflected as a discontinued operations in our </w:t>
      </w:r>
      <w:r>
        <w:rPr>
          <w:rFonts w:ascii="Times New Roman;serif" w:hAnsi="Times New Roman;serif"/>
          <w:b w:val="false"/>
          <w:color w:val="000000"/>
          <w:sz w:val="20"/>
        </w:rPr>
        <w:t>unaudited condensed consolidated statements of operations and unaudited condensed consolidated statements of cash flows</w:t>
      </w:r>
      <w:r>
        <w:rPr>
          <w:rFonts w:ascii="Times New Roman;serif" w:hAnsi="Times New Roman;serif"/>
          <w:b w:val="false"/>
          <w:color w:val="212529"/>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 in the unaudited condensed consolidated statements of operations consist of the following for the period:</w:t>
      </w:r>
    </w:p>
    <w:tbl>
      <w:tblPr>
        <w:tblW w:w="8333" w:type="dxa"/>
        <w:jc w:val="left"/>
        <w:tblInd w:w="0" w:type="dxa"/>
        <w:tblLayout w:type="fixed"/>
        <w:tblCellMar>
          <w:top w:w="28" w:type="dxa"/>
          <w:left w:w="28" w:type="dxa"/>
          <w:bottom w:w="28" w:type="dxa"/>
          <w:right w:w="28" w:type="dxa"/>
        </w:tblCellMar>
      </w:tblPr>
      <w:tblGrid>
        <w:gridCol w:w="1450"/>
        <w:gridCol w:w="1275"/>
        <w:gridCol w:w="1279"/>
        <w:gridCol w:w="109"/>
        <w:gridCol w:w="109"/>
        <w:gridCol w:w="109"/>
        <w:gridCol w:w="544"/>
        <w:gridCol w:w="1048"/>
        <w:gridCol w:w="283"/>
        <w:gridCol w:w="109"/>
        <w:gridCol w:w="109"/>
        <w:gridCol w:w="109"/>
        <w:gridCol w:w="319"/>
        <w:gridCol w:w="1249"/>
        <w:gridCol w:w="232"/>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disposition of Tower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294,250 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296,865 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78,137 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Consummation of the sale triggered the recognition of approximately $4.4 million of incremental transaction costs during the </w:t>
      </w:r>
      <w:r>
        <w:rPr>
          <w:rFonts w:ascii="Times New Roman;serif" w:hAnsi="Times New Roman;serif"/>
          <w:b w:val="false"/>
          <w:color w:val="000000"/>
          <w:sz w:val="20"/>
        </w:rPr>
        <w:t>nine months ended September 30, 2024</w:t>
      </w:r>
      <w:r>
        <w:rPr>
          <w:rFonts w:ascii="Times New Roman;serif" w:hAnsi="Times New Roman;serif"/>
          <w:b w:val="false"/>
          <w:color w:val="212529"/>
          <w:sz w:val="20"/>
        </w:rPr>
        <w:t>, for contingent deal advisory fees and legal expenses, which are netted against the gain on sale of disposition of Tower Portfolio.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operates as one segment. The accounting policies of the Company’s segment are the same as those described in the summary of significant accounting policies as described in </w:t>
      </w:r>
      <w:r>
        <w:rPr>
          <w:rFonts w:ascii="Times New Roman;serif" w:hAnsi="Times New Roman;serif"/>
          <w:b w:val="false"/>
          <w:color w:val="212529"/>
          <w:sz w:val="20"/>
        </w:rPr>
        <w:t xml:space="preserve">our Annual Report on Form 10-K for the </w:t>
      </w:r>
      <w:r>
        <w:rPr>
          <w:rFonts w:ascii="Times New Roman;serif" w:hAnsi="Times New Roman;serif"/>
          <w:b w:val="false"/>
          <w:color w:val="000000"/>
          <w:sz w:val="20"/>
        </w:rPr>
        <w:t>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in conjunction with the change in Shentel’s Chief Executive Officer, the Company evaluated and concluded that the Chief Executive Officer role continues to represent the Company’s Chief Operating Decision Maker (“CODM”). The Company’s CODM assesses company performance at a consolidated level and decides how to allocate resources based on Earnings before Interest, Taxes, Depreciation and Amortization, as adjusted for certain non-recurring items, (“Adjusted EBITDA”) from continuing operations of the Broadband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CODM uses (loss) income from continuing operations and Adjusted EBITDA to evaluate income generated from segment assets (return on assets) in deciding whether to reinvest profits into the operations of the Company or for other purposes, such as for acquisitions or to pay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used to monitor budget versus actual results. The CODM also uses Adjusted EBITDA to analyze the Company’s growth by monitoring current results versus prior year results. The analyses are used in assessing performance of the Company and in establishing management’s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The Company defines Adjusted EBITDA as income or loss from continuing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revenue, loss from continuing operations, Adjusted EBITDA and significant expenses:</w:t>
      </w:r>
    </w:p>
    <w:tbl>
      <w:tblPr>
        <w:tblW w:w="10205" w:type="dxa"/>
        <w:jc w:val="left"/>
        <w:tblInd w:w="0" w:type="dxa"/>
        <w:tblLayout w:type="fixed"/>
        <w:tblCellMar>
          <w:top w:w="28" w:type="dxa"/>
          <w:left w:w="28" w:type="dxa"/>
          <w:bottom w:w="28" w:type="dxa"/>
          <w:right w:w="28" w:type="dxa"/>
        </w:tblCellMar>
      </w:tblPr>
      <w:tblGrid>
        <w:gridCol w:w="1813"/>
        <w:gridCol w:w="1493"/>
        <w:gridCol w:w="149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81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242,646 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expenses and other items: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exclusive of stock-based compensation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amount capitalized</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Other primarily includes a gain on escrow settlement, patronage income, interest income, and benefit plan gains.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“may,” “will,” “should,” “could” or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in the Company</w:t>
      </w:r>
      <w:r>
        <w:rPr>
          <w:color w:val="000000"/>
        </w:rPr>
        <w:t>’</w:t>
      </w:r>
      <w:r>
        <w:rPr>
          <w:rFonts w:ascii="Times New Roman;serif" w:hAnsi="Times New Roman;serif"/>
          <w:b w:val="false"/>
          <w:i/>
          <w:color w:val="000000"/>
          <w:sz w:val="20"/>
        </w:rPr>
        <w:t>s Annual Report on Form 10-K for its fiscal year ended December 31, 2024 (“2024 Form 10-K”). The forward-looking statements included in this Form 10-Q are made only as of the date of the statement. We undertake no obligation to revise or update such statements to reflect current events or circumstances after the date hereof, or to reflect the occurrence of unanticipated events, except as required by law.</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should be read in conjunction with the Company’s 2024 Form 10-K, including the consolidated financial statements and related notes included therein.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Shenandoah Telecommunications Company (“Shentel”, “we”, “our”, “us”, or the “Company”) is a provider of a comprehensive range of broadband communication services in eight contiguous states in the eastern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Management Transitions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announced that its Board of Directors appointed Edward H. “Ed” McKay, the Company’s former Executive Vice President and Chief Operating Officer, as President and Chief Executive Officer (“CEO”), effective September 1, 2025. Christopher E. French, Shentel’s previous President and CEO, stepped into the role of Executive Chairman of the Board of Directors and remains active in steering the Company’s strategy while continuing to work closely with the senior leadership team and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executed an Asset Purchase Agreement to acquire FTTH assets and operations of a fiber business based in Virginia for $5 million, including passings of approximately 1,500 homes and approximately 700 customers. The Company completed the acquisition on July 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H.R.1 - 119th Congress (2025-2026)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H.R.1 was signed into law and includes numerous changes to existing tax law, including provisions providing current deductibility of certain property additions and limitations on interest deductions based on a tax EBITDA framework. These provisions are generally effective beginning in 2025, and we currently anticipate they will partially defer our income tax payments in future years. The legislation does not have a material impact on our consolidated financial statements for the interim period ended September 30, 2025, and we do not expect it to materially change our effective income tax rate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Three Months Ended September 30, 2025 Compared with the Three Months Ended September 30,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1065"/>
        <w:gridCol w:w="717"/>
        <w:gridCol w:w="719"/>
        <w:gridCol w:w="109"/>
        <w:gridCol w:w="109"/>
        <w:gridCol w:w="109"/>
        <w:gridCol w:w="211"/>
        <w:gridCol w:w="757"/>
        <w:gridCol w:w="109"/>
        <w:gridCol w:w="342"/>
        <w:gridCol w:w="277"/>
        <w:gridCol w:w="547"/>
        <w:gridCol w:w="109"/>
        <w:gridCol w:w="109"/>
        <w:gridCol w:w="109"/>
        <w:gridCol w:w="211"/>
        <w:gridCol w:w="721"/>
        <w:gridCol w:w="109"/>
        <w:gridCol w:w="342"/>
        <w:gridCol w:w="277"/>
        <w:gridCol w:w="547"/>
        <w:gridCol w:w="109"/>
        <w:gridCol w:w="109"/>
        <w:gridCol w:w="109"/>
        <w:gridCol w:w="211"/>
        <w:gridCol w:w="652"/>
        <w:gridCol w:w="109"/>
        <w:gridCol w:w="109"/>
        <w:gridCol w:w="109"/>
        <w:gridCol w:w="109"/>
        <w:gridCol w:w="323"/>
        <w:gridCol w:w="328"/>
        <w:gridCol w:w="323"/>
      </w:tblGrid>
      <w:tr>
        <w:trPr/>
        <w:tc>
          <w:tcPr>
            <w:tcW w:w="106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5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 Commercial Fiber and RLEC &amp; Other revenues for the prior year to conform with changes in how management currently views these lines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residential and small and medium business (“SMB”) customers in Incumbent Broadband Markets are primarily earned through the Company’s provision of data, video and voice services over primarily hybrid fiber coaxial (“HFC”) cable and to a lesser extent FTTH networks in incumbent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by $1.6 million, or 3.6%, in the three months ended September 30, 2025 compared with the three months ended September 30, 2024, primarily due to lower video revenue driven by a 14.9% decline in video revenue generating units (“RGUs”) and to a lesser extent a 1.3% decline in data ARPU.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residential and SMB customers in Glo Fiber Expansion Markets are primarily earned through the Company’s provision of data, video and voice services over FTTH networks in new greenfield expansion markets.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 revenue increased by $6.2 million, or 41.1%, in the three months ended September 30, 2025 compared with the three months ended September 30, 2024, primarily due to a 41.3% year-over-year growth in data RGUs driven by the Company’s increase in data penetration rate and increase in passings.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Commercial Fiber customers is primarily earned through the Company’s provision of high-speed Ethernet, dedicated internet access, wavelength, dark fiber leasing and managed services over fiber optic networks.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Commercial Fiber revenue decreased by $1.1 million, or 5.3%, in the three months ended September 30, 2025 compared with the three months ended September 30, 2024, primarily due to $0.9 million in non-cash deferred revenue adjustments for a carrier customer and $0.5 million in early termination fees earned in the prior year. Excluding these variances, Commercial Fiber revenue grew 2.3% over the prior period 2024.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RLEC &amp; Other revenue is primarily earned through the Company’s provision of voice and digital subscriber line (“DSL”) services over copper networks, primarily in Shenandoah County, Virginia and Ross County, Ohio. Shentel also earns governmental support revenue through the federal Universal Service Fund.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decreased by $1.3 million, or 16.8%, in the three months ended September 30, 2025 compared with the three months ended September 30, 2024, primarily due to lower governmental support revenue and a 21.1% decline in DSL RGUs as customers migrate to the recently constructed broadband data services.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primarily consist of costs to acquire and deliver video programming, internal labor to maintain our network and service our customers, maintenance and third-party network line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decreased by $2.0 million, or 5.9%, in the three months ended September 30, 2025 compared with the three months ended September 30, 2024, primarily due to decreases in network payroll, rent expense and line costs as the Company realized synergies related to its acquisition of Horizon.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employee compensation, advertising, software maintenance, stock-based compensation, and operating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$1.8 million, or 6.4%, in the three months ended September 30, 2025 compared with the three months ended September 30, 2024, primarily due to increases in advertising and property tax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 expense decreased by $1.4 million, or 82.5%, in the three months ended September 30, 2025 compared with the three months ended September 30, 2024. Restructuring, integration and acquisition expense in 2024 related primarily to costs incurred to effect the Company’s acquisition and integration of Horizon.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$6.8 million, or 24.6%, in the three months ended September 30, 2025 compared with the three months ended September 30, 2024, primarily due to $3.1 million of new depreciation associated with assets placed in service associated with the Company’s Glo Fiber network expansion of its Glo Fiber network and a $3.2 million write-off of plant under construction inventory assets no longer expected to be used.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$3.1 million, or 85.1%, in the three months ended September 30, 2025 compared with the three months ended September 30, 2024, due to an increase in the Company’s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$0.6 million, or 59.2%, in the three months ended September 30, 2025 compared with the three months ended September 30, 2024, primarily due to a reclassification of gains on interest rate swap from accumulated other comprehensive income to the Company’s unaudited condensed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$1.4 million, or 92.9%, in the three months ended September 30, 2025 compared with the three months ended September 30, 2024, due to higher pre-tax loss in the current period.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Nine Months Ended September 30, 2025 Compared with the Nine Months Ended September 30,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999"/>
        <w:gridCol w:w="634"/>
        <w:gridCol w:w="636"/>
        <w:gridCol w:w="109"/>
        <w:gridCol w:w="109"/>
        <w:gridCol w:w="109"/>
        <w:gridCol w:w="211"/>
        <w:gridCol w:w="826"/>
        <w:gridCol w:w="109"/>
        <w:gridCol w:w="342"/>
        <w:gridCol w:w="276"/>
        <w:gridCol w:w="529"/>
        <w:gridCol w:w="109"/>
        <w:gridCol w:w="109"/>
        <w:gridCol w:w="109"/>
        <w:gridCol w:w="211"/>
        <w:gridCol w:w="826"/>
        <w:gridCol w:w="109"/>
        <w:gridCol w:w="342"/>
        <w:gridCol w:w="276"/>
        <w:gridCol w:w="529"/>
        <w:gridCol w:w="109"/>
        <w:gridCol w:w="109"/>
        <w:gridCol w:w="109"/>
        <w:gridCol w:w="211"/>
        <w:gridCol w:w="858"/>
        <w:gridCol w:w="109"/>
        <w:gridCol w:w="109"/>
        <w:gridCol w:w="109"/>
        <w:gridCol w:w="109"/>
        <w:gridCol w:w="269"/>
        <w:gridCol w:w="273"/>
        <w:gridCol w:w="322"/>
      </w:tblGrid>
      <w:tr>
        <w:trPr/>
        <w:tc>
          <w:tcPr>
            <w:tcW w:w="99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Markets, Commercial Fiber and RLEC &amp; Other revenues in the prior year to conform with changes in how management currently views these lines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Shentel acquired Horizon on April 1, 2024 and consequently, results for the nine months ended September 30, 2024 included six months of Horizon revenue, whereas the comparable nine months ended September 30, 2025 included nine months of Horizon revenue. Information below includes the results of the acquired Horizon markets during the first three months of 2025 and explanations of the remaining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by $3.4 million, or 2.6%, in the nine months ended September 30, 2025 compared with the nine months ended September 30, 2024. Shentel recognized $1.7 million of revenues earned in the acquired Horizon markets during the first three months of 2025. The remaining decrease of $5.1 million was primarily due to lower video revenue driven by an 18.4% decline in video RGUs, lower installation revenue and 3.0% lower voice ARPU.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&amp; SMB - Glo Fiber Expansion Markets revenue increased by $18.2 million, or 44.1%, in the nine months ended September 30, 2025 compared with the nine months ended September 30, 2024. Shentel recognized $0.7 million of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earned in the acquired Horizon markets during the first three months of 2025. The remaining increase of $17.5 million was primarily due to a 45.2% year-over-year growth in data RGUs and an 18.5% year-over-year growth in video RGUs driven by the Company’s increase in penetration rates and increase in passings.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Fiber revenue increased by $7.3 million, or 14.1%, in the nine months ended September 30, 2025 compared with the nine months ended September 30, 2024. Shentel recognized $9.9 million of revenues earned in the acquired Horizon markets during the first three months of 2025. The remaining decrease of $2.6 million was primarily due to $1.9 million in non-cash deferred revenue adjustments for a carrier customer and $1.4 million in early termination fees earned in the prior year. Excluding these variances, Commercial Fiber revenue grew 2.6% over the prior period 2024.</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increased by $1.5 million, or 8.4%, in the nine months ended September 30, 2025 compared with the nine months ended September 30, 2024. Shentel recognized $2.9 million of revenues earned in the acquired Horizon markets during the first three months of 2025. The remaining decrease of $1.4 million was primarily due to a decrease in DSL RGUs as customers migrate to the Shentel recently constructed broadband data services.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increased by $3.1 million, or 3.3%, in the nine months ended September 30, 2025 compared with the nine months ended September 30, 2024. Shentel incurred $7.6 million of cost of services in the acquired Horizon markets during the first three months of 2025. The remaining decrease of $4.5 million was due to decreases in network payroll, line, and programming costs due to synergy savings realized to the Horizon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$4.3 million, or 5.0%, in the nine months ended September 30, 2025 compared with the nine months ended September 30, 2024. Shentel incurred $3.2 million of selling, general and administrative costs in the acquired Horizon markets during the first three months of 2025. The remaining increase of $1.1 million primarily due to increases in property taxes and advertising costs, partially offset by decreases in professional fees.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 expense decreased by $12.6 million, or 92.6%, in the nine months ended September 30, 2025 compared with the nine months ended September 30, 2024. Restructuring, integration and acquisition expense in 2024 related primarily to costs incurred to effect the Horizon Transaction and integration of costs during the post-acquisition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$28.4 million, or 40.1%, in the nine months ended September 30, 2025 compared with the nine months ended September 30, 2024. Shentel incurred $9.2 million of depreciation and amortization related to the tangible and intangible assets acquired in the Horizon Transaction during the first three months of 2025. The remaining increase of $19.2 million was due to the Company’s expansion of its Glo Fiber network and a $7.4 million write-off of inventory assets no longer expected to be used.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$5.9 million, or 50.6%, in the nine months ended September 30, 2025 compared with the nine months ended September 30, 2024 due to an increase in the Company’s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$0.7 million, or 15.0%, in the nine months ended September 30, 2025 compared with the nine months ended September 30, 2024 due to a favorable settlement of the Horizon acquisition related escrow claim and a reclassification of gains on interest rate swap from accumulated other comprehensive income to the Company’s unaudited condensed consolidated statements of operations, partially offset by higher interest income earned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 benefit decreased by $0.6 million, or 8.1%, in the nine months ended September 30, 2025 compared with the nine months ended September 30, 2024 due to higher excess tax benefits derived from vesting of restricted stock.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Additional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Dedicated Internet Access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over 18,000 route miles of fiber.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selected operating statistics. Shentel updated the presentation of certain revenues and voice RGUs in the prior year to conform with changes in how management views these lines of business. This reclassification resulted in updated Average Revenue per User (“ARPU”) and voice RGUs for the prior period.</w:t>
      </w:r>
    </w:p>
    <w:tbl>
      <w:tblPr>
        <w:tblW w:w="7452" w:type="dxa"/>
        <w:jc w:val="left"/>
        <w:tblInd w:w="0" w:type="dxa"/>
        <w:tblLayout w:type="fixed"/>
        <w:tblCellMar>
          <w:top w:w="28" w:type="dxa"/>
          <w:left w:w="28" w:type="dxa"/>
          <w:bottom w:w="28" w:type="dxa"/>
          <w:right w:w="28" w:type="dxa"/>
        </w:tblCellMar>
      </w:tblPr>
      <w:tblGrid>
        <w:gridCol w:w="1541"/>
        <w:gridCol w:w="1357"/>
        <w:gridCol w:w="1361"/>
        <w:gridCol w:w="109"/>
        <w:gridCol w:w="109"/>
        <w:gridCol w:w="109"/>
        <w:gridCol w:w="220"/>
        <w:gridCol w:w="756"/>
        <w:gridCol w:w="271"/>
        <w:gridCol w:w="109"/>
        <w:gridCol w:w="109"/>
        <w:gridCol w:w="109"/>
        <w:gridCol w:w="220"/>
        <w:gridCol w:w="756"/>
        <w:gridCol w:w="316"/>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and businesses passed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248,002 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234,366 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400,323 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319,511 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homes and businesses passed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553,877 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RGUs: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111,900 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111,320 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82,662 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59,266 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194,562 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170,586 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Residential &amp; SMB RGUs (excludes RLEC)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236,928 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Penetration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47.5 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18.5 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ARPU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83.42 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76.87 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Fiber route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fiber miles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1,957,272 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1,825,122 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(2)Penetration is calculated by dividing the number of users by the number of passings or available homes, as appropriate.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(3)ARPU calculation = (Residential &amp; SMB Revenue) / average RGUs / 3 months.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(4)Total fiber miles are measured by taking the number of fiber strands in a cable and multiplying that number by the route distance. For example, a 10 mile route with 144 fiber strands would equal 1,440 fiber miles.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Financial Condition, Liquidity and Capital Resources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 xml:space="preserve">Sources and Uses of Cash: </w:t>
      </w:r>
      <w:r>
        <w:rPr>
          <w:rFonts w:ascii="Times New Roman;serif" w:hAnsi="Times New Roman;serif"/>
          <w:b w:val="false"/>
          <w:color w:val="000000"/>
          <w:sz w:val="20"/>
        </w:rPr>
        <w:t>The Company’s principal sources of liquidity are our cash and cash equivalents, cash generated from operations, government grants and borrowings under our credit agreement, which contains a $150 million revolving credit facility (the “Revolver”) and $525 million in delayed draw amortizing term loans (the “Term Loans” and collectively with the Revolver, the “Credit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the American Rescue Plan Act and the Infrastructure Investment and Jobs Act to subsidize the deployment of high-speed broadband internet access in unserved areas. We have been awarded approximately $151.2 million in grants to serve approximately 26,900 unserved homes in the states of Virginia, Ohio, Maryland and West Virginia and to upgrade the capacity of the Ohio middle mile network. The grants will be paid to the Company as certain milestones are completed. As of September 30, 2025, the Company had received a total of $79.1 million in cash receipts and had $72.1 million in remaining reimbursements available under these grant programs. The Company expects to fulfill the majority of its obligations under these programs by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Company’s total available liquidity was $212.6 million, consisting of (i) cash and cash equivalents totaling $22.6 million; (ii) $117.9 million of availability under the Company’s revolving credit facility; and (iii) an aggregate of $72.1 million remaining reimbursements available under government grants, which reimbursements are subject to fulfilling the terms of the underlying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was approximately $74.5 million during the nine months ended September 30, 2025, representing an increase of $26.1 million compared with the prior year period, primarily driven by increases in revenue and timing of changes in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from continuing operations was approximately $209.9 million during the nine months ended September 30, 2025, representing a decrease of $351.0 million compared with the prior year period, primarily driven by a $342.4 million decrease in cash disbursed for acquisitions, partially offset by a $28.8 million increase in cash receipts from government grant programs, a $25.1 million increase in capital expenditures driven by government-subsidized network expansion projects in previously unserved areas of Incumbent Broadband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from continuing operations was approximately $114.1 million during the nine months ended September 30, 2025, representing a decrease of $2.9 million compared with the prior year period, primarily driven by a decrease of $79.4 million in cash inflows from preferred stock issuances, partially offset by an increase of $75.0 million in borrowings under the Term Loans and an increase of $2.8 million in payments of principal on long-term debt.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Indebtedness</w:t>
      </w:r>
      <w:r>
        <w:rPr>
          <w:rFonts w:ascii="Times New Roman;serif" w:hAnsi="Times New Roman;serif"/>
          <w:b w:val="false"/>
          <w:color w:val="000000"/>
          <w:sz w:val="20"/>
        </w:rPr>
        <w:t xml:space="preserve">: As of September 30, 2025, the Company’s net indebtedness was approximately $534.1 million, including $535.4 million in outstanding Term Loans and Revolver, net of unamortized loan fees of $1.2 million. The borrowed amounts bear interest at a variable rate determined by one-month term SOFR, plus a margin based on net leverage. The weighted-average interest rate for the Term Loans was 7.47% as of September 30,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Term Loans, which consist of Term Loan A-1, Term Loan A-2 and Term Loan A-3, have outstanding balances of $139.1 million, $147.4 million and $223.9 million, respectively. Shentel’s Revolver Loan has an outstanding balance of $25.0 million. The Term Loans require quarterly payments based on a percentage of the outstanding balance. The Revolver requires the entire outstanding principal to be paid on the maturity date. On April 16, 2025, Shentel amended the Credit Agreement (the “Fourth Amendment”) to extend the maturity date of the Revolver and Term Loan A-1 to July 1, 2027. Both Term Loan A-2 and Term Loan A-3 mature on July 1, 2028.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Refer to Note 9, </w:t>
      </w:r>
      <w:r>
        <w:rPr>
          <w:rFonts w:ascii="Times New Roman;serif" w:hAnsi="Times New Roman;serif"/>
          <w:b w:val="false"/>
          <w:i/>
          <w:color w:val="000000"/>
          <w:sz w:val="20"/>
        </w:rPr>
        <w:t>Debt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 the Company’s unaudited condensed consolidated financial statements</w:t>
      </w:r>
      <w:r>
        <w:rPr>
          <w:color w:val="000000"/>
        </w:rPr>
        <w:t xml:space="preserve"> </w:t>
      </w:r>
      <w:r>
        <w:rPr>
          <w:rFonts w:ascii="Times New Roman;serif" w:hAnsi="Times New Roman;serif"/>
          <w:b w:val="false"/>
          <w:color w:val="000000"/>
          <w:sz w:val="20"/>
        </w:rPr>
        <w:t>for more information about the Credit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Fourth Amendment of Shentel’s Credit Agreement also amended certain covenant provisions, including increasing the maximum Total Net Leverage Ratio (as defined in the Credit Agreement) permitted as of the last day of any fiscal quarter to 4.75:1.00. As of September 30, 2025, the Company was in compliance with the financial covenants in our Credit Agreement.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cash on hand, cash flows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our capital expenditures of $251.5 million exceeded our net cash provided by operating activities of continuing operations by $177.1 million, and we expect our capital expenditures to exceed the cash flows provided from continuing operations through 2026, as we expand our Glo Fiber broadband network.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our future capital requirements may differ materially from our estimates depending on the demand for our products and services, new market developments and expansion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could be adversely affected by events outside our control, including, without limitation, changes in overall economic conditions including rising inflation, changes in tariffs,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is critical to our ability to maintain positive cash flows from operations. The foregoing events individually or collectively could affect our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previously disclosed in Part II, Item 8 of our 2024 Form 10-K for the year ended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have borrowed a total of $550 million pursuant to the variable rate delayed draw Term Loans and the Revolver available under the Credit Agreement including the full amount available under our Term Loans A-1, A-2 and A-3.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$535.4 million of gross variable rate debt outstanding. The weighted-average interest rate was 7.47% for the Term Loans and Revolver at September 30, 2025. An increase in market interest rates of 1.00% would add approximately $5.3 million to annual interest expense.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pay-fixed, receive-variable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Term Loan A-1 and A-2 outstanding debt. The Company uses the Swaps to manage its exposure to interest rate risk for a portion of its long-term variable-rate Term Loans through interest rate swaps. Shentel effectively pays a fixed weighted-average interest rate of 2.90%, prior to interest rate margin provided under our credit facility.</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rFonts w:ascii="Times New Roman;serif" w:hAnsi="Times New Roman;serif"/>
          <w:b/>
          <w:color w:val="000000"/>
          <w:sz w:val="20"/>
        </w:rPr>
      </w:pPr>
      <w:r>
        <w:rPr>
          <w:rFonts w:ascii="Times New Roman;serif" w:hAnsi="Times New Roman;serif"/>
          <w:b/>
          <w:color w:val="000000"/>
          <w:sz w:val="20"/>
        </w:rPr>
        <w:t xml:space="preserve">ITEM 4.CONTROLS AND PROCEDURES </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September 30, 2025. Our certifying officers concluded that our disclosure controls and procedures were effective as of September 30,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fiscal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color w:val="000000"/>
          <w:sz w:val="20"/>
        </w:rPr>
        <w:t>ITEM 1A.</w:t>
      </w:r>
      <w:r>
        <w:rPr>
          <w:color w:val="000000"/>
        </w:rPr>
        <w:t xml:space="preserve"> </w:t>
      </w:r>
      <w:r>
        <w:rPr>
          <w:rFonts w:ascii="Times New Roman;serif" w:hAnsi="Times New Roman;serif"/>
          <w:b/>
          <w:color w:val="000000"/>
          <w:sz w:val="20"/>
        </w:rPr>
        <w:t>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discuss in our Annual Report on Form 10-K various risks that may materially affect our business. We use this section to update this discussion to reflect material developments since our Form 10-K was filed. As of September 30, 2025, the Company has identified one additional risk factor related to potential cost pressures associated with tariffs as presented in the Financial Condition and Liquidity section.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or Affiliated Purchasers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September 30, 2025, to settle employee tax withholding obligations related to the vesting of stock awards.</w:t>
      </w:r>
    </w:p>
    <w:p>
      <w:pPr>
        <w:pStyle w:val="TextBody"/>
        <w:bidi w:val="0"/>
        <w:spacing w:before="0" w:after="0"/>
        <w:jc w:val="both"/>
        <w:rPr/>
      </w:pPr>
      <w:r>
        <w:rPr/>
      </w:r>
    </w:p>
    <w:tbl>
      <w:tblPr>
        <w:tblW w:w="6805" w:type="dxa"/>
        <w:jc w:val="left"/>
        <w:tblInd w:w="0" w:type="dxa"/>
        <w:tblLayout w:type="fixed"/>
        <w:tblCellMar>
          <w:top w:w="28" w:type="dxa"/>
          <w:left w:w="28" w:type="dxa"/>
          <w:bottom w:w="28" w:type="dxa"/>
          <w:right w:w="28" w:type="dxa"/>
        </w:tblCellMar>
      </w:tblPr>
      <w:tblGrid>
        <w:gridCol w:w="1248"/>
        <w:gridCol w:w="1097"/>
        <w:gridCol w:w="1104"/>
        <w:gridCol w:w="539"/>
        <w:gridCol w:w="539"/>
        <w:gridCol w:w="541"/>
        <w:gridCol w:w="109"/>
        <w:gridCol w:w="109"/>
        <w:gridCol w:w="109"/>
        <w:gridCol w:w="413"/>
        <w:gridCol w:w="413"/>
        <w:gridCol w:w="58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Surrendered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to July 31</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to August 31</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to September 30</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1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hanging="54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officers or directors adopted or terminated any “Rule 10b5-1 trading arrangement” or any “non-Rule 10b5-1 trading arrangement” as each term is defined in Item 408 of Regulation S-K.</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 </w:t>
      </w:r>
      <w:r>
        <w:rPr>
          <w:color w:val="000000"/>
        </w:rPr>
        <w:t>    </w:t>
      </w:r>
      <w:r>
        <w:rPr>
          <w:rFonts w:ascii="Times New Roman;serif" w:hAnsi="Times New Roman;serif"/>
          <w:b/>
          <w:color w:val="000000"/>
          <w:sz w:val="20"/>
        </w:rPr>
        <w:t>Exhibits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0"/>
        <w:gridCol w:w="290"/>
        <w:gridCol w:w="291"/>
        <w:gridCol w:w="628"/>
        <w:gridCol w:w="558"/>
        <w:gridCol w:w="558"/>
        <w:gridCol w:w="1333"/>
        <w:gridCol w:w="1137"/>
        <w:gridCol w:w="1137"/>
        <w:gridCol w:w="1137"/>
        <w:gridCol w:w="1137"/>
        <w:gridCol w:w="1669"/>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109302025.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under the Securities Exchange Act of 1934.</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209302025.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under the Securities Exchange Act of 1934.</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309302025.htm">
              <w:r>
                <w:rPr>
                  <w:rStyle w:val="InternetLink"/>
                  <w:rFonts w:ascii="Times New Roman;serif" w:hAnsi="Times New Roman;serif"/>
                  <w:b w:val="false"/>
                  <w:color w:val="0000FF"/>
                  <w:sz w:val="20"/>
                  <w:u w:val="single"/>
                </w:rPr>
                <w:t>31.3</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Rule 13a-14(a) under the Securities Exchange Act of 1934.</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209302025.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pursuant to Rule 13a-14(b) under the Securities Exchange Act of 1934 and 18 U.S.C. § 1350.</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Formatted in Inline XBRL (Extensible Business Reporting Language)</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75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2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32" w:space="0" w:color="4444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ce08fae08e54eafaa8579d78431e04a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112" w:type="dxa"/>
        <w:jc w:val="left"/>
        <w:tblInd w:w="0" w:type="dxa"/>
        <w:tblLayout w:type="fixed"/>
        <w:tblCellMar>
          <w:top w:w="28" w:type="dxa"/>
          <w:left w:w="28" w:type="dxa"/>
          <w:bottom w:w="28" w:type="dxa"/>
          <w:right w:w="28" w:type="dxa"/>
        </w:tblCellMar>
      </w:tblPr>
      <w:tblGrid>
        <w:gridCol w:w="124"/>
        <w:gridCol w:w="109"/>
        <w:gridCol w:w="109"/>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28" w:type="dxa"/>
          <w:left w:w="28" w:type="dxa"/>
          <w:bottom w:w="28" w:type="dxa"/>
          <w:right w:w="28" w:type="dxa"/>
        </w:tblCellMar>
      </w:tblPr>
      <w:tblGrid>
        <w:gridCol w:w="124"/>
        <w:gridCol w:w="109"/>
        <w:gridCol w:w="109"/>
        <w:gridCol w:w="1218"/>
        <w:gridCol w:w="1218"/>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Edward H. McKay, certify that:</w:t>
      </w:r>
    </w:p>
    <w:p>
      <w:pPr>
        <w:pStyle w:val="TextBody"/>
        <w:bidi w:val="0"/>
        <w:spacing w:before="0" w:after="0"/>
        <w:ind w:left="0" w:right="0" w:firstLine="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w:t>
      </w:r>
      <w:r>
        <w:rPr>
          <w:color w:val="000000"/>
        </w:rPr>
        <w:t> </w:t>
      </w:r>
      <w:r>
        <w:rPr>
          <w:rFonts w:ascii="Times New Roman;serif" w:hAnsi="Times New Roman;serif"/>
          <w:b w:val="false"/>
          <w:color w:val="000000"/>
          <w:sz w:val="20"/>
        </w:rPr>
        <w:t>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EDWARD H. MCKAY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Edward H. McKay, President and Chief Executive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James J. Volk,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James J. Volk, Senior Vice President – Chief Financial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October 29,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Tracy Willis,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WILLIS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Tracy Willis, Vice President - Chief Accounting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29,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three and nine months ended September 30, 2025 filed on the date hereof with the Securities and Exchange Commission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Report fairly presents, in all material respects, the financial condition and result of operations of the Company.</w:t>
      </w:r>
    </w:p>
    <w:p>
      <w:pPr>
        <w:pStyle w:val="TextBody"/>
        <w:bidi w:val="0"/>
        <w:spacing w:before="0" w:after="0"/>
        <w:jc w:val="left"/>
        <w:rPr/>
      </w:pPr>
      <w:r>
        <w:rPr/>
      </w:r>
    </w:p>
    <w:tbl>
      <w:tblPr>
        <w:tblW w:w="4286" w:type="dxa"/>
        <w:jc w:val="left"/>
        <w:tblInd w:w="0" w:type="dxa"/>
        <w:tblLayout w:type="fixed"/>
        <w:tblCellMar>
          <w:top w:w="28" w:type="dxa"/>
          <w:left w:w="28" w:type="dxa"/>
          <w:bottom w:w="28" w:type="dxa"/>
          <w:right w:w="28" w:type="dxa"/>
        </w:tblCellMar>
      </w:tblPr>
      <w:tblGrid>
        <w:gridCol w:w="124"/>
        <w:gridCol w:w="109"/>
        <w:gridCol w:w="109"/>
        <w:gridCol w:w="1154"/>
        <w:gridCol w:w="1154"/>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29, 2025</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15781</Words>
  <Characters>89965</Characters>
  <CharactersWithSpaces>104248</CharactersWithSpaces>
  <Paragraphs>2920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