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54,857,145</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April 24, 2025)</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94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6"/>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Temporary Equity and Shareholders’ Equity</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5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70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5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$988 and $1,156, respectively</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29,722</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94,520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1,438,538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157,723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1,825,453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1,740,273</w:t>
            </w:r>
          </w:p>
        </w:tc>
        <w:tc>
          <w:tcPr>
            <w:tcW w:w="0" w:type="dxa"/>
            <w:vAlign w:val="bottom"/>
          </w:tcPr>
          <w:p>
            <w:pPr>
              <w:spacing w:after="0"/>
              <w:rPr>
                <w:sz w:val="1"/>
                <w:szCs w:val="1"/>
                <w:color w:val="auto"/>
              </w:rPr>
            </w:pPr>
          </w:p>
        </w:tc>
      </w:tr>
      <w:tr>
        <w:trPr>
          <w:trHeight w:val="26"/>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SHAREHOLDERS’ EQUITY</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maturities of long-term debt, net of unamortized loan fees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57,820</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111,994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114,571</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407,675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167,716</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plan obligations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33,525</w:t>
            </w:r>
          </w:p>
        </w:tc>
        <w:tc>
          <w:tcPr>
            <w:tcW w:w="0" w:type="dxa"/>
            <w:vAlign w:val="bottom"/>
          </w:tcPr>
          <w:p>
            <w:pPr>
              <w:spacing w:after="0"/>
              <w:rPr>
                <w:sz w:val="1"/>
                <w:szCs w:val="1"/>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214,851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216,980</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Temporary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82,464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no par value, authorized 96,000; 54,857 and 54,605 issued and outstanding at March 31, 2025 and</w:t>
            </w:r>
          </w:p>
        </w:tc>
        <w:tc>
          <w:tcPr>
            <w:tcW w:w="280" w:type="dxa"/>
            <w:vAlign w:val="bottom"/>
          </w:tcPr>
          <w:p>
            <w:pPr>
              <w:spacing w:after="0"/>
              <w:rPr>
                <w:sz w:val="14"/>
                <w:szCs w:val="14"/>
                <w:color w:val="auto"/>
              </w:rPr>
            </w:pPr>
          </w:p>
        </w:tc>
        <w:tc>
          <w:tcPr>
            <w:tcW w:w="1480" w:type="dxa"/>
            <w:vAlign w:val="bottom"/>
            <w:gridSpan w:val="2"/>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147,733</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758,393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768,997</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net of taxes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910,473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918,583</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temporary equity and shareholders’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1,825,453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1,740,273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480" w:type="dxa"/>
            <w:vAlign w:val="bottom"/>
            <w:gridSpan w:val="4"/>
          </w:tcPr>
          <w:p>
            <w:pPr>
              <w:jc w:val="right"/>
              <w:ind w:right="5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4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87,898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69,248</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27,978</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integration and acquisition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17,443</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72,024</w:t>
            </w:r>
          </w:p>
        </w:tc>
        <w:tc>
          <w:tcPr>
            <w:tcW w:w="0" w:type="dxa"/>
            <w:vAlign w:val="bottom"/>
          </w:tcPr>
          <w:p>
            <w:pPr>
              <w:spacing w:after="0"/>
              <w:rPr>
                <w:sz w:val="1"/>
                <w:szCs w:val="1"/>
                <w:color w:val="auto"/>
              </w:rPr>
            </w:pPr>
          </w:p>
        </w:tc>
      </w:tr>
      <w:tr>
        <w:trPr>
          <w:trHeight w:val="209"/>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16"/>
        </w:trPr>
        <w:tc>
          <w:tcPr>
            <w:tcW w:w="8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the sale of discontinued operations, net of tax</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216,805</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income from discontinued operations, net of tax</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218,786</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redeemable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income attributable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0" w:type="dxa"/>
            <w:vAlign w:val="bottom"/>
          </w:tcPr>
          <w:p>
            <w:pPr>
              <w:spacing w:after="0"/>
              <w:rPr>
                <w:sz w:val="1"/>
                <w:szCs w:val="1"/>
                <w:color w:val="auto"/>
              </w:rPr>
            </w:pPr>
          </w:p>
        </w:tc>
      </w:tr>
      <w:tr>
        <w:trPr>
          <w:trHeight w:val="26"/>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common shareholders, basic and diluted: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54,959</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50,520</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4"/>
                <w:szCs w:val="14"/>
                <w:color w:val="auto"/>
              </w:rPr>
            </w:pPr>
          </w:p>
        </w:tc>
        <w:tc>
          <w:tcPr>
            <w:tcW w:w="2480" w:type="dxa"/>
            <w:vAlign w:val="bottom"/>
            <w:gridSpan w:val="4"/>
          </w:tcPr>
          <w:p>
            <w:pPr>
              <w:jc w:val="right"/>
              <w:ind w:right="5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4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unrealized (loss) gain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Amounts reclassified to interest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216,290</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on redeemable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Comprehensive (loss) income attributable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216,290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1160"/>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TEMPORARY EQUITY AND SHAREHOLDERS' EQUITY </w:t>
      </w:r>
      <w:r>
        <w:rPr>
          <w:rFonts w:ascii="Times New Roman" w:cs="Times New Roman" w:eastAsia="Times New Roman" w:hAnsi="Times New Roman"/>
          <w:sz w:val="18"/>
          <w:szCs w:val="18"/>
          <w:i w:val="1"/>
          <w:iCs w:val="1"/>
          <w:color w:val="auto"/>
        </w:rPr>
        <w:t>(in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 par 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960" w:type="dxa"/>
            <w:vAlign w:val="bottom"/>
            <w:gridSpan w:val="2"/>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82,464</w:t>
            </w:r>
          </w:p>
        </w:tc>
        <w:tc>
          <w:tcPr>
            <w:tcW w:w="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54,605</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147,733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768,997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918,583</w:t>
            </w:r>
          </w:p>
        </w:tc>
        <w:tc>
          <w:tcPr>
            <w:tcW w:w="0" w:type="dxa"/>
            <w:vAlign w:val="bottom"/>
          </w:tcPr>
          <w:p>
            <w:pPr>
              <w:spacing w:after="0"/>
              <w:rPr>
                <w:sz w:val="1"/>
                <w:szCs w:val="1"/>
                <w:color w:val="auto"/>
              </w:rPr>
            </w:pPr>
          </w:p>
        </w:tc>
      </w:tr>
      <w:tr>
        <w:trPr>
          <w:trHeight w:val="19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(9,132)</w:t>
            </w:r>
          </w:p>
        </w:tc>
        <w:tc>
          <w:tcPr>
            <w:tcW w:w="0" w:type="dxa"/>
            <w:vAlign w:val="bottom"/>
          </w:tcPr>
          <w:p>
            <w:pPr>
              <w:spacing w:after="0"/>
              <w:rPr>
                <w:sz w:val="1"/>
                <w:szCs w:val="1"/>
                <w:color w:val="auto"/>
              </w:rPr>
            </w:pPr>
          </w:p>
        </w:tc>
      </w:tr>
      <w:tr>
        <w:trPr>
          <w:trHeight w:val="16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Unrealized loss on interest</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00" w:type="dxa"/>
            <w:vAlign w:val="bottom"/>
            <w:tcBorders>
              <w:right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88"/>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reclassified from</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accumulated other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comprehensive income to</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88"/>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0" w:type="dxa"/>
            <w:vAlign w:val="bottom"/>
          </w:tcPr>
          <w:p>
            <w:pPr>
              <w:spacing w:after="0"/>
              <w:rPr>
                <w:sz w:val="1"/>
                <w:szCs w:val="1"/>
                <w:color w:val="auto"/>
              </w:rPr>
            </w:pPr>
          </w:p>
        </w:tc>
      </w:tr>
      <w:tr>
        <w:trPr>
          <w:trHeight w:val="202"/>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88"/>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Preferred stock dividends -</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9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paid in kind</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8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83,936</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54,857</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150,857</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758,393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910,473</w:t>
            </w:r>
          </w:p>
        </w:tc>
        <w:tc>
          <w:tcPr>
            <w:tcW w:w="0" w:type="dxa"/>
            <w:vAlign w:val="bottom"/>
          </w:tcPr>
          <w:p>
            <w:pPr>
              <w:spacing w:after="0"/>
              <w:rPr>
                <w:sz w:val="1"/>
                <w:szCs w:val="1"/>
                <w:color w:val="auto"/>
              </w:rPr>
            </w:pPr>
          </w:p>
        </w:tc>
      </w:tr>
      <w:tr>
        <w:trPr>
          <w:trHeight w:val="733"/>
        </w:trPr>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tc>
        <w:tc>
          <w:tcPr>
            <w:tcW w:w="26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2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right w:val="single" w:sz="8" w:color="auto"/>
            </w:tcBorders>
            <w:gridSpan w:val="3"/>
            <w:vMerge w:val="continue"/>
          </w:tcPr>
          <w:p>
            <w:pPr>
              <w:spacing w:after="0"/>
              <w:rPr>
                <w:sz w:val="17"/>
                <w:szCs w:val="17"/>
                <w:color w:val="auto"/>
              </w:rPr>
            </w:pPr>
          </w:p>
        </w:tc>
        <w:tc>
          <w:tcPr>
            <w:tcW w:w="80" w:type="dxa"/>
            <w:vAlign w:val="bottom"/>
            <w:gridSpan w:val="2"/>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00" w:type="dxa"/>
            <w:vAlign w:val="bottom"/>
            <w:tcBorders>
              <w:top w:val="single" w:sz="8" w:color="auto"/>
            </w:tcBorders>
            <w:gridSpan w:val="2"/>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gridSpan w:val="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50,272</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66,933</w:t>
            </w:r>
          </w:p>
        </w:tc>
        <w:tc>
          <w:tcPr>
            <w:tcW w:w="10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584,069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652,670</w:t>
            </w:r>
          </w:p>
        </w:tc>
        <w:tc>
          <w:tcPr>
            <w:tcW w:w="0" w:type="dxa"/>
            <w:vAlign w:val="bottom"/>
          </w:tcPr>
          <w:p>
            <w:pPr>
              <w:spacing w:after="0"/>
              <w:rPr>
                <w:sz w:val="1"/>
                <w:szCs w:val="1"/>
                <w:color w:val="auto"/>
              </w:rPr>
            </w:pPr>
          </w:p>
        </w:tc>
      </w:tr>
      <w:tr>
        <w:trPr>
          <w:trHeight w:val="19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214,696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214,696</w:t>
            </w:r>
          </w:p>
        </w:tc>
        <w:tc>
          <w:tcPr>
            <w:tcW w:w="0" w:type="dxa"/>
            <w:vAlign w:val="bottom"/>
          </w:tcPr>
          <w:p>
            <w:pPr>
              <w:spacing w:after="0"/>
              <w:rPr>
                <w:sz w:val="1"/>
                <w:szCs w:val="1"/>
                <w:color w:val="auto"/>
              </w:rPr>
            </w:pPr>
          </w:p>
        </w:tc>
      </w:tr>
      <w:tr>
        <w:trPr>
          <w:trHeight w:val="158"/>
        </w:trPr>
        <w:tc>
          <w:tcPr>
            <w:tcW w:w="2840" w:type="dxa"/>
            <w:vAlign w:val="bottom"/>
            <w:gridSpan w:val="3"/>
          </w:tcPr>
          <w:p>
            <w:pPr>
              <w:ind w:left="120"/>
              <w:spacing w:after="0" w:line="159" w:lineRule="exact"/>
              <w:rPr>
                <w:sz w:val="20"/>
                <w:szCs w:val="20"/>
                <w:color w:val="auto"/>
              </w:rPr>
            </w:pPr>
            <w:r>
              <w:rPr>
                <w:rFonts w:ascii="Times New Roman" w:cs="Times New Roman" w:eastAsia="Times New Roman" w:hAnsi="Times New Roman"/>
                <w:sz w:val="14"/>
                <w:szCs w:val="14"/>
                <w:color w:val="auto"/>
              </w:rPr>
              <w:t>Unrealized gain on interest</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100" w:type="dxa"/>
            <w:vAlign w:val="bottom"/>
            <w:tcBorders>
              <w:right w:val="single" w:sz="8" w:color="auto"/>
            </w:tcBorders>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188"/>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rate hedge, net of tax</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3"/>
            <w:vMerge w:val="continue"/>
          </w:tcPr>
          <w:p>
            <w:pPr>
              <w:spacing w:after="0"/>
              <w:rPr>
                <w:sz w:val="16"/>
                <w:szCs w:val="16"/>
                <w:color w:val="auto"/>
              </w:rPr>
            </w:pPr>
          </w:p>
        </w:tc>
        <w:tc>
          <w:tcPr>
            <w:tcW w:w="80" w:type="dxa"/>
            <w:vAlign w:val="bottom"/>
            <w:gridSpan w:val="2"/>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203"/>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8"/>
        </w:trPr>
        <w:tc>
          <w:tcPr>
            <w:tcW w:w="2840" w:type="dxa"/>
            <w:vAlign w:val="bottom"/>
            <w:gridSpan w:val="3"/>
          </w:tcPr>
          <w:p>
            <w:pPr>
              <w:ind w:left="120"/>
              <w:spacing w:after="0" w:line="159" w:lineRule="exact"/>
              <w:rPr>
                <w:sz w:val="20"/>
                <w:szCs w:val="20"/>
                <w:color w:val="auto"/>
              </w:rPr>
            </w:pPr>
            <w:r>
              <w:rPr>
                <w:rFonts w:ascii="Times New Roman" w:cs="Times New Roman" w:eastAsia="Times New Roman" w:hAnsi="Times New Roman"/>
                <w:sz w:val="14"/>
                <w:szCs w:val="14"/>
                <w:color w:val="auto"/>
              </w:rPr>
              <w:t>Shares surrendered for</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4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settlement of employee taxes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upon issuance of vested</w:t>
            </w: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Borders>
              <w:right w:val="single" w:sz="8" w:color="auto"/>
            </w:tcBorders>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88"/>
        </w:trPr>
        <w:tc>
          <w:tcPr>
            <w:tcW w:w="28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4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right w:val="single" w:sz="8" w:color="auto"/>
            </w:tcBorders>
            <w:gridSpan w:val="3"/>
            <w:vMerge w:val="continue"/>
          </w:tcPr>
          <w:p>
            <w:pPr>
              <w:spacing w:after="0"/>
              <w:rPr>
                <w:sz w:val="16"/>
                <w:szCs w:val="16"/>
                <w:color w:val="auto"/>
              </w:rPr>
            </w:pPr>
          </w:p>
        </w:tc>
        <w:tc>
          <w:tcPr>
            <w:tcW w:w="80" w:type="dxa"/>
            <w:vAlign w:val="bottom"/>
            <w:gridSpan w:val="2"/>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gridSpan w:val="3"/>
          </w:tcPr>
          <w:p>
            <w:pPr>
              <w:spacing w:after="0"/>
              <w:rPr>
                <w:sz w:val="2"/>
                <w:szCs w:val="2"/>
                <w:color w:val="auto"/>
              </w:rPr>
            </w:pPr>
          </w:p>
        </w:tc>
        <w:tc>
          <w:tcPr>
            <w:tcW w:w="4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right w:val="single" w:sz="8" w:color="auto"/>
            </w:tcBorders>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00" w:type="dxa"/>
            <w:vAlign w:val="bottom"/>
            <w:tcBorders>
              <w:top w:val="single" w:sz="8" w:color="auto"/>
              <w:bottom w:val="single" w:sz="8" w:color="auto"/>
            </w:tcBorders>
            <w:gridSpan w:val="2"/>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50,447</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69,616</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798,765</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871,643</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6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218,786</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0" w:type="dxa"/>
            <w:vAlign w:val="bottom"/>
          </w:tcPr>
          <w:p>
            <w:pPr>
              <w:spacing w:after="0"/>
              <w:rPr>
                <w:sz w:val="1"/>
                <w:szCs w:val="1"/>
                <w:color w:val="auto"/>
              </w:rPr>
            </w:pPr>
          </w:p>
        </w:tc>
      </w:tr>
      <w:tr>
        <w:trPr>
          <w:trHeight w:val="216"/>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20,524</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15,158</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(70,053)</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grants received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(67,343)</w:t>
            </w:r>
          </w:p>
        </w:tc>
        <w:tc>
          <w:tcPr>
            <w:tcW w:w="0" w:type="dxa"/>
            <w:vAlign w:val="bottom"/>
          </w:tcPr>
          <w:p>
            <w:pPr>
              <w:spacing w:after="0"/>
              <w:rPr>
                <w:sz w:val="1"/>
                <w:szCs w:val="1"/>
                <w:color w:val="auto"/>
              </w:rPr>
            </w:pP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investing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305,827</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(76,260)</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238,484</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97,011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250,480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46,272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87,547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389,735</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 refunds received</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 fiber network.</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2024.</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October 2023, the Financial Accounting Standards Board (“FASB”) issued Accounting Standards Update (“ASU”) 2023-06, “Disclosure Improvements: Codification Amendments in Response to the SEC’s Disclosure Update and Simplification Initiative,” (“ASU 2023-06”) which aligns the disclosure and presentation requirements of a variety of the FASB’s ASC Topics with the requirements described in the SEC’s Disclosure Update and Simplification Initiative. ASU 2023-06 will become effective for each amendment on the effective date of the SEC’s corresponding disclosure rule changes; these dates are unknown as of this filing. The Company is currently assessing the impact of adopting ASU 2023-06 on the consolidated financial statements and related disclosures.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This accounting update requires public entities, on an annual basis, to provide disclosure of specific categories in the rate reconciliation, as well as disclosure of income taxes paid disaggregated by jurisdiction. The updated disclosure requirements are to be adopted for annual periods beginning after December 15, 2024. Early adoption is permitted. The Company is currently assessing the impact of adopting ASU 2023-09 on the consolidated financial statements and related disclosures. The Company does not anticipate adoption will have a material impact on the financial position, results of operations, cash flows or disclosures.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2024, that would be expected to impact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 of Horizon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2024 (the “Closing Date”), Shentel completed the acquisition of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purchase price used to apply the acquisition method of accounting was $416.2 million, which consisted of $349.4 million of cash consideration paid and $71.8 million of common stock, representing the fair value of 4,100,375 shares of Shentel’s common stock issued to a selling shareholder of Horizon. In accordance with Accounting Standards Codification (ASC) 805, “Business Combinations,” the allocation of the consideration value was subject to adjustment until the Company completed its analysis, in a period of time, but not to exceed one year after the date of acquisition, or April 1, 2025, in order to provide the Company with the time to complete the valuation of its assets and liabilities. As of April 1, 2025, the Company has completed and finalized its analysis and allocation of the consideration value to assets acquired and liabilities assumed.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Shentel incurred integration and acquisition-related costs of $0.6 million and $0.4 million related to severance, legal, banking, information technology, and representation and warranty insurance and other similar expenses for the three months ended March 31, 2025 and 2024, respectively. These costs are recorded in restructuring, integration and acquisition expenses in the Company’s unaudited condensed consolidated statements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included the results of the operations of Horizon for financial reporting purposes for the period subsequent to the date of acquisition. The unaudited pro forma operating revenues and loss before income taxes of the Company for the three months ended March 31, 2024, as if the Horizon Transaction had occurred at the beginning of the period, were $85.1 million and $10.1 million, respectively. The pro forma results are based upon estimated valuations of the assets acquired and liabilities assumed as well as preliminary estimates of depreciation and amortization charges thereon. Other pro forma adjustments include the following:</w:t>
      </w:r>
    </w:p>
    <w:p>
      <w:pPr>
        <w:spacing w:after="0" w:line="210"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amortization due to the customer-based contract rights associated with acquired customers;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Horizon’s interest expense and amortization of deferred financing fees due to the repayment of the outstanding principal of Horizon’s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activity type were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5"/>
        </w:trPr>
        <w:tc>
          <w:tcPr>
            <w:tcW w:w="82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Residential &amp; SMB - Incumbent Broadband Markets</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1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43,809</w:t>
            </w:r>
          </w:p>
        </w:tc>
        <w:tc>
          <w:tcPr>
            <w:tcW w:w="0" w:type="dxa"/>
            <w:vAlign w:val="bottom"/>
          </w:tcPr>
          <w:p>
            <w:pPr>
              <w:spacing w:after="0"/>
              <w:rPr>
                <w:sz w:val="1"/>
                <w:szCs w:val="1"/>
                <w:color w:val="auto"/>
              </w:rPr>
            </w:pPr>
          </w:p>
        </w:tc>
      </w:tr>
      <w:tr>
        <w:trPr>
          <w:trHeight w:val="233"/>
        </w:trPr>
        <w:tc>
          <w:tcPr>
            <w:tcW w:w="82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Residential &amp; SMB - Glo Fiber Expansion Markets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Fiber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RLEC &amp; Other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59"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residential and small and medium business (“SMB”) customers in Incumbent Broadband Markets is primarily earned through the Company’s provision of data, video and voice services over primarily hybrid fiber coaxial cable and to a lesser extent fiber to the home (“FTTH”) networks in incumbent markets.</w:t>
      </w:r>
    </w:p>
    <w:p>
      <w:pPr>
        <w:ind w:left="660" w:right="20" w:hanging="328"/>
        <w:spacing w:after="0" w:line="283"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residential and SMB customers in Glo Fiber Expansion Markets is primarily earned through the Company’s provision of data, video and voice services over FTTH networks in new greenfield expansion markets.</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Shentel updated the presentation of certain Residential &amp; SMB - Incumbent Broadband Markets and Commercial Fiber revenues in the prior year to conform with changes in how management views these lines of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had $22.2 million and $27.4 million of gross trade receivables from customers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of current and non-current contract assets: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payments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Shentel’s current contract liability balances were $12.7 million and $12.5 million at March 31, 2025 and December 31, 2024, respectively. Shentel’s non-current contract liability balances were $10.0 million and $9.5 million as of March 31, 2025 and December 31, 2024, respectively. Shentel expects its current contract liability balances to be recognized as revenues during the twelve-month periods following the respective balance sheet dates and its non-current contract liability balances to be recognized as revenues after the twelve-month periods following the respective balance sheet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consisted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fair value of the SERP investments is based on unadjusted quoted prices in active markets and are classified as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value hierarchy.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Shentel’s investment in CoBank’s Class A common stock, derived from the CoBank patronage program,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Company’s cost method investments with a balance of $12.0 million and $12.1 million at March 31, 2025 and December 31, 2024, respectively. Shentel recognized approximately $0.7 million and $0.3 million of patronage income in other income, net for the three months ended March 31, 2025 and 2024, respectively. The Company expects that approximately 75% of the patronage distributions will be collected in cash and 25% in equity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520" w:type="dxa"/>
            <w:vAlign w:val="bottom"/>
            <w:gridSpan w:val="2"/>
            <w:vMerge w:val="continue"/>
          </w:tcPr>
          <w:p>
            <w:pPr>
              <w:spacing w:after="0"/>
              <w:rPr>
                <w:sz w:val="21"/>
                <w:szCs w:val="21"/>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6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10 - 45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12 - 30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1,294,689</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4 - 12 years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421,483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417,057</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plant in service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1,772,683</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207,428</w:t>
            </w:r>
          </w:p>
        </w:tc>
        <w:tc>
          <w:tcPr>
            <w:tcW w:w="0" w:type="dxa"/>
            <w:vAlign w:val="bottom"/>
          </w:tcPr>
          <w:p>
            <w:pPr>
              <w:spacing w:after="0"/>
              <w:rPr>
                <w:sz w:val="1"/>
                <w:szCs w:val="1"/>
                <w:color w:val="auto"/>
              </w:rPr>
            </w:pPr>
          </w:p>
        </w:tc>
      </w:tr>
      <w:tr>
        <w:trPr>
          <w:trHeight w:val="218"/>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1,980,111</w:t>
            </w:r>
          </w:p>
        </w:tc>
        <w:tc>
          <w:tcPr>
            <w:tcW w:w="0" w:type="dxa"/>
            <w:vAlign w:val="bottom"/>
          </w:tcPr>
          <w:p>
            <w:pPr>
              <w:spacing w:after="0"/>
              <w:rPr>
                <w:sz w:val="1"/>
                <w:szCs w:val="1"/>
                <w:color w:val="auto"/>
              </w:rPr>
            </w:pP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(541,573)</w:t>
            </w:r>
          </w:p>
        </w:tc>
        <w:tc>
          <w:tcPr>
            <w:tcW w:w="0" w:type="dxa"/>
            <w:vAlign w:val="bottom"/>
          </w:tcPr>
          <w:p>
            <w:pPr>
              <w:spacing w:after="0"/>
              <w:rPr>
                <w:sz w:val="1"/>
                <w:szCs w:val="1"/>
                <w:color w:val="auto"/>
              </w:rPr>
            </w:pPr>
          </w:p>
        </w:tc>
      </w:tr>
      <w:tr>
        <w:trPr>
          <w:trHeight w:val="223"/>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1,438,538</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increased primarily due to capital expenditures to support the Company’s Glo Fiber market expansion. The Company’s accounts payable as of March 31, 2025 and December 31, 2024 included amounts associated with capital expenditures of approximately $55.6 million and $55.1 million, respectively. Depreciation and amortization expense was $29.0 million and $17.3 million during the three months ended March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5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6"/>
                <w:szCs w:val="16"/>
                <w:color w:val="auto"/>
              </w:rPr>
            </w:pPr>
          </w:p>
        </w:tc>
        <w:tc>
          <w:tcPr>
            <w:tcW w:w="94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c>
          <w:tcPr>
            <w:tcW w:w="15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6"/>
                <w:szCs w:val="16"/>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 and other</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187,021</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186,994</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$0.5 million and $0.1 million during the three months ended March 31, 2025 and 2024, respectively.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performed goodwill impairment monitoring procedures and identified no indicators of impairment or triggering events. As of October 1, 2024, management concluded that the estimated fair value of the broadband reporting unit exceeded the carrying value by 11%. The Company will continue to monitor its reporting unit for any triggers that could impact recoverability of goodwill.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Other Assets and Accrued Liabilities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broadband network sites, fiber optic cable routes, warehouses, retail stores and office facilities for use in 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9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40" w:type="dxa"/>
            <w:vAlign w:val="bottom"/>
          </w:tcPr>
          <w:p>
            <w:pPr>
              <w:spacing w:after="0"/>
              <w:rPr>
                <w:sz w:val="16"/>
                <w:szCs w:val="16"/>
                <w:color w:val="auto"/>
              </w:rPr>
            </w:pPr>
          </w:p>
        </w:tc>
        <w:tc>
          <w:tcPr>
            <w:tcW w:w="284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Finance lease cost</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900" w:type="dxa"/>
            <w:vAlign w:val="bottom"/>
            <w:gridSpan w:val="2"/>
          </w:tcPr>
          <w:p>
            <w:pPr>
              <w:spacing w:after="0" w:line="234"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14"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expense is presented in cost of services or selling, general and administrative expense based on the use of the relevant facility.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5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as of March 31, 2025: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2,993</w:t>
            </w:r>
          </w:p>
        </w:tc>
        <w:tc>
          <w:tcPr>
            <w:tcW w:w="14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0" w:type="dxa"/>
            <w:vAlign w:val="bottom"/>
          </w:tcPr>
          <w:p>
            <w:pPr>
              <w:spacing w:after="0"/>
              <w:rPr>
                <w:sz w:val="1"/>
                <w:szCs w:val="1"/>
                <w:color w:val="auto"/>
              </w:rPr>
            </w:pPr>
          </w:p>
        </w:tc>
      </w:tr>
      <w:tr>
        <w:trPr>
          <w:trHeight w:val="21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0" w:type="dxa"/>
            <w:vAlign w:val="bottom"/>
          </w:tcPr>
          <w:p>
            <w:pPr>
              <w:spacing w:after="0"/>
              <w:rPr>
                <w:sz w:val="1"/>
                <w:szCs w:val="1"/>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14,005</w:t>
            </w:r>
          </w:p>
        </w:tc>
        <w:tc>
          <w:tcPr>
            <w:tcW w:w="1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was as follows:</w:t>
            </w: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513"/>
        </w:trPr>
        <w:tc>
          <w:tcPr>
            <w:tcW w:w="1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7"/>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2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189"/>
        </w:trPr>
        <w:tc>
          <w:tcPr>
            <w:tcW w:w="804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new lease liabilities (includes new leases or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modification of existing leases)</w:t>
            </w: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$1.7 million and $0.7 million for the three months ended March 31, 2025 and 2024, respectively. These amounts are presented in service revenue and other in the Company’s unaudited condensed consolidated statements of operations. Contractual minimum rental receipts expected under the lease agreements in place as of March 31, 2025 is as follows: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29"/>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w:t>
            </w: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33,737</w:t>
            </w:r>
          </w:p>
        </w:tc>
      </w:tr>
      <w:tr>
        <w:trPr>
          <w:trHeight w:val="20"/>
        </w:trPr>
        <w:tc>
          <w:tcPr>
            <w:tcW w:w="9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 Broadband Operations LLC, an indirect wholly owned subsidiary of Shentel, has a credit agreement which contains a $150 million revolving credit facility (the “Revolver”) and $525 million in delayed draw amortizing term loans, including Term Loans A-1, A-2 and A-3 in the table below (collectively, the “Term Loans” and collectively with Revolver, the “Credit Agreement”). As of March 31, 2025, the availability under our Revolver was $143.0 million. The following loans were outstanding under the Credit Agreement:</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148,506</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A-3</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417,957</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514,547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416,879</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Loans bear interest at one-month term SOFR plus a margin. The margin is variable and determined by the Company’s net leverage ratio. Interest is paid monthly. The weighted-average interest rate was 6.71% for the Term Loans at March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 is charged commitment fees on unutilized portions of its Revolver and Term Loans. The Company recorded $0.2 million and $0.1 million related to these fees for the three months ended March 31, 2025 and 2024, respectively, which are included in interest expense in the unaudited condensed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recorded in Shentel’s unaudited condensed consolidated statements of operations consisted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7,262</w:t>
            </w:r>
          </w:p>
        </w:tc>
        <w:tc>
          <w:tcPr>
            <w:tcW w:w="1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5,383</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(2,370)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(1,307)</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4,892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4,076</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Shentel’s Term Loans require quarterly payments based on a percentage of the outstanding balance. As of March 31, 2025, Term Loan A-1 was due to mature on July 1, 2026. On April 16, 2025, Shentel amended the Credit Agreement to extend the maturity date of the Revolver and Term Loan A-1 to July 1, 2027. Both Term Loan A-2 and Term Loan A-3 mature on July 1, 2028.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April 16, 2025 amendment of Shentel’s Credit Agreement also amended certain covenant provisions, including increasing the maximum Total Net Leverage Ratio (as defined in the Credit Agreement) permitted as of the last day of any fiscal quarter to 4.75:1.00.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payments of Shentel’s outstanding borrowings as of March 31, 2025:</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Amended</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3380" w:type="dxa"/>
            <w:vAlign w:val="bottom"/>
          </w:tcPr>
          <w:p>
            <w:pPr>
              <w:spacing w:after="0"/>
              <w:rPr>
                <w:sz w:val="18"/>
                <w:szCs w:val="18"/>
                <w:color w:val="auto"/>
              </w:rPr>
            </w:pP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8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141,052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140,792</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3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356,483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356,483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515,779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38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8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has not borrowed against its Revolver as of March 31, 2025. In the event borrowings are made in the future, the entire outstanding principal amount borrowed against the Revolver is due July 1, 2027.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Although no borrowings have been executed under the Revolver, Shentel has executed letter of credit arrangements totaling $7.0 million that reduce the available balance of the Revolver. The letter of credit arrangements were executed primarily pursuant to the requirements of the National Telecommunications and Information (“NTIA”) government grant program, discussed further in Note 14,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These amounts are not considered borrowed, as no cash has been disbursed to Shentel or other parties.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Derivatives and Hedging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 has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Swaps were determined to be highly effective hedges and therefore all change in the fair value of the Swaps was recognized in accumulated other comprehensive income.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0" w:type="dxa"/>
        <w:tblCellMar>
          <w:top w:w="0" w:type="dxa"/>
          <w:left w:w="0" w:type="dxa"/>
          <w:bottom w:w="0" w:type="dxa"/>
          <w:right w:w="0" w:type="dxa"/>
        </w:tblCellMar>
      </w:tblPr>
      <w:tr>
        <w:trPr>
          <w:trHeight w:val="18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30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5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9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49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sheet line item of derivative financial instruments: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by component:</w:t>
            </w: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680" w:type="dxa"/>
            <w:vAlign w:val="bottom"/>
            <w:gridSpan w:val="5"/>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4"/>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6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49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86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unrealized loss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4"/>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5"/>
                <w:szCs w:val="15"/>
                <w:color w:val="auto"/>
              </w:rPr>
            </w:pPr>
          </w:p>
        </w:tc>
        <w:tc>
          <w:tcPr>
            <w:tcW w:w="15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currently involved in one state income tax audit and no federal income tax audits as of March 31, 2025. The Company’s income tax returns are generally open to examination from 2021 forward. The net operating losses acquired in the acquisition of nTelos are open to examination from 2005 forward and the net operating losses acquired from Horizon are open to examination from 2013 forward.</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2025 and 2024, differ from the statutory U.S. federal income tax rate of 21% primarily due to the state income taxes, excess tax benefits and other discrete items.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tax benefit at federal statutory rate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 income tax benefit, net of federal tax effect</w:t>
      </w:r>
    </w:p>
    <w:p>
      <w:pPr>
        <w:spacing w:after="0" w:line="27" w:lineRule="exact"/>
        <w:rPr>
          <w:sz w:val="20"/>
          <w:szCs w:val="20"/>
          <w:color w:val="auto"/>
        </w:rPr>
      </w:pPr>
    </w:p>
    <w:p>
      <w:pPr>
        <w:ind w:left="140" w:right="1940" w:hanging="120"/>
        <w:spacing w:after="0" w:line="292" w:lineRule="auto"/>
        <w:rPr>
          <w:sz w:val="20"/>
          <w:szCs w:val="20"/>
          <w:color w:val="auto"/>
        </w:rPr>
      </w:pPr>
      <w:r>
        <w:rPr>
          <w:rFonts w:ascii="Times New Roman" w:cs="Times New Roman" w:eastAsia="Times New Roman" w:hAnsi="Times New Roman"/>
          <w:sz w:val="18"/>
          <w:szCs w:val="18"/>
          <w:color w:val="auto"/>
        </w:rPr>
        <w:t>Excess tax deficiency from share-based compensation and other expense, net Income tax benefit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19" w:right="339" w:bottom="1440" w:gutter="0" w:footer="0" w:header="0"/>
          <w:type w:val="continuous"/>
        </w:sectPr>
      </w:pP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made no cash payments for income taxes owed during the three months ended March 31, 2025 and 2024. The Company received $0.2 million in refunds for income taxes during the three months ended March 31, 2025. The Company received no cash refunds for income taxes during the three months ended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Noncontrolling Interest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2024,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As of March 31, 2025, 100,000 shares of the Series A Preferred Stock were authorized for issuance and 81,000 shares of the Series A Preferred Stock were outstanding.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Preferred Stock is exchangeable at the option of the Investor in certain circumstances for shares of Common Stock at an exchange price of $24.50 per share (as it may be adjusted pursuant to the terms of the Investment Agreement, the “Exchange Price”). As of March 31, 2025, the Series A Preferred Stock was exchangeable for 3,492,066 shares of Common Stock.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March 31, 2025, the Series A Preferred Stock had a liquidation preference of $85.6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Compensation and Earnings (Loss) per Share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equity compensation, which includes the Company’s restricted stock units (“RSUs”) and performance stock units (“PSUs”),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8060" w:type="dxa"/>
            <w:vAlign w:val="bottom"/>
            <w:vMerge w:val="continue"/>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2024</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34"/>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March 31, 2025</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total fair value of RSUs vested was $3.4 million during the three months ended March 31, 2025.</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the Company’s Relative Total Shareholder Return RSUs (“RTSRs”) was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8060" w:type="dxa"/>
            <w:vAlign w:val="bottom"/>
            <w:vMerge w:val="continue"/>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2024</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March 31, 2025</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806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$14.1 million of total unrecognized compensation cost related to non-vested RSUs and RTSRs which is expected to be recognized over weighted average period of 2.6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(loss) per share:</w:t>
      </w:r>
    </w:p>
    <w:p>
      <w:pPr>
        <w:spacing w:after="0" w:line="28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income per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4"/>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218,786</w:t>
            </w: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214,696</w:t>
            </w:r>
          </w:p>
        </w:tc>
      </w:tr>
      <w:tr>
        <w:trPr>
          <w:trHeight w:val="49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Amounts attributable to common shareholders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4"/>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income from discontinued operations</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218,786</w:t>
            </w:r>
          </w:p>
        </w:tc>
      </w:tr>
      <w:tr>
        <w:trPr>
          <w:trHeight w:val="228"/>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214,696</w:t>
            </w:r>
          </w:p>
        </w:tc>
      </w:tr>
      <w:tr>
        <w:trPr>
          <w:trHeight w:val="495"/>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50,520</w:t>
            </w:r>
          </w:p>
        </w:tc>
      </w:tr>
      <w:tr>
        <w:trPr>
          <w:trHeight w:val="495"/>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Per share amounts attributable to common shareholders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4"/>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dilutive impact of equity awards and the Series A Preferred Stock (on an as-converted basis) by applying the treasury stock method and the if-converted method, respectively. There were approximately 450,000 and 462,000 potentially dilutive equity awards during the three months ended March 31, 2025 and 2024, respectively; however, these shares were excluded from the calculation of diluted weighted average shares outstanding due to the fact that they were anti-dilutive as a result of the Company's loss from continuing operations for the periods. There were also approximately 3,492,000 potentially dilutive shares related to the Series A Preferred Stock (on an as-converted basis) during the three months ended March 31, 2025; however, these shares were excluded from the calculation of diluted weighted average shares outstanding due to the fact that they were anti-dilutive as a result of the Company’s loss from continuing operations for the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Government Grants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was awarded an additional grant of $0.4 million to strategically expand the Company’s broadband network in order to provide broadband services to unserved residences.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$6.9 million and $2.7 million in cash reimbursements during the three months ended March 31, 2025 and 2024, respectively, and had approximately $3.2 million and $0.3 million in accounts receivable as of March 31, 2025 and December 31, 2024,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2029.</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Discontinued Operations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529"/>
        </w:rPr>
        <w:t xml:space="preserve">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Tower Transaction represented a strategic shift in the Company’s business and the Tower Portfolio was reclassified as a discontinued operation. As a result, for all periods presented, the operating results and cash flows related to the Tower Portfolio were reflected as a discontinued operations in our </w:t>
      </w:r>
      <w:r>
        <w:rPr>
          <w:rFonts w:ascii="Times New Roman" w:cs="Times New Roman" w:eastAsia="Times New Roman" w:hAnsi="Times New Roman"/>
          <w:sz w:val="18"/>
          <w:szCs w:val="18"/>
          <w:color w:val="000000"/>
        </w:rPr>
        <w:t>unaudited condensed consolidated statements of operations and unaudited condensed consolidated statements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cash flows</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in the unaudited condensed consolidated statements of operations consist of the following for the period: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8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05"/>
        </w:trPr>
        <w:tc>
          <w:tcPr>
            <w:tcW w:w="8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30"/>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4"/>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5"/>
        </w:trPr>
        <w:tc>
          <w:tcPr>
            <w:tcW w:w="8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disposition of Tower Portfolio</w:t>
            </w: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294,250</w:t>
            </w:r>
          </w:p>
        </w:tc>
        <w:tc>
          <w:tcPr>
            <w:tcW w:w="0" w:type="dxa"/>
            <w:vAlign w:val="bottom"/>
          </w:tcPr>
          <w:p>
            <w:pPr>
              <w:spacing w:after="0"/>
              <w:rPr>
                <w:sz w:val="1"/>
                <w:szCs w:val="1"/>
                <w:color w:val="auto"/>
              </w:rPr>
            </w:pPr>
          </w:p>
        </w:tc>
      </w:tr>
      <w:tr>
        <w:trPr>
          <w:trHeight w:val="218"/>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296,939</w:t>
            </w:r>
          </w:p>
        </w:tc>
        <w:tc>
          <w:tcPr>
            <w:tcW w:w="0" w:type="dxa"/>
            <w:vAlign w:val="bottom"/>
          </w:tcPr>
          <w:p>
            <w:pPr>
              <w:spacing w:after="0"/>
              <w:rPr>
                <w:sz w:val="1"/>
                <w:szCs w:val="1"/>
                <w:color w:val="auto"/>
              </w:rPr>
            </w:pPr>
          </w:p>
        </w:tc>
      </w:tr>
      <w:tr>
        <w:trPr>
          <w:trHeight w:val="23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w:t>
            </w:r>
          </w:p>
        </w:tc>
        <w:tc>
          <w:tcPr>
            <w:tcW w:w="0" w:type="dxa"/>
            <w:vAlign w:val="bottom"/>
          </w:tcPr>
          <w:p>
            <w:pPr>
              <w:spacing w:after="0"/>
              <w:rPr>
                <w:sz w:val="1"/>
                <w:szCs w:val="1"/>
                <w:color w:val="auto"/>
              </w:rPr>
            </w:pPr>
          </w:p>
        </w:tc>
      </w:tr>
      <w:tr>
        <w:trPr>
          <w:trHeight w:val="223"/>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218,786</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Consummation of the sale triggered the recognition of approximately $4.4 million of incremental transaction costs during the </w:t>
      </w:r>
      <w:r>
        <w:rPr>
          <w:rFonts w:ascii="Times New Roman" w:cs="Times New Roman" w:eastAsia="Times New Roman" w:hAnsi="Times New Roman"/>
          <w:sz w:val="18"/>
          <w:szCs w:val="18"/>
          <w:color w:val="000000"/>
        </w:rPr>
        <w:t>three months ended March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31, 2024</w:t>
      </w:r>
      <w:r>
        <w:rPr>
          <w:rFonts w:ascii="Times New Roman" w:cs="Times New Roman" w:eastAsia="Times New Roman" w:hAnsi="Times New Roman"/>
          <w:sz w:val="18"/>
          <w:szCs w:val="18"/>
          <w:color w:val="212529"/>
        </w:rPr>
        <w:t>, for contingent deal advisory fees and legal expenses, which are netted against the gain on sale of disposition of Tower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operates as one segment. The accounting policies of the Company’s segment are the same as those described in the summary of significant accounting policies as described in </w:t>
      </w:r>
      <w:r>
        <w:rPr>
          <w:rFonts w:ascii="Times New Roman" w:cs="Times New Roman" w:eastAsia="Times New Roman" w:hAnsi="Times New Roman"/>
          <w:sz w:val="18"/>
          <w:szCs w:val="18"/>
          <w:color w:val="212529"/>
        </w:rPr>
        <w:t>our Annual Report on Form 10-K for the</w:t>
      </w:r>
      <w:r>
        <w:rPr>
          <w:rFonts w:ascii="Times New Roman" w:cs="Times New Roman" w:eastAsia="Times New Roman" w:hAnsi="Times New Roman"/>
          <w:sz w:val="18"/>
          <w:szCs w:val="18"/>
          <w:color w:val="auto"/>
        </w:rPr>
        <w:t xml:space="preserve"> year ended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assesses performance at a consolidated level and decides how to allocate resources based on Adjusted EBITDA from continuing operations of the Broadband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(loss) income from continuing operations and Adjusted EBITDA to evaluate income generated from segment assets (return on assets) in deciding whether to reinvest profits into the operations of the Company or for other purposes, such as for acquisitions or to pay dividends.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The Company defines Adjusted EBITDA as income or loss from continuing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revenue, loss from continuing operations, Adjusted EBITDA and significant expenses: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5"/>
        </w:trPr>
        <w:tc>
          <w:tcPr>
            <w:tcW w:w="86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87,898</w:t>
            </w:r>
          </w:p>
        </w:tc>
        <w:tc>
          <w:tcPr>
            <w:tcW w:w="14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Significant expenses and other items: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exclusive of stock-based compensation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24,012</w:t>
            </w:r>
          </w:p>
        </w:tc>
      </w:tr>
      <w:tr>
        <w:trPr>
          <w:trHeight w:val="210"/>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19,251</w:t>
            </w:r>
          </w:p>
        </w:tc>
      </w:tr>
      <w:tr>
        <w:trPr>
          <w:trHeight w:val="209"/>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integration and acquisition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17,443</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r>
      <w:tr>
        <w:trPr>
          <w:trHeight w:val="222"/>
        </w:trPr>
        <w:tc>
          <w:tcPr>
            <w:tcW w:w="8680" w:type="dxa"/>
            <w:vAlign w:val="bottom"/>
          </w:tcPr>
          <w:p>
            <w:pPr>
              <w:ind w:left="120"/>
              <w:spacing w:after="0" w:line="222"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10"/>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1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3"/>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5540" w:right="5180" w:hanging="5532"/>
        <w:spacing w:after="0" w:line="476" w:lineRule="auto"/>
        <w:tabs>
          <w:tab w:leader="none" w:pos="102"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primarily includes interest income, patronage income and benefit plan gains.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2024 (“2024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2024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in eight contiguous states in the eastern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executed an Asset Purchase Agreement in April 2025 to acquire fiber-to-the-home assets for $5 million, passing over 1,500 homes and businesses with approximately 700 customers in Virginia. The Company expects to close on the acquisition during the summer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4 to Credit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2025, Shentel entered into Amendment No. 4 to Credit Agreement (the “Fourth Amendment”) to the Company’s existing Credit Agreement, dated as of July 1, 2021, with various financial institutions party thereto (the “Lenders”) and CoBank, ACB, as administrative agent for the Lenders (as previously amended by Amendment No. 1 to Credit Agreement, dated as of May 17, 2023, the Consent and Amendment No. 2 to Credit Agreement, dated October 24, 2023, and the Amendment No. 3 to Credit Agreement, Incremental Term Loan Funding Agreement, Joinder and Assignment and Assumption, dated as of April 1, 2024, the “Credit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consists of: (i) a $150 million available revolving credit facility due July 1, 2026 (the “Revolver”), (ii) a $150 million delayed draw amortizing term loan due July 1, 2026 (“Term Loan A-1”), (iii) a $150 million delayed draw amortizing term loan due July 1, 2028, and (iv) a $225 million delayed draw amortizing term loan due July 1, 2028. Pursuant to the Fourth Amendment, the maturity date of the Revolver and Term Loan A-1 were extended to July 1, 2027. Additionally, the Fourth Amendment increased the maximum Total Net Leverage Ratio (as defined in the Credit Agreement) permitted as of the last day of any fiscal quarter to 4.75:1.00.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with the Three Months Ended March 31,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4"/>
                <w:szCs w:val="14"/>
                <w:color w:val="auto"/>
              </w:rPr>
            </w:pPr>
          </w:p>
        </w:tc>
        <w:tc>
          <w:tcPr>
            <w:tcW w:w="9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Incumbent Broadband Markets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43,809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Expansion Markets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3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97.3 %</w:t>
            </w:r>
          </w:p>
        </w:tc>
        <w:tc>
          <w:tcPr>
            <w:tcW w:w="0" w:type="dxa"/>
            <w:vAlign w:val="bottom"/>
          </w:tcPr>
          <w:p>
            <w:pPr>
              <w:spacing w:after="0"/>
              <w:rPr>
                <w:sz w:val="1"/>
                <w:szCs w:val="1"/>
                <w:color w:val="auto"/>
              </w:rPr>
            </w:pPr>
          </w:p>
        </w:tc>
      </w:tr>
      <w:tr>
        <w:trPr>
          <w:trHeight w:val="234"/>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3,383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69,248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25,985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0"/>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27,978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acquisition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17,443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(2,776)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1,736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8"/>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100.4 %</w:t>
            </w:r>
          </w:p>
        </w:tc>
        <w:tc>
          <w:tcPr>
            <w:tcW w:w="0" w:type="dxa"/>
            <w:vAlign w:val="bottom"/>
          </w:tcPr>
          <w:p>
            <w:pPr>
              <w:spacing w:after="0"/>
              <w:rPr>
                <w:sz w:val="1"/>
                <w:szCs w:val="1"/>
                <w:color w:val="auto"/>
              </w:rPr>
            </w:pPr>
          </w:p>
        </w:tc>
      </w:tr>
      <w:tr>
        <w:trPr>
          <w:trHeight w:val="23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8"/>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123.3 %</w:t>
            </w:r>
          </w:p>
        </w:tc>
        <w:tc>
          <w:tcPr>
            <w:tcW w:w="0" w:type="dxa"/>
            <w:vAlign w:val="bottom"/>
          </w:tcPr>
          <w:p>
            <w:pPr>
              <w:spacing w:after="0"/>
              <w:rPr>
                <w:sz w:val="1"/>
                <w:szCs w:val="1"/>
                <w:color w:val="auto"/>
              </w:rPr>
            </w:pPr>
          </w:p>
        </w:tc>
      </w:tr>
      <w:tr>
        <w:trPr>
          <w:trHeight w:val="234"/>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218,786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8"/>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214,696</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4"/>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Dividends on redeemable noncontrolling interest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55"/>
        </w:trPr>
        <w:tc>
          <w:tcPr>
            <w:tcW w:w="426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(loss) income attributable to common</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214,696</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Shentel updated the presentation of certain Residential &amp; SMB - Incumbent Broadband Markets and Commercial Fiber revenues in the prior year to conform with changes in how management views these lines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Incumbent Broadband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residential and small and medium business (“SMB”) customers in Incumbent Broadband Markets are primarily earned through the Company’s provision of data, video and voice services over primarily hybrid fiber coaxial (“HFC”) cable and to a lesser extent fiber to the home (“FTTH”) networks in incumbent markets.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&amp; SMB - Incumbent Broadband Markets revenue decreased by $0.5 million, or 1.0%, in the three months ended March 31, 2025 compared with the three months ended March 31, 2024 due to a $2.2 million decrease in the legacy Shentel markets primarily due to lower video revenue driven by a 14.1% decline in video RGUs and lower data revenue driven by a decrease in non-recurring other revenue, partially offset by $1.7 million of revenues earned in the acquired Horizon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Expansion Markets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residential and SMB customers in Glo Fiber Expansion Markets are primarily earned through the Company’s provision of data, video and voice services over FTTH networks in new greenfield expansion markets.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&amp; SMB - Glo Fiber Expansion Markets revenue increased by $6.3 million, or 52.2%, in the three months ended March 31, 2025 compared with the three months ended March 31, 2024 due to a $5.6 million increase in the legacy Shentel markets and $0.7 million of revenues earned in the acquired Horizon markets. The increase in legacy Shentel markets was primarily due to a 46.3% year-over-year growth in data RGUs driven by the Company’s increase in passings.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Commercial Fiber customers is primarily earned through the Company’s provision of high-speed Ethernet, wavelength, dark fiber leasing and managed services over fiber optic networks.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Fiber revenue increased by $9.7 million, or 97.3%, in the three months ended March 31, 2025 compared with the three months ended March 31, 2024 due to $9.9 million of revenues earned in the acquired Horizon markets and a $0.2 million decrease in the legacy Shentel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Shentel’s RLEC &amp; Other revenue is primarily earned through the Company’s provision of voice and DSL telephone services over copper networks primarily in Shenandoah County, Virginia and Ross County, Ohio. Shentel also earns governmental support revenue through the federal Universal Service Fund.</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RLEC &amp; Other revenue increased by $3.1 million, or 91.6%, in the three months ended March 31, 2025 compared with the three months ended March 31, 2024 due to $2.9 million of revenues earned in the acquired Horizon markets and an increase in governmental support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Cost of services primarily consist of costs to acquire and deliver video programming, internal labor to maintain our network and service our customers, maintenance and third party network line expenses.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increased by $7.0 million, or 27.1%, in the three months ended March 31, 2025 compared with the three months ended March 31, 2024 due to $7.6 million of cost of services incurred in the acquired Horizon markets, partially offset by a $0.6 million decrease in cost of services incurred in the legacy Shentel markets, driven by an decrease in programming costs due to a reduction in video RGUs.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consist of employee compensation, advertising, software maintenance, stock-based compensation, and operating taxes.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 increased by $3.0 million, or 10.8%, in the three months ended March 31, 2025 compared with the three months ended March 31, 2024 due to $3.2 million of selling, general and administrative costs incurred in the acquired Horizon markets and a $0.2 million decrease in the legacy Shentel markets driven by lower professional fees.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integration and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integration and acquisition expense in the three months ended March 31, 2025 was comparable with the three months ended March 31, 2024. Restructuring, integration and acquisition expense related primarily to costs incurred to effect the acquisition of Horizon (the “Horizon Transaction”) and integration of costs during the post-acquisition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increased by $12.0 million, or 68.9%, in the three months ended March 31, 2025 compared with the three months ended March 31, 2024 due to $9.2 million of depreciation and amortization related to the tangible and intangible assets acquired in the Horizon Transaction and the Company’s expansion of its Glo Fiber network.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increased by $0.8 million, or 20.0%, in the three months ended March 31, 2025 compared with the three months ended March 31, 2024 due to an increase in the Company’s outstanding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Other income, net decreased by $1.0 million, or 57.8%, in the three months ended March 31, 2025 compared with the three months ended March 31, 2024 due to a decrease in interest income.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in the three months ended March 31, 2025 was comparable with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17,200 route miles of fiber.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indicates selected operating statistics. Shentel updated the presentation of certain revenues and voice RGUs in the prior year to conform with changes in how management views these lines of business. This reclassification resulted in updated ARPU and voice RGUs for the prior period.:</w:t>
      </w:r>
    </w:p>
    <w:p>
      <w:pPr>
        <w:spacing w:after="0" w:line="1"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7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Homes and businesses passed (1)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240,788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216,514</w:t>
            </w:r>
          </w:p>
        </w:tc>
        <w:tc>
          <w:tcPr>
            <w:tcW w:w="0" w:type="dxa"/>
            <w:vAlign w:val="bottom"/>
          </w:tcPr>
          <w:p>
            <w:pPr>
              <w:spacing w:after="0"/>
              <w:rPr>
                <w:sz w:val="1"/>
                <w:szCs w:val="1"/>
                <w:color w:val="auto"/>
              </w:rPr>
            </w:pPr>
          </w:p>
        </w:tc>
      </w:tr>
      <w:tr>
        <w:trPr>
          <w:trHeight w:val="236"/>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Glo Fiber Expansion Markets (5)</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362,861</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259,567</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homes and businesses passed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603,649</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476,081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 &amp; Small and Medium Business ("SMB") Revenue Generating Units ("RGUs"):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111,860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108,958</w:t>
            </w:r>
          </w:p>
        </w:tc>
        <w:tc>
          <w:tcPr>
            <w:tcW w:w="0" w:type="dxa"/>
            <w:vAlign w:val="bottom"/>
          </w:tcPr>
          <w:p>
            <w:pPr>
              <w:spacing w:after="0"/>
              <w:rPr>
                <w:sz w:val="1"/>
                <w:szCs w:val="1"/>
                <w:color w:val="auto"/>
              </w:rPr>
            </w:pPr>
          </w:p>
        </w:tc>
      </w:tr>
      <w:tr>
        <w:trPr>
          <w:trHeight w:val="236"/>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 (5)</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70,565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46,729</w:t>
            </w:r>
          </w:p>
        </w:tc>
        <w:tc>
          <w:tcPr>
            <w:tcW w:w="0" w:type="dxa"/>
            <w:vAlign w:val="bottom"/>
          </w:tcPr>
          <w:p>
            <w:pPr>
              <w:spacing w:after="0"/>
              <w:rPr>
                <w:sz w:val="1"/>
                <w:szCs w:val="1"/>
                <w:color w:val="auto"/>
              </w:rPr>
            </w:pPr>
          </w:p>
        </w:tc>
      </w:tr>
      <w:tr>
        <w:trPr>
          <w:trHeight w:val="218"/>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182,425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155,687</w:t>
            </w:r>
          </w:p>
        </w:tc>
        <w:tc>
          <w:tcPr>
            <w:tcW w:w="0" w:type="dxa"/>
            <w:vAlign w:val="bottom"/>
          </w:tcPr>
          <w:p>
            <w:pPr>
              <w:spacing w:after="0"/>
              <w:rPr>
                <w:sz w:val="1"/>
                <w:szCs w:val="1"/>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38,395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40,148</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26,037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Residential &amp; SMB RGUs (excludes RLEC)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246,857</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219,874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 &amp; SMB Penetration (2)</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 (4)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50.3 %</w:t>
            </w:r>
          </w:p>
        </w:tc>
        <w:tc>
          <w:tcPr>
            <w:tcW w:w="0" w:type="dxa"/>
            <w:vAlign w:val="bottom"/>
          </w:tcPr>
          <w:p>
            <w:pPr>
              <w:spacing w:after="0"/>
              <w:rPr>
                <w:sz w:val="1"/>
                <w:szCs w:val="1"/>
                <w:color w:val="auto"/>
              </w:rPr>
            </w:pPr>
          </w:p>
        </w:tc>
      </w:tr>
      <w:tr>
        <w:trPr>
          <w:trHeight w:val="232"/>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 (5)</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19.4 %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331"/>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Residential &amp; SMB Average Revenue per User ("ARPU") (6)</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Incumbent Broadband Markets (4)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83.31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83.92</w:t>
            </w:r>
          </w:p>
        </w:tc>
        <w:tc>
          <w:tcPr>
            <w:tcW w:w="0" w:type="dxa"/>
            <w:vAlign w:val="bottom"/>
          </w:tcPr>
          <w:p>
            <w:pPr>
              <w:spacing w:after="0"/>
              <w:rPr>
                <w:sz w:val="1"/>
                <w:szCs w:val="1"/>
                <w:color w:val="auto"/>
              </w:rPr>
            </w:pPr>
          </w:p>
        </w:tc>
      </w:tr>
      <w:tr>
        <w:trPr>
          <w:trHeight w:val="232"/>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Glo Fiber Expansion Markets (5)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77.42</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76.93</w:t>
            </w: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Broadband Data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124.46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34"/>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33.09</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33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(3)</w:t>
            </w: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1,893,402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883,199</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59"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60" w:hanging="328"/>
        <w:spacing w:after="0" w:line="254"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Incumbent Broadband Markets consists of Shentel Incumbent Cable Markets and Horizon Incumbent Telephone Markets with FTTH passings.</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 Fiber Expansion Markets consists of FTTH passings in greenfield expansion markets in the Shentel and Horizon markets.</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average RGUs / 3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The Company’s principal sources of liquidity are our cash and cash equivalents, cash generated from operations,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and borrowings under our credit agreement, which contains a $150 million revolving credit facility (the “Revolver”) and $525 million in delayed draw amortizing term loans (the “Term Loans” and collectively with the Revolver, the “Credit Agreement”).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2021, Congress passed the American Rescue Plan Act and the Infrastructure Investment and Jobs Act to subsidize the deployment of high-speed broadband internet access in unserved areas. We have been awarded approximately $150.2 million in grants to serve approximately 27,100 unserved homes in the states of Virginia, Maryland, West Virginia and Ohio and to upgrade the capacity of the Ohio middle mile network. The grants will be paid to the Company as certain milestones are completed. As of March 31, 2025, the Company had $104.1 million in grants available. The Company expects to fulfill the majority of its obligations under these programs by 2026.</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2025, our cash and cash equivalents totaled $87.5 million, the availability under our Revolver was $143.0 million, and the remaining reimbursements available under government grants was $104.1 million, which are subject to fulfilling the terms of the agreements, for total available liquidity of approximately $334.6 million.</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$20.5 million during the three months ended March 31, 2025, representing an increase of $7.6 million compared with the prior year period, primarily driven by increases in revenue and timing of changes in working capital.</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approximately $76.3 million during the three months ended March 31, 2025, representing an increase of $8.9 million compared with the prior year period, primarily driven by a $13.2 million increase in capital expenditures driven by expansion of Glo Fiber and government-subsidized markets, partially offset by a $4.2 million increase in cash receipts from government grant programs.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approximately $97.0 million during the three months ended March 31, 2025, representing an increase of $100.2 million compared with the prior year period, primarily driven by an increase of $100.0 million in borrowings under the Term Loans.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As of March 31, 2025, the Company’s net indebtedness was approximately $514.5 million, including $515.8 million in outstanding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net of unamortized loan fees of $1.2 million. The borrowed amounts bear interest at a variable rate determined by one-month term SOFR, plus a margin based on net leverage. The weighted-average interest rate was 6.71% for the Term Loans at March 31, 2025.</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Shentel’s Term Loans, which consist of Term Loan A-1, Term Loan A-2 and Term Loan A-3, have outstanding balances of $142.6 million, $148.1 million and $225.0 million, respectively. The Term Loans require quarterly payments based on a percentage of the outstanding balance. As of March 31, 2025, Term Loan A-1 was due to mature on July 1, 2026. On April 16, 2025, Shentel amended the Credit Agreement to extend the maturity date of the Revolver and Term Loan A-1 to July 1, 2027. Both Term Loan A-2 and Term Loan A-3 mature on July 1, 2028.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Company’s unaudited condensed consolidated financial statements for more information about the Credit Agreement.</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April 16, 2025 amendment of Shentel’s Credit Agreement also amended certain covenant provisions, including increasing the maximum Total Net Leverage Ratio (as defined in the Credit Agreement) permitted as of the last day of any fiscal quarter to 4.75:1.00. As of March 31, 2025, the Company was in compliance with the financial covenants in our Credit Agreement.</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our capital expenditures of $83.2 million exceeded our net cash provided by operating activities of continuing operations by $62.7 million, and we expect our capital expenditures to exceed the cash flows provided from continuing operations through 2026, as we expand our Glo Fiber broadband network.</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including rising inflation, changes in tariffs,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positive cash flows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2024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borrowed a total of $525 million pursuant to the variable rate delayed draw Term Loans available under the Credit Agreement. As of March 31, 2025, Shentel has borrowed the full amount available under our Term Loans A-1, A-2 and A-3.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$515.8 million of gross variable rate debt outstanding. The weighted-average interest rate was 6.71% for the Term Loans at March 31, 2025. An increase in market interest rates of 1.00% would add approximately $5.1 million to annual interest expense.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Shentel has pay fixed, receive 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Term Loan A-1 and A-2 outstanding debt. The Company uses the Swaps to manage its exposure to interest rate risk for a portion of its long-term variable-rate Term Loans through interest rate swaps. Shentel effectively pays a fixed weighted-average interest rate of 2.90%, prior to interest rate margin provided under our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Chief Executive Officer and Chief Financial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March 31, 2025. Our certifying officers concluded that our disclosure controls and procedures were effective as of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Company’s management has extended its monitoring processes that support internal control over financial reporting to include the operations of Horizon and consideration for such has been included in our evaluation of disclosure controls and procedures. Except as noted for Horizon, there have been no changes in our internal control over financial reporting during the fiscal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March 31, 2025,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March 31, 2025, to settle employee tax withholding obligations related to the vesting of stock awards.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to January 31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to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41"/>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r>
      <w:tr>
        <w:trPr>
          <w:trHeight w:val="22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$11.75</w:t>
            </w:r>
          </w:p>
        </w:tc>
      </w:tr>
      <w:tr>
        <w:trPr>
          <w:trHeight w:val="234"/>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708" w:lineRule="exact"/>
        <w:rPr>
          <w:sz w:val="20"/>
          <w:szCs w:val="20"/>
          <w:color w:val="auto"/>
        </w:rPr>
      </w:pPr>
    </w:p>
    <w:p>
      <w:pPr>
        <w:sectPr>
          <w:pgSz w:w="11900" w:h="16838" w:orient="portrait"/>
          <w:cols w:equalWidth="0" w:num="2">
            <w:col w:w="6440" w:space="720"/>
            <w:col w:w="4080"/>
          </w:cols>
          <w:pgMar w:left="320" w:top="119" w:right="339" w:bottom="1440" w:gutter="0" w:footer="0" w:header="0"/>
          <w:type w:val="continuous"/>
        </w:sectPr>
      </w:pP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right="4240" w:firstLine="467"/>
        <w:spacing w:after="0" w:line="641" w:lineRule="auto"/>
        <w:tabs>
          <w:tab w:leader="none" w:pos="12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19"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571"/>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Tracy Willis,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/S/TRACY WILLIS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Tracy Willis,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20" w:firstLine="656"/>
        <w:spacing w:after="0" w:line="282" w:lineRule="auto"/>
        <w:tabs>
          <w:tab w:leader="none" w:pos="1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March 31, 2025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30, 2025</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30, 2025</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2">
    <w:nsid w:val="109CF92E"/>
    <w:multiLevelType w:val="hybridMultilevel"/>
    <w:lvl w:ilvl="0">
      <w:lvlJc w:val="left"/>
      <w:lvlText w:val="%1."/>
      <w:numFmt w:val="decimal"/>
      <w:start w:val="1"/>
    </w:lvl>
    <w:lvl w:ilvl="1">
      <w:lvlJc w:val="left"/>
      <w:lvlText w:val="(%2)"/>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2025-04-30T07:09:01Z</dcterms:created>
  <dcterms:modified xsi:type="dcterms:W3CDTF">2025-04-30T07:09:01Z</dcterms:modified>
</cp:coreProperties>
</file>