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20" w:right="2320" w:hanging="412"/>
        <w:spacing w:after="0" w:line="266"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2016</w:t>
      </w:r>
    </w:p>
    <w:p>
      <w:pPr>
        <w:spacing w:after="0" w:line="207" w:lineRule="exact"/>
        <w:rPr>
          <w:sz w:val="24"/>
          <w:szCs w:val="24"/>
          <w:color w:val="auto"/>
        </w:rPr>
      </w:pPr>
    </w:p>
    <w:p>
      <w:pPr>
        <w:ind w:left="420" w:right="2360" w:hanging="412"/>
        <w:spacing w:after="0" w:line="277"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SECURITIESEXCHANGE ACT OF 1934 For the transition period from__________ to __________</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41" w:right="239" w:bottom="1440" w:gutter="0" w:footer="0" w:header="0"/>
          <w:type w:val="continuous"/>
        </w:sectPr>
      </w:pPr>
    </w:p>
    <w:p>
      <w:pPr>
        <w:spacing w:after="0" w:line="49"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4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w:t>
      </w:r>
    </w:p>
    <w:p>
      <w:pPr>
        <w:spacing w:after="0" w:line="278"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7"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July 28, 2016 was 48,913,327.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210185</wp:posOffset>
            </wp:positionV>
            <wp:extent cx="18307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90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9780" w:type="dxa"/>
            <w:vAlign w:val="bottom"/>
            <w:gridSpan w:val="16"/>
            <w:vMerge w:val="restart"/>
          </w:tcPr>
          <w:p>
            <w:pPr>
              <w:spacing w:after="0"/>
              <w:rPr>
                <w:sz w:val="20"/>
                <w:szCs w:val="20"/>
                <w:color w:val="auto"/>
              </w:rPr>
            </w:pPr>
            <w:r>
              <w:rPr>
                <w:rFonts w:ascii="Arial" w:cs="Arial" w:eastAsia="Arial" w:hAnsi="Arial"/>
                <w:sz w:val="18"/>
                <w:szCs w:val="18"/>
                <w:color w:val="auto"/>
              </w:rPr>
              <w:t>FINANCIAL INFORMATION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216"/>
        </w:trPr>
        <w:tc>
          <w:tcPr>
            <w:tcW w:w="900" w:type="dxa"/>
            <w:vAlign w:val="bottom"/>
            <w:gridSpan w:val="2"/>
            <w:vMerge w:val="continue"/>
          </w:tcPr>
          <w:p>
            <w:pPr>
              <w:spacing w:after="0"/>
              <w:rPr>
                <w:sz w:val="18"/>
                <w:szCs w:val="18"/>
                <w:color w:val="auto"/>
              </w:rPr>
            </w:pPr>
          </w:p>
        </w:tc>
        <w:tc>
          <w:tcPr>
            <w:tcW w:w="9780" w:type="dxa"/>
            <w:vAlign w:val="bottom"/>
            <w:gridSpan w:val="16"/>
            <w:vMerge w:val="continue"/>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June 30, 2016 and December 31, 2015</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and Comprehensive Income (Loss) for the Three and Six Months Ended</w:t>
              </w:r>
            </w:hyperlink>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780" w:type="dxa"/>
            <w:vAlign w:val="bottom"/>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2016 and 2015</w:t>
              </w:r>
            </w:hyperlink>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Shareholders’ Equity for the Six Months Ended June 30, 2016 and the Year Ended</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780" w:type="dxa"/>
            <w:vAlign w:val="bottom"/>
            <w:gridSpan w:val="16"/>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2015</w:t>
              </w:r>
            </w:hyperlink>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Six Months Ended June 30, 2016 and 2015</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7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780" w:type="dxa"/>
            <w:vAlign w:val="bottom"/>
            <w:gridSpan w:val="16"/>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 Index</w:t>
              </w:r>
            </w:hyperlink>
          </w:p>
        </w:tc>
        <w:tc>
          <w:tcPr>
            <w:tcW w:w="7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4"/>
          </w:tcPr>
          <w:p>
            <w:pPr>
              <w:spacing w:after="0"/>
              <w:rPr>
                <w:sz w:val="24"/>
                <w:szCs w:val="24"/>
                <w:color w:val="auto"/>
              </w:rPr>
            </w:pPr>
          </w:p>
        </w:tc>
        <w:tc>
          <w:tcPr>
            <w:tcW w:w="5480" w:type="dxa"/>
            <w:vAlign w:val="bottom"/>
            <w:tcBorders>
              <w:top w:val="single" w:sz="8" w:color="CCEEFF"/>
            </w:tcBorders>
            <w:gridSpan w:val="7"/>
          </w:tcPr>
          <w:p>
            <w:pPr>
              <w:jc w:val="right"/>
              <w:ind w:right="1620"/>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12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BALANCE SHEETS </w:t>
      </w:r>
      <w:r>
        <w:rPr>
          <w:rFonts w:ascii="Arial" w:cs="Arial" w:eastAsia="Arial" w:hAnsi="Arial"/>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77,392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19,419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158,111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 including $2,784 and $2,654 carried at fair value</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12,526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 held for sale</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653,523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464,146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151,730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10,855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626,731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1,455,841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w w:val="95"/>
              </w:rPr>
              <w:t>June 30,</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27,951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23,024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29,717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liabilities and other</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31,615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138,474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795,426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Asset retirement obligations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right"/>
        <w:ind w:right="592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142,181</w:t>
      </w:r>
      <w:r>
        <w:rPr>
          <w:sz w:val="20"/>
          <w:szCs w:val="20"/>
          <w:color w:val="auto"/>
        </w:rPr>
        <w:tab/>
      </w:r>
      <w:r>
        <w:rPr>
          <w:rFonts w:ascii="Arial" w:cs="Arial" w:eastAsia="Arial" w:hAnsi="Arial"/>
          <w:sz w:val="16"/>
          <w:szCs w:val="16"/>
          <w:color w:val="auto"/>
        </w:rPr>
        <w:t>74,868</w:t>
      </w:r>
    </w:p>
    <w:p>
      <w:pPr>
        <w:spacing w:after="0" w:line="46"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6"/>
          <w:szCs w:val="16"/>
          <w:color w:val="auto"/>
        </w:rPr>
        <w:t>9,370</w:t>
      </w:r>
      <w:r>
        <w:rPr>
          <w:sz w:val="20"/>
          <w:szCs w:val="20"/>
          <w:color w:val="auto"/>
        </w:rPr>
        <w:tab/>
      </w:r>
      <w:r>
        <w:rPr>
          <w:rFonts w:ascii="Arial" w:cs="Arial" w:eastAsia="Arial" w:hAnsi="Arial"/>
          <w:sz w:val="16"/>
          <w:szCs w:val="16"/>
          <w:color w:val="auto"/>
        </w:rPr>
        <w:t>8,142</w:t>
      </w:r>
    </w:p>
    <w:p>
      <w:pPr>
        <w:spacing w:after="0" w:line="32"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6"/>
          <w:szCs w:val="16"/>
          <w:color w:val="auto"/>
        </w:rPr>
        <w:t>15,769</w:t>
      </w:r>
      <w:r>
        <w:rPr>
          <w:sz w:val="20"/>
          <w:szCs w:val="20"/>
          <w:color w:val="auto"/>
        </w:rPr>
        <w:tab/>
      </w:r>
      <w:r>
        <w:rPr>
          <w:rFonts w:ascii="Arial" w:cs="Arial" w:eastAsia="Arial" w:hAnsi="Arial"/>
          <w:sz w:val="16"/>
          <w:szCs w:val="16"/>
          <w:color w:val="auto"/>
        </w:rPr>
        <w:t>7,266</w:t>
      </w:r>
    </w:p>
    <w:p>
      <w:pPr>
        <w:spacing w:after="0" w:line="32"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6"/>
          <w:szCs w:val="16"/>
          <w:color w:val="auto"/>
        </w:rPr>
        <w:t>50,514</w:t>
      </w:r>
      <w:r>
        <w:rPr>
          <w:sz w:val="20"/>
          <w:szCs w:val="20"/>
          <w:color w:val="auto"/>
        </w:rPr>
        <w:tab/>
      </w:r>
      <w:r>
        <w:rPr>
          <w:rFonts w:ascii="Arial" w:cs="Arial" w:eastAsia="Arial" w:hAnsi="Arial"/>
          <w:sz w:val="16"/>
          <w:szCs w:val="16"/>
          <w:color w:val="auto"/>
        </w:rPr>
        <w:t>9,039</w:t>
      </w:r>
    </w:p>
    <w:p>
      <w:pPr>
        <w:spacing w:after="0" w:line="45"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217,834</w:t>
      </w:r>
      <w:r>
        <w:rPr>
          <w:sz w:val="20"/>
          <w:szCs w:val="20"/>
          <w:color w:val="auto"/>
        </w:rPr>
        <w:tab/>
      </w:r>
      <w:r>
        <w:rPr>
          <w:rFonts w:ascii="Arial" w:cs="Arial" w:eastAsia="Arial" w:hAnsi="Arial"/>
          <w:sz w:val="16"/>
          <w:szCs w:val="16"/>
          <w:color w:val="auto"/>
        </w:rPr>
        <w:t>99,315</w:t>
      </w:r>
    </w:p>
    <w:p>
      <w:pPr>
        <w:spacing w:after="0" w:line="45" w:lineRule="exact"/>
        <w:rPr>
          <w:sz w:val="20"/>
          <w:szCs w:val="20"/>
          <w:color w:val="auto"/>
        </w:rPr>
      </w:pPr>
    </w:p>
    <w:p>
      <w:pPr>
        <w:sectPr>
          <w:pgSz w:w="11900" w:h="16838" w:orient="portrait"/>
          <w:cols w:equalWidth="0" w:num="2">
            <w:col w:w="8660" w:space="720"/>
            <w:col w:w="204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44,344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263,633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304,107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1,455,841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627,151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4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130,309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222,880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160"/>
              <w:spacing w:after="0" w:line="201" w:lineRule="exact"/>
              <w:rPr>
                <w:sz w:val="20"/>
                <w:szCs w:val="20"/>
                <w:color w:val="auto"/>
              </w:rPr>
            </w:pPr>
            <w:r>
              <w:rPr>
                <w:rFonts w:ascii="Arial" w:cs="Arial" w:eastAsia="Arial" w:hAnsi="Arial"/>
                <w:sz w:val="18"/>
                <w:szCs w:val="18"/>
                <w:color w:val="auto"/>
                <w:w w:val="90"/>
              </w:rPr>
              <w:t>Cost of goods and services, exclusive of depreciation and</w:t>
            </w:r>
          </w:p>
        </w:tc>
        <w:tc>
          <w:tcPr>
            <w:tcW w:w="198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w w:val="94"/>
              </w:rPr>
              <w:t>amortization shown</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separately below</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50,296</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30,280</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82,057</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Selling, general and administrative, exclusive of depreciation and amortization</w:t>
            </w: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33,694</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18,606</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55,120</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Integration and acquisition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20,054</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20,386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32,415</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17,663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50,154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136,459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66,951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207,717</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Operating income (loss)</w:t>
            </w:r>
          </w:p>
        </w:tc>
        <w:tc>
          <w:tcPr>
            <w:tcW w:w="1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18,750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15,163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(7,524)</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investments, net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Non-operating income, net</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Income (loss) before income taxes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8,362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b w:val="1"/>
                <w:bCs w:val="1"/>
                <w:color w:val="auto"/>
              </w:rPr>
              <w:t>Net income (loss)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(6,995)</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10,474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6,885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Unrealized gain (loss) on interest rate hedge, net of tax</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b w:val="1"/>
                <w:bCs w:val="1"/>
                <w:color w:val="auto"/>
              </w:rPr>
              <w:t>Comprehensive income (loss)</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(10,233)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48,830</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48,380</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48,696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Weighted average shares outstanding, diluted</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48,830</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49,004</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49,415</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4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1"/>
              </w:rPr>
              <w:t>net of tax</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48,265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29,712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227,512</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40,864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($0.24 per share)</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Common stock issued through exercise of incentive stock</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issued</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48,475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32,776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256,747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6,885</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2,404</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7"/>
              </w:rPr>
              <w:t>Common stock issued to acquire non-controlling interests of</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nTelos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10,400</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June 30, 2016</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48,883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44,344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263,633</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6,885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42,753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Amortization reflected as operating expense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7,401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reflected as contra revenue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Provision for bad debt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Straight line adjustment to reduce management fee revenue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1,957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(53,238)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on disposal of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Unrealized (gain) on investments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from patronage and equity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Amortization of long term debt issuance costs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1,205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(4,332)</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7,694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Increase (decrease) in: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5,529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34,195</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lease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Other deferrals and accruals</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9,692</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60,793</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Acquisition of property, plant and equipment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distributions from investments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disbursed for acquisition, net of cash acquired</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(654,832)</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(714,717)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p>
      <w:pPr>
        <w:jc w:val="both"/>
        <w:ind w:left="9200"/>
        <w:spacing w:after="0"/>
        <w:tabs>
          <w:tab w:leader="none" w:pos="1054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Amounts borrowed under debt agreements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Excess tax benefits on stock awards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issuances of common stock</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Net cash provided by/(used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5"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Beginning</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payments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(201,257)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(11,500)</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835,000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(4,183)</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(1,450)</w:t>
            </w:r>
          </w:p>
        </w:tc>
      </w:tr>
      <w:tr>
        <w:trPr>
          <w:trHeight w:val="237"/>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2,948</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617,683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60" w:type="dxa"/>
            <w:vAlign w:val="bottom"/>
          </w:tcPr>
          <w:p>
            <w:pPr>
              <w:spacing w:after="0"/>
              <w:rPr>
                <w:sz w:val="19"/>
                <w:szCs w:val="19"/>
                <w:color w:val="auto"/>
              </w:rPr>
            </w:pPr>
          </w:p>
        </w:tc>
      </w:tr>
      <w:tr>
        <w:trPr>
          <w:trHeight w:val="432"/>
        </w:trPr>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(36,241)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23,220</w:t>
            </w:r>
          </w:p>
        </w:tc>
        <w:tc>
          <w:tcPr>
            <w:tcW w:w="60" w:type="dxa"/>
            <w:vAlign w:val="bottom"/>
          </w:tcPr>
          <w:p>
            <w:pPr>
              <w:spacing w:after="0"/>
              <w:rPr>
                <w:sz w:val="24"/>
                <w:szCs w:val="24"/>
                <w:color w:val="auto"/>
              </w:rPr>
            </w:pPr>
          </w:p>
        </w:tc>
      </w:tr>
      <w:tr>
        <w:trPr>
          <w:trHeight w:val="655"/>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76,812</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68,917</w:t>
            </w:r>
          </w:p>
        </w:tc>
        <w:tc>
          <w:tcPr>
            <w:tcW w:w="60" w:type="dxa"/>
            <w:vAlign w:val="bottom"/>
          </w:tcPr>
          <w:p>
            <w:pPr>
              <w:spacing w:after="0"/>
              <w:rPr>
                <w:sz w:val="24"/>
                <w:szCs w:val="24"/>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40,571</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92,137</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7" w:lineRule="exact"/>
        <w:rPr>
          <w:sz w:val="20"/>
          <w:szCs w:val="20"/>
          <w:color w:val="auto"/>
        </w:rPr>
      </w:pPr>
    </w:p>
    <w:p>
      <w:pPr>
        <w:sectPr>
          <w:pgSz w:w="11900" w:h="16838" w:orient="portrait"/>
          <w:cols w:equalWidth="0" w:num="2">
            <w:col w:w="8100" w:space="720"/>
            <w:col w:w="26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3,782</w:t>
            </w:r>
          </w:p>
        </w:tc>
      </w:tr>
      <w:tr>
        <w:trPr>
          <w:trHeight w:val="210"/>
        </w:trPr>
        <w:tc>
          <w:tcPr>
            <w:tcW w:w="610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 of refunds received</w:t>
            </w:r>
          </w:p>
        </w:tc>
        <w:tc>
          <w:tcPr>
            <w:tcW w:w="3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2016 and 2015, accounts payable included approximately $5.2 million and $1.2 million, respectively, associated with capital expenditures.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for accounts payable and acquisition of property, plant and equipment exclude this activity.</w:t>
      </w:r>
    </w:p>
    <w:p>
      <w:pPr>
        <w:spacing w:after="0" w:line="238"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In conjunction with the acquisition of nTelos, the Company issued common stock to acquire non-controlling interests held by third parties in a subsidiary of nTelos. The transaction was valued at $10.4 million.</w:t>
      </w:r>
    </w:p>
    <w:p>
      <w:pPr>
        <w:spacing w:after="0" w:line="19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The Company reclassified $4.3 million of unamortized loan fees and costs included in deferred charges and other assets to long term debt in connection with the new Term loan A-1 and A-2 borrowing related to the acquisition of nTelos.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financial statements should be read in conjunction with the audited consolidated financial statements and related notes in the Company’s Annual Report on Form 10-K for the year ended December 31, 2015. The accompanying balance sheet information at December 31, 2015 was derived from the audited December 31, 2015 consolidated balance sheet. Operating revenues and income from operations for any interim period are not necessarily indicative of results that may be expected for the entire year.</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nTelos acquisition and exchange transaction with Sprint (see Note 2), the Company has added the following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Under the Company’s amended affiliate agreement, Sprint agreed to waive the management fee, which is historically presented as a contra-revenue by the Company, for a period of approximately six years. The impact of Sprint’s waiver of the management fee over the approximate six-year period is reflected as an increase in revenue, offset by the non-cash adjustment to recognize this impact on a straight-line basis over the contract term of approximately 14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tested for impairment on at least an annual basis. Impairment testing is required more often than annually if an event or circumstance indicates that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Company conducts its annual impairment testing of goodwill as of October 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 and Retirement Benefits Other Than Pensions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the Company’s acquisition of nTelos, the Company assumed nTelos’ non-contributory defined benefit 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The Company uses updated mortality tables published by the Society of Actuaries that predict increasing life expectancies in the United States.</w:t>
      </w:r>
    </w:p>
    <w:p>
      <w:pPr>
        <w:spacing w:after="0" w:line="22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The Company’s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The Company also assumed two qualified nonpension postretirement benefit plans that provide certain health care and life benefits for nTelos retired employees that meet eligibility requirements. The health care plan is contributory, with participants’ contributions adjusted annually. The life insurance plan also is contributory. These obligations, along with all of the pension plans and other postretirement benefit plans, are obligations assumed by the Company. Eligibility for the life insurance plan is restricted to active pension participants age 50-64 as of January 5, 1994. Neither plan is eligible to employees hired after April 1993. The accounting for the plans anticipates that the Company will maintain a consistent level of cost sharing for the benefits with the retirees. The Company’s share of the projected costs of benefits that will be paid after retirement is generally being accrued by charges to expense over the eligible employees’ service periods to the dates they are fully eligible for benefits.</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records annual amounts relating to the Pension Plan and postretirement benefit plans based on calculations that incorporate various actuarial and other assumptions, including discount rates, mortality, assumed rates of return, turnover rates and healthcare cost trend rates. The Company reviews its assumptions on an annual basis and makes modifications to the assumptions based on current rates and trends when it is appropriate to do so. The effect of modifications to those assumptions is recorded in accumulated other comprehensive income (loss) and amortized to net periodic cost over future periods using the corridor method.</w:t>
      </w:r>
    </w:p>
    <w:p>
      <w:pPr>
        <w:sectPr>
          <w:pgSz w:w="11900" w:h="16838" w:orient="portrait"/>
          <w:cols w:equalWidth="0" w:num="1">
            <w:col w:w="11400"/>
          </w:cols>
          <w:pgMar w:left="240" w:top="121" w:right="25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NTELOS Holdings Corp. and Exchange with Sprint</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6, 2016, the Company completed its previously announced acquisition of NTELOS Holdings Corp. (“nTelos”) for $663.7 million in cash, net of cash acquired. The purchase price was financed by a credit facility arranged by CoBank, ACB (see Note 14). The Company has included the operations of nTelos for financial reporting purposes for the period subsequent to the acquisition. The Company has accounted for the acquisition of nTelos under the acquisition method of accounting, in accordance with Financial Accounting Standards Board (“FASB”) Accounting Standards Codification (“ASC”) 805, “Business Combinations”, and will account for any measurement period adjustments under Accounting Standards Update (“ASU”) 2015-16, “Simplifying the Accounting for Measurement Period Adjustments”. Under the acquisition method of accounting, the total purchase price is allocated to the tangible and intangible assets acquired and liabilities assumed in connection with the acquisition based on their estimated fair values.</w:t>
      </w:r>
    </w:p>
    <w:p>
      <w:pPr>
        <w:spacing w:after="0" w:line="1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preliminary allocation of the purchase price was based upon management’s preliminary valuation of the fair value of tangible and intangible assets acquired and liabilities assumed of nTelos, with the excess recorded as goodwill.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Prepaids expenses and other assets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Building held for sale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Spectrum licenses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Customer based contract rights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Contract based intangible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long term assets</w:t>
            </w: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868,954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Advanced billings and customer deposits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Capital lease liability</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Retirement benefits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205,254</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Finalization of the purchase price allocations is dependent on final review and acceptance of the independent appraiser’s valuation report.</w:t>
      </w:r>
    </w:p>
    <w:p>
      <w:pPr>
        <w:spacing w:after="0" w:line="25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Immediately after acquiring nTelos, Shenandoah Personal Communications, LLC, (“PCS”) a wholly-owned subsidiary of the Company, completed its previously announced transaction with SprintCom, Inc., an affiliate of Sprint Corporation (“Sprint”). Pursuant to this transaction, among other things, the Company exchanged spectrum licenses valued at $198.2 million and customer based contract rights, valued at $198.2 million, acquired from nTelos with Sprint, and received an expansion of its affiliate service territory to include most of the service area served by nTelos, valued at $258.1 million, as well as additional customer based contract rights, valued at $138.3 million, relating to nTelos’ and Sprint’s legacy customers in the Company’s affiliate service territory. These exchanges were accounted for in accordance with ASC 845, “Nonmonetary Transactions”.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is based on changes to the amended affiliate agreement that include:</w:t>
      </w:r>
    </w:p>
    <w:p>
      <w:pPr>
        <w:spacing w:after="0" w:line="252" w:lineRule="exact"/>
        <w:rPr>
          <w:sz w:val="20"/>
          <w:szCs w:val="20"/>
          <w:color w:val="auto"/>
        </w:rPr>
      </w:pPr>
    </w:p>
    <w:p>
      <w:pPr>
        <w:ind w:left="720" w:hanging="347"/>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in the price to be paid by Sprint from 80% to 90% of the entire business value of PCS if the affiliate agreement is not renewed;</w:t>
      </w:r>
    </w:p>
    <w:p>
      <w:pPr>
        <w:spacing w:after="0" w:line="34" w:lineRule="exact"/>
        <w:rPr>
          <w:rFonts w:ascii="Arial" w:cs="Arial" w:eastAsia="Arial" w:hAnsi="Arial"/>
          <w:sz w:val="17"/>
          <w:szCs w:val="17"/>
          <w:color w:val="auto"/>
        </w:rPr>
      </w:pPr>
    </w:p>
    <w:p>
      <w:pPr>
        <w:ind w:left="720" w:hanging="3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9" w:lineRule="exact"/>
        <w:rPr>
          <w:rFonts w:ascii="Arial" w:cs="Arial" w:eastAsia="Arial" w:hAnsi="Arial"/>
          <w:sz w:val="18"/>
          <w:szCs w:val="18"/>
          <w:color w:val="auto"/>
        </w:rPr>
      </w:pPr>
    </w:p>
    <w:p>
      <w:pPr>
        <w:ind w:left="720" w:right="40" w:hanging="347"/>
        <w:spacing w:after="0" w:line="25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$251.8 million, as well as an additional waiver of the management fee charged with respect to the former nTelos customers until the earlier of migration to the Sprint back-office billing and related systems or six months following the acquisition; not to exceed $5.0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resulting from the acquisition of nTelos and the Sprint exchange, both described above, are noted below (dollars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340" w:type="dxa"/>
            <w:vAlign w:val="bottom"/>
            <w:gridSpan w:val="3"/>
          </w:tcPr>
          <w:p>
            <w:pPr>
              <w:jc w:val="right"/>
              <w:ind w:right="350"/>
              <w:spacing w:after="0"/>
              <w:rPr>
                <w:sz w:val="20"/>
                <w:szCs w:val="20"/>
                <w:color w:val="auto"/>
              </w:rPr>
            </w:pPr>
            <w:r>
              <w:rPr>
                <w:rFonts w:ascii="Arial" w:cs="Arial" w:eastAsia="Arial" w:hAnsi="Arial"/>
                <w:sz w:val="18"/>
                <w:szCs w:val="18"/>
                <w:color w:val="auto"/>
              </w:rPr>
              <w:t>Useful Life</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Basis</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Affiliate contract agreement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years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Customer based contract rights</w:t>
            </w:r>
          </w:p>
        </w:tc>
        <w:tc>
          <w:tcPr>
            <w:tcW w:w="1340" w:type="dxa"/>
            <w:vAlign w:val="bottom"/>
            <w:gridSpan w:val="3"/>
          </w:tcPr>
          <w:p>
            <w:pPr>
              <w:jc w:val="right"/>
              <w:ind w:right="230"/>
              <w:spacing w:after="0"/>
              <w:rPr>
                <w:sz w:val="20"/>
                <w:szCs w:val="20"/>
                <w:color w:val="auto"/>
              </w:rPr>
            </w:pPr>
            <w:r>
              <w:rPr>
                <w:rFonts w:ascii="Arial" w:cs="Arial" w:eastAsia="Arial" w:hAnsi="Arial"/>
                <w:sz w:val="18"/>
                <w:szCs w:val="18"/>
                <w:color w:val="auto"/>
              </w:rPr>
              <w:t>4-10 years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138,300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Contract based intangible assets</w:t>
            </w:r>
          </w:p>
        </w:tc>
        <w:tc>
          <w:tcPr>
            <w:tcW w:w="13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3-19 years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w:t>
            </w:r>
          </w:p>
        </w:tc>
      </w:tr>
    </w:tbl>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affiliate contract agreement intangible asset will be amortized on a straight-line basis and recorded as a contra-revenue over the 14 year contract term. The other contract based intangible assets will be amortized on a straight-line basis and recorded through amortization expense. The customer based contract rights will be amortized over the life of the customers, gradually decreasing over the expected life of this asset, and recorded through amortization expense.</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recorded goodwill in its Wireless segment as a result of the nTelos acquisition. This goodwill is not amortizable for tax purposes, as the Company acquired the common stock of nTelos.</w:t>
      </w:r>
    </w:p>
    <w:p>
      <w:pPr>
        <w:spacing w:after="0" w:line="19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Prior to the acquisition, nTelos was eligible to receive up to $5.0 million in connection with its winning bid in the Connect America Fund's Mobility Fund Phase I Auction ("Auction 901"). Pursuant to the terms of Auction 901, nTelos obtained a Letter of Credit (“LOC”) in the amount of $2.2 million for the benefit of the Universal Service Administrative Company (“USAC”) to cover each disbursement plus the amount of the performance default penalty (10% of the total eligible award). In accordance with the terms of the LOC, nTelos deposited $2.2 million into a separate account at the issuing bank to serve as cash collateral and is presented as restricted cash. Such funds will be released to the Company when the LOC is terminated without being drawn upon by USAC.</w:t>
      </w:r>
    </w:p>
    <w:p>
      <w:pPr>
        <w:spacing w:after="0" w:line="18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the time of the acquisition, certain third party investors held a non-controlling interest in one of nTelos’ subsidiaries. Immediately after the acquisition of nTelos, the Company acquired these interests in exchange for 380,000 shares of Company common stock, to be paid in five equal installments, with the first installment paid immediately and the remaining four to be paid over the next four years. This transaction was valued at $10.4 million.</w:t>
      </w:r>
    </w:p>
    <w:p>
      <w:pPr>
        <w:spacing w:after="0" w:line="17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acquisition, at closing, the Company borrowed $810.0 million in term loans with a weighted average effective interest rate of approximately 3.84%. The proceeds were used to finance in part the acquisition, including the repayment of the Company’s term loan of $195.5 million, and the repayment of nTelos’ term loans at the outstanding principal amount of $519.7 million, without penalty.</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Following are the unaudited pro forma results of the Company for the three and six months ended June 30, 2016 and 2015 as if the acquisition of nTelos had occurred at the beginning of each of the periods presented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22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280" w:type="dxa"/>
            <w:vAlign w:val="bottom"/>
          </w:tcPr>
          <w:p>
            <w:pPr>
              <w:spacing w:after="0"/>
              <w:rPr>
                <w:sz w:val="20"/>
                <w:szCs w:val="20"/>
                <w:color w:val="auto"/>
              </w:rPr>
            </w:pPr>
          </w:p>
        </w:tc>
      </w:tr>
      <w:tr>
        <w:trPr>
          <w:trHeight w:val="58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80" w:type="dxa"/>
            <w:vAlign w:val="bottom"/>
          </w:tcPr>
          <w:p>
            <w:pPr>
              <w:jc w:val="right"/>
              <w:ind w:right="679"/>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bl>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spacing w:after="0" w:line="208" w:lineRule="exact"/>
        <w:rPr>
          <w:sz w:val="20"/>
          <w:szCs w:val="20"/>
          <w:color w:val="auto"/>
        </w:rPr>
      </w:pPr>
    </w:p>
    <w:p>
      <w:pPr>
        <w:ind w:left="720" w:hanging="34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23" w:lineRule="exact"/>
        <w:rPr>
          <w:rFonts w:ascii="Arial" w:cs="Arial" w:eastAsia="Arial" w:hAnsi="Arial"/>
          <w:sz w:val="18"/>
          <w:szCs w:val="18"/>
          <w:color w:val="auto"/>
        </w:rPr>
      </w:pPr>
    </w:p>
    <w:p>
      <w:pPr>
        <w:ind w:left="720" w:right="320" w:hanging="347"/>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720" w:right="40" w:hanging="347"/>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including fees charged under the affiliate agreement on revenues from former nTelos customers, a reduction of the net service fee charged by Sprint, the straight-line impact of the waived management fee, and the amortization of the affiliate agreement expansion intangible asset; and the elimination of non-recurring transaction related expenses incurred by the Company and nTelos;</w:t>
      </w:r>
    </w:p>
    <w:p>
      <w:pPr>
        <w:spacing w:after="0" w:line="1" w:lineRule="exact"/>
        <w:rPr>
          <w:rFonts w:ascii="Arial" w:cs="Arial" w:eastAsia="Arial" w:hAnsi="Arial"/>
          <w:sz w:val="18"/>
          <w:szCs w:val="18"/>
          <w:color w:val="auto"/>
        </w:rPr>
      </w:pPr>
    </w:p>
    <w:p>
      <w:pPr>
        <w:ind w:left="720" w:hanging="347"/>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720" w:right="40" w:hanging="347"/>
        <w:spacing w:after="0" w:line="28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720" w:hanging="34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incremental amortization due to the customer-based contract rights associated with acquired customers.</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these transactions, the Company committed to Sprint to migrate the former nTelos customers to devices which can interact with the Sprint billing and network systems and to maintain the nTelos billing, customer care and switching systems until the migration is complete, and expects to incur a total of between $106 million and $126 million of integration and acquisition expenses associated with this transaction, excluding approximately $24 million of debt issuance costs. These costs include the nTelos back office staff and support functions until the nTelos legacy customers are migrated to the Sprint billing platform; cost of handsets to be provided to nTelos legacy customers as they migrate to the Sprint billing platform; severance costs for back office and other former nTelos employees who will not be retained permanently; and transaction related fees. The Company has incurred $22.4 million and $22.7 million of these costs in the three months and six months ended June 30, 2016, respectively, including $0.3 million reflected in cost of goods and services and $2.0 million reflected in selling, general and administrative costs in both the three and six month periods ended June 30, 2016.</w:t>
      </w:r>
    </w:p>
    <w:p>
      <w:pPr>
        <w:spacing w:after="0" w:line="166" w:lineRule="exact"/>
        <w:rPr>
          <w:sz w:val="20"/>
          <w:szCs w:val="20"/>
          <w:color w:val="auto"/>
        </w:rPr>
      </w:pPr>
    </w:p>
    <w:p>
      <w:pPr>
        <w:jc w:val="both"/>
        <w:ind w:right="980"/>
        <w:spacing w:after="0" w:line="342"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15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Former nTelos stockholders who held approximately one million shares of nTelos’ common stock have exercised their appraisal rights under Delaware law with respect to the merger consideration of $9.25 per share paid pursuant to the nTelos acquisition. The Company has recorded a payable for the $9.3 million aggregate remaining purchase price due based upon the terms of the merger agreement with nTelos. At this time, the Company is unable to determine an estimate of any final outcome of the appraisal action or the expected timing of resolving the appraisal action. Under Delaware law, the former nTelos stockholders will be entitled to interest at the rate of 6.1% per annum on the unpaid amount when the appraisal action is resolved.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6"/>
              </w:rPr>
              <w:t>June 30,</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0"/>
              </w:rPr>
              <w:t>December 31,</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2015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2"/>
              </w:rPr>
              <w:t>Accumulated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Carrying</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5"/>
              </w:rPr>
              <w:t>Amortization</w:t>
            </w:r>
          </w:p>
        </w:tc>
        <w:tc>
          <w:tcPr>
            <w:tcW w:w="34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6"/>
              </w:rPr>
              <w:t>Amount</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3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Non-amortizing intangibles: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Cable franchise rights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64,374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Affiliate contract expansion rights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258,100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254,810</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subscribers – wireless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138,300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Favorable leases – wireless</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subscribers – cable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25,265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434,833</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27,264</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(24,369)</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499,207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(35,061)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464,146</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91,362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(24,369)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for intangible assets for the periods shown is expected to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jc w:val="center"/>
              <w:ind w:right="10"/>
              <w:spacing w:after="0"/>
              <w:rPr>
                <w:sz w:val="20"/>
                <w:szCs w:val="20"/>
                <w:color w:val="auto"/>
              </w:rPr>
            </w:pPr>
            <w:r>
              <w:rPr>
                <w:rFonts w:ascii="Arial" w:cs="Arial" w:eastAsia="Arial" w:hAnsi="Arial"/>
                <w:sz w:val="18"/>
                <w:szCs w:val="18"/>
                <w:color w:val="auto"/>
                <w:w w:val="90"/>
              </w:rPr>
              <w:t>Year Ending</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320" w:type="dxa"/>
            <w:vAlign w:val="bottom"/>
          </w:tcPr>
          <w:p>
            <w:pPr>
              <w:jc w:val="center"/>
              <w:ind w:right="1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20"/>
                <w:szCs w:val="20"/>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Amount</w:t>
            </w:r>
          </w:p>
        </w:tc>
      </w:tr>
      <w:tr>
        <w:trPr>
          <w:trHeight w:val="216"/>
        </w:trPr>
        <w:tc>
          <w:tcPr>
            <w:tcW w:w="5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2016 Remaining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26,061</w:t>
            </w:r>
          </w:p>
        </w:tc>
      </w:tr>
      <w:tr>
        <w:trPr>
          <w:trHeight w:val="216"/>
        </w:trPr>
        <w:tc>
          <w:tcPr>
            <w:tcW w:w="532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1400" w:type="dxa"/>
            <w:vAlign w:val="bottom"/>
            <w:gridSpan w:val="3"/>
          </w:tcPr>
          <w:p>
            <w:pPr>
              <w:ind w:left="800"/>
              <w:spacing w:after="0"/>
              <w:rPr>
                <w:sz w:val="20"/>
                <w:szCs w:val="20"/>
                <w:color w:val="auto"/>
              </w:rPr>
            </w:pPr>
            <w:r>
              <w:rPr>
                <w:rFonts w:ascii="Arial" w:cs="Arial" w:eastAsia="Arial" w:hAnsi="Arial"/>
                <w:sz w:val="18"/>
                <w:szCs w:val="18"/>
                <w:color w:val="auto"/>
              </w:rPr>
              <w:t>48,574</w:t>
            </w:r>
          </w:p>
        </w:tc>
      </w:tr>
      <w:tr>
        <w:trPr>
          <w:trHeight w:val="216"/>
        </w:trPr>
        <w:tc>
          <w:tcPr>
            <w:tcW w:w="53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41,377</w:t>
            </w:r>
          </w:p>
        </w:tc>
      </w:tr>
      <w:tr>
        <w:trPr>
          <w:trHeight w:val="216"/>
        </w:trPr>
        <w:tc>
          <w:tcPr>
            <w:tcW w:w="5320" w:type="dxa"/>
            <w:vAlign w:val="bottom"/>
          </w:tcPr>
          <w:p>
            <w:pPr>
              <w:jc w:val="center"/>
              <w:ind w:right="30"/>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8"/>
                <w:szCs w:val="18"/>
                <w:color w:val="auto"/>
              </w:rPr>
            </w:pPr>
          </w:p>
        </w:tc>
        <w:tc>
          <w:tcPr>
            <w:tcW w:w="1400" w:type="dxa"/>
            <w:vAlign w:val="bottom"/>
            <w:gridSpan w:val="3"/>
          </w:tcPr>
          <w:p>
            <w:pPr>
              <w:ind w:left="800"/>
              <w:spacing w:after="0"/>
              <w:rPr>
                <w:sz w:val="20"/>
                <w:szCs w:val="20"/>
                <w:color w:val="auto"/>
              </w:rPr>
            </w:pPr>
            <w:r>
              <w:rPr>
                <w:rFonts w:ascii="Arial" w:cs="Arial" w:eastAsia="Arial" w:hAnsi="Arial"/>
                <w:sz w:val="18"/>
                <w:szCs w:val="18"/>
                <w:color w:val="auto"/>
              </w:rPr>
              <w:t>36,619</w:t>
            </w:r>
          </w:p>
        </w:tc>
      </w:tr>
      <w:tr>
        <w:trPr>
          <w:trHeight w:val="216"/>
        </w:trPr>
        <w:tc>
          <w:tcPr>
            <w:tcW w:w="53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33,363</w:t>
            </w:r>
          </w:p>
        </w:tc>
      </w:tr>
      <w:tr>
        <w:trPr>
          <w:trHeight w:val="216"/>
        </w:trPr>
        <w:tc>
          <w:tcPr>
            <w:tcW w:w="5320" w:type="dxa"/>
            <w:vAlign w:val="bottom"/>
          </w:tcPr>
          <w:p>
            <w:pPr>
              <w:jc w:val="center"/>
              <w:ind w:right="30"/>
              <w:spacing w:after="0"/>
              <w:rPr>
                <w:sz w:val="20"/>
                <w:szCs w:val="20"/>
                <w:color w:val="auto"/>
              </w:rPr>
            </w:pPr>
            <w:r>
              <w:rPr>
                <w:rFonts w:ascii="Arial" w:cs="Arial" w:eastAsia="Arial" w:hAnsi="Arial"/>
                <w:sz w:val="18"/>
                <w:szCs w:val="18"/>
                <w:color w:val="auto"/>
                <w:w w:val="89"/>
              </w:rPr>
              <w:t>2021</w:t>
            </w:r>
          </w:p>
        </w:tc>
        <w:tc>
          <w:tcPr>
            <w:tcW w:w="140" w:type="dxa"/>
            <w:vAlign w:val="bottom"/>
          </w:tcPr>
          <w:p>
            <w:pPr>
              <w:spacing w:after="0"/>
              <w:rPr>
                <w:sz w:val="18"/>
                <w:szCs w:val="18"/>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w w:val="87"/>
              </w:rPr>
              <w:t>30,116</w:t>
            </w:r>
          </w:p>
        </w:tc>
        <w:tc>
          <w:tcPr>
            <w:tcW w:w="100" w:type="dxa"/>
            <w:vAlign w:val="bottom"/>
          </w:tcPr>
          <w:p>
            <w:pPr>
              <w:spacing w:after="0"/>
              <w:rPr>
                <w:sz w:val="18"/>
                <w:szCs w:val="18"/>
                <w:color w:val="auto"/>
              </w:rPr>
            </w:pPr>
          </w:p>
        </w:tc>
      </w:tr>
      <w:tr>
        <w:trPr>
          <w:trHeight w:val="223"/>
        </w:trPr>
        <w:tc>
          <w:tcPr>
            <w:tcW w:w="53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6"/>
              </w:rPr>
              <w:t>183,662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320" w:type="dxa"/>
            <w:vAlign w:val="bottom"/>
          </w:tcPr>
          <w:p>
            <w:pPr>
              <w:jc w:val="center"/>
              <w:ind w:right="10"/>
              <w:spacing w:after="0"/>
              <w:rPr>
                <w:sz w:val="20"/>
                <w:szCs w:val="20"/>
                <w:color w:val="auto"/>
              </w:rPr>
            </w:pPr>
            <w:r>
              <w:rPr>
                <w:rFonts w:ascii="Arial" w:cs="Arial" w:eastAsia="Arial" w:hAnsi="Arial"/>
                <w:sz w:val="18"/>
                <w:szCs w:val="18"/>
                <w:color w:val="auto"/>
                <w:w w:val="94"/>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w w:val="89"/>
              </w:rPr>
              <w:t>399,772</w:t>
            </w:r>
          </w:p>
        </w:tc>
        <w:tc>
          <w:tcPr>
            <w:tcW w:w="100" w:type="dxa"/>
            <w:vAlign w:val="bottom"/>
          </w:tcPr>
          <w:p>
            <w:pPr>
              <w:spacing w:after="0"/>
              <w:rPr>
                <w:sz w:val="18"/>
                <w:szCs w:val="18"/>
                <w:color w:val="auto"/>
              </w:rPr>
            </w:pP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Changes in the carrying amount of goodwill during the six months ended June 30, 2016 are shown below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31, 2015, Wireline segment</w:t>
            </w:r>
          </w:p>
        </w:tc>
        <w:tc>
          <w:tcPr>
            <w:tcW w:w="4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6"/>
              </w:rPr>
              <w:t>Goodwill recorded January 2016, Cable segment, Colane acquisition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8"/>
              </w:rPr>
              <w:t>Goodwill recorded May 2016, Wireless segment, nTelos acquisition</w:t>
            </w: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as of June 30, 2016</w:t>
            </w:r>
          </w:p>
        </w:tc>
        <w:tc>
          <w:tcPr>
            <w:tcW w:w="4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151,730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720" w:type="dxa"/>
            <w:vAlign w:val="bottom"/>
            <w:vMerge w:val="restart"/>
          </w:tcPr>
          <w:p>
            <w:pPr>
              <w:jc w:val="right"/>
              <w:ind w:right="3156"/>
              <w:spacing w:after="0"/>
              <w:rPr>
                <w:sz w:val="20"/>
                <w:szCs w:val="20"/>
                <w:color w:val="auto"/>
              </w:rPr>
            </w:pPr>
            <w:r>
              <w:rPr>
                <w:rFonts w:ascii="Arial" w:cs="Arial" w:eastAsia="Arial" w:hAnsi="Arial"/>
                <w:sz w:val="14"/>
                <w:szCs w:val="14"/>
                <w:color w:val="auto"/>
              </w:rPr>
              <w:t>13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color w:val="auto"/>
              </w:rPr>
              <w:t>4.  Property, Plant and Equipment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660" w:type="dxa"/>
            <w:vAlign w:val="bottom"/>
            <w:gridSpan w:val="3"/>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June 30,</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718,503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Plant under construction</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75,949</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36,600</w:t>
            </w: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755,103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Less accumulated amortization and depreciation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387,027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345,085</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653,523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410,018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5.</w:t>
        <w:tab/>
        <w:t>Earnings (loss) per share</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Basic net income (loss) per share was computed on the weighted average number of shares outstanding. Diluted net income per share was computed under the treasury stock method, assuming the conversion as of the beginning of the period, for all dilutive stock options. Of 964 thousand and 696 thousand shares and options outstanding at June 30, 2016 and 2015, respectively, 22 thousand and 79 thousand were anti-dilutive, respectively. These shares and options have been excluded from the computations of diluted earnings per share for the six months ended June 30, 2016, and the three and six month periods ended June 30, 2015. Due to the net loss for the three months ended June 30, 2016, no adjustment was made to basic shares, as such adjustment would have been anti-dilutive. There were no adjustments to net income for either period.</w:t>
      </w:r>
    </w:p>
    <w:p>
      <w:pPr>
        <w:spacing w:after="0" w:line="20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Carried at Fair Value</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Investments include $2.8 million and $2.7 million of investments carried at fair value as of June 30, 2016 and December 31, 2015,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six months ended June 30, 2016, the Company recognized $153 thousand in dividend and interest income from investments, and recorded net unrealized gains of $83 thousand on these investments. Fair values for these investments held under the rabbi trust were determined by Level 1 quoted market prices for the underlying mutual funds.</w:t>
      </w:r>
    </w:p>
    <w:p>
      <w:pPr>
        <w:spacing w:after="0" w:line="21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Installment Plan Receivables</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part of the acquisition of nTelos, the Company assumed the accounts receivable associated with nTelos’ Equipment Installment Plan, (“EIP”). This plan allowed EIP subscribers to pay for their devices in installments over a 24-month period. At the time of an installment sale, nTelos imputed interest on the installment receivable using current market interest rate estimates ranging from approximately 5% to 10%. Additionally, the customer had the right to trade in their original device after a specified period of time for a new device and have the remaining unpaid balance satisfied. This trade-in right was measured at the estimated fair value of the device being traded in based on current trade-in values and the timing of the trade-in.</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Immediately following the acquisition, the Company terminated the EIP offering but has continued to service the installment receivable and trade in obligation until such time that the customer migrates to Sprint. The accounts receivable associated with EIP and the trade-in liability were estimated at its fair value at acquisition date in accordance with ASC 805, “Business Combinations”.</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was $26.0 million of EIP receivables as of June 30, 2016. The short term portion of $19.5 million is included in accounts receivable, net. The long term portion of $6.5 million is included in deferred charges and other assets, net.</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2016, the liability associated with the trade-in right was $5.3 million, and is reflected in accrued liabilities and other and other long term liabilities.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197"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Hedging Activities and Accumulated Other Comprehensive Income (Loss)</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$144.1 million as of June 30, 2016. The outstanding notional amount decreases as the Company makes scheduled principal payments on the debt.</w:t>
      </w:r>
    </w:p>
    <w:p>
      <w:pPr>
        <w:spacing w:after="0" w:line="20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May 2016, the Company entered into a pay-fixed, receive-variable interest rate swap of $256.6 million of notional principal with three counterparties. This interest rate swap was designated as a cash flow hedge. The total outstanding notional amount of the cash flow hedge was $273.4 million as of June 30, 2016. The outstanding notional amount increases with each expected draw on the term debt and decreases as the Company makes scheduled principal payments on the debt. In combination with the swap entered into in 2012 described above, the Company is hedging approximately 50% of the expected outstanding debt (including expected draws under the delayed draw term loan) associated with the nTelos acquisition.</w:t>
      </w:r>
    </w:p>
    <w:p>
      <w:pPr>
        <w:spacing w:after="0" w:line="20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(loss)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reported in accumulated other comprehensive income (loss) related to the interest rate swaps designated and qualified as a cash flow hedge, are reclassified to interest expense as interest payments are made on the Company’s variable-rate debt. As of June 30, 2016, the Company estimates that $3.0 million will be reclassified as an increase to interest expense during the next twelve months due to the interest rate swaps since the hedge interest rate exceeds the variable interest rate on the debt.</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 as well as its classification on the condensed consolidated balance sheet as of June 30, 2016 and December 31, 2015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Pr>
          <w:p>
            <w:pPr>
              <w:spacing w:after="0"/>
              <w:rPr>
                <w:sz w:val="20"/>
                <w:szCs w:val="20"/>
                <w:color w:val="auto"/>
              </w:rPr>
            </w:pPr>
          </w:p>
        </w:tc>
        <w:tc>
          <w:tcPr>
            <w:tcW w:w="4460" w:type="dxa"/>
            <w:vAlign w:val="bottom"/>
            <w:tcBorders>
              <w:bottom w:val="single" w:sz="8" w:color="auto"/>
            </w:tcBorders>
            <w:gridSpan w:val="2"/>
          </w:tcPr>
          <w:p>
            <w:pPr>
              <w:ind w:left="306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44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Balance Sheet</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3"/>
          </w:tcPr>
          <w:p>
            <w:pPr>
              <w:jc w:val="right"/>
              <w:ind w:right="4460"/>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jc w:val="right"/>
              <w:ind w:right="4460"/>
              <w:spacing w:after="0"/>
              <w:rPr>
                <w:sz w:val="20"/>
                <w:szCs w:val="20"/>
                <w:color w:val="auto"/>
              </w:rPr>
            </w:pPr>
            <w:r>
              <w:rPr>
                <w:rFonts w:ascii="Arial" w:cs="Arial" w:eastAsia="Arial" w:hAnsi="Arial"/>
                <w:sz w:val="18"/>
                <w:szCs w:val="18"/>
                <w:color w:val="auto"/>
              </w:rPr>
              <w:t>Interest rate swap</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Accrued liabilities and other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Other liabilities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Deferred charges and other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3"/>
          </w:tcPr>
          <w:p>
            <w:pPr>
              <w:jc w:val="right"/>
              <w:ind w:right="4460"/>
              <w:spacing w:after="0"/>
              <w:rPr>
                <w:sz w:val="20"/>
                <w:szCs w:val="20"/>
                <w:color w:val="auto"/>
              </w:rPr>
            </w:pPr>
            <w:r>
              <w:rPr>
                <w:rFonts w:ascii="Arial" w:cs="Arial" w:eastAsia="Arial" w:hAnsi="Arial"/>
                <w:sz w:val="18"/>
                <w:szCs w:val="18"/>
                <w:color w:val="auto"/>
              </w:rPr>
              <w:t>Total derivatives designated as hedging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(6,518)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jc w:val="right"/>
              <w:ind w:right="283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8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change in accumulated other comprehensive income (loss) by component for the six months ended June 30, 2016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Income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Tax</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1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(Expense)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Hedges</w:t>
            </w: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Benefit</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(7,997)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3,243</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(7,206)</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10. Other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 obligations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Due to dissenting shareholder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deferred revenues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11. 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Wireless segment has provided digital wireless service to a portion of a four-state area covering the region from Harrisburg, York and Altoona, Pennsylvania, to Harrisonburg, Virginia, as a Sprint PCS Affiliate. With the recent acquisition of nTelos (see Note 2), the Company’s wireless service area has expanded to include south-central and western Virginia, West Virginia, and small portions of Kentucky and Ohio. This segment also owns cell site towers built on leased land, and leases space on these towers to both affiliates and non-affiliated service providers.</w:t>
      </w:r>
    </w:p>
    <w:p>
      <w:pPr>
        <w:spacing w:after="0" w:line="19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June 30, 2016</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86,873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93,153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26,090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94,294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26,401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35,236</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14,564</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8,808</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(8,312)</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23,010</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4,794</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4,885</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Integration and acquisition expenses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3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14,778</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23,495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5,879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87,017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25,237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13,411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19,771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June 30, 2015</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51,597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23,967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52,702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24,153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16,463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15,903</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13,635</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7,677</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5,084</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Integration and acquisition expenses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8,612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5,859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33,432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24,578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12,496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19,270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340" w:type="dxa"/>
            <w:vAlign w:val="bottom"/>
            <w:gridSpan w:val="3"/>
          </w:tcPr>
          <w:p>
            <w:pPr>
              <w:spacing w:after="0"/>
              <w:rPr>
                <w:sz w:val="20"/>
                <w:szCs w:val="20"/>
                <w:color w:val="auto"/>
              </w:rPr>
            </w:pPr>
            <w:r>
              <w:rPr>
                <w:rFonts w:ascii="Arial" w:cs="Arial" w:eastAsia="Arial" w:hAnsi="Arial"/>
                <w:sz w:val="18"/>
                <w:szCs w:val="18"/>
                <w:color w:val="auto"/>
              </w:rPr>
              <w:t>Six months ended June 30, 2016</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139,052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3,768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148,536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52,275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150,812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52,847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36,970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51,815</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29,210</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17,450</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(16,418)</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34,524</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Integration and acquisition expenses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3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15,110</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31,988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11,974</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123,603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51,086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26,692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24,085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27,209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Six months ended June 30, 2015</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w w:val="94"/>
              </w:rPr>
              <w:t>Eliminations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3,613</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103,002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47,131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19,856</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12,192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(14,735)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105,211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47,465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(14,735)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32,090</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27,253</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15,011</w:t>
            </w:r>
          </w:p>
        </w:tc>
        <w:tc>
          <w:tcPr>
            <w:tcW w:w="3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(13,384)</w:t>
            </w:r>
          </w:p>
        </w:tc>
        <w:tc>
          <w:tcPr>
            <w:tcW w:w="1060" w:type="dxa"/>
            <w:vAlign w:val="bottom"/>
          </w:tcPr>
          <w:p>
            <w:pPr>
              <w:jc w:val="right"/>
              <w:spacing w:after="0"/>
              <w:rPr>
                <w:sz w:val="20"/>
                <w:szCs w:val="20"/>
                <w:color w:val="auto"/>
              </w:rPr>
            </w:pPr>
            <w:r>
              <w:rPr>
                <w:rFonts w:ascii="Arial" w:cs="Arial" w:eastAsia="Arial" w:hAnsi="Arial"/>
                <w:sz w:val="18"/>
                <w:szCs w:val="18"/>
                <w:color w:val="auto"/>
              </w:rPr>
              <w:t>60,970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17,969</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9,976</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6,890</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Integration and acquisition expenses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1,024</w:t>
            </w:r>
          </w:p>
        </w:tc>
        <w:tc>
          <w:tcPr>
            <w:tcW w:w="1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16,444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11,338</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6,007</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66,503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48,567</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24,252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8,126</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(14,735)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38,708</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(8,126)</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(loss) to consolidated income (loss) before taxes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(5,904)</w:t>
            </w: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(11,887)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17,350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37,276</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(7,524)</w:t>
            </w: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(3,855)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Non-operating income, net</w:t>
            </w:r>
          </w:p>
        </w:tc>
        <w:tc>
          <w:tcPr>
            <w:tcW w:w="1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8,362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34,495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89"/>
              </w:rPr>
              <w:t>June 30,</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December 31,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1,142,459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205,718</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Cable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210,542</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209,132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111,728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105,369</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1,083,152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463,390</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2,547,881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983,609</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(1,092,040)</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(356,458)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1,455,841</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627,151</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40" w:type="dxa"/>
            <w:vAlign w:val="bottom"/>
          </w:tcPr>
          <w:p>
            <w:pPr>
              <w:jc w:val="right"/>
              <w:ind w:right="596"/>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12. Income Taxes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2012 are no longer subject to examination. The Company is not subject to any state or federal income tax audits as of June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13. Adoption of New Accounting Principles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2016, the Company adopted four recent accounting principles: Accounting Standards Update 2015-03, “Interest – Imputation of Interest” (ASU 2015-03), ASU 2015-17, “Balance Sheet Classification of Deferred Taxes”, ASU 2016-09, “Improvements to Employee Share-based Payment Accounting,” and ASU 2015-16, “Simplifying the Accounting for Measurement-Period Adjustments.”</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ASU 2015-03 requires that premiums, discounts, and loan fees and costs associated with long term debt be reflected as a reduction of the outstanding debt balance. Previous guidance had treated such loan fees and costs as a deferred charge on the balance sheet. As a result of implementing ASU 2015-03, the Company reclassified $1.6 million of unamortized loan fees and costs included in deferred charges and other assets as of December 31, 2015 to long-term debt. Approximately $0.5 million was allocated to current maturities of long-term debt, and $1.1 million to long term debt. Total assets, as well as total liabilities and shareholders’ equity, were also reduced by the same $1.6 million. In addition, the Company reclassified $4.3 million of unamortized loan fees and costs included in deferred charges and other assets to long term debt in connection with the new Term loan A-1 and A-2 borrowing related to the acquisition of nTelos. Total assets, as well as total liabilities and shareholders’ equity, were also reduced by the same $4.3 million. There was no impact on the statements of income or cash flows.</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ASU 2015-17 simplifies accounting for deferred taxes by eliminating the requirement to present deferred tax assets and liabilities as current and non-current in a classified balance sheet. Due to the immaterial balance of current deferred tax assets ($0.9 million as of December 31, 2015), the Company has elected to apply this guidance prospectively, and thus prior periods have not been retrospectively adjusted.</w:t>
      </w:r>
    </w:p>
    <w:p>
      <w:pPr>
        <w:spacing w:after="0" w:line="20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ASU 2016-09 simplifies certain provisions related to the accounting for the tax effects of stock-based compensation transactions. In particular for the Company, it eliminates the requirement to determine for each award whether the difference between book compensation and tax compensation results in an excess tax benefit or a tax deficiency, which generally speaking, result in an entry to additional paid-in-capital. Under the new guidance, all tax effects for exercised or vested awards are recognized as discrete items in income tax expense. The new guidance also allows an employer to withhold shares to cover more than the minimum statutory withholding taxes (but not more than the maximum statutory withholding requirements) without causing an equity-classified award to become a liability classified award. The other provisions of the new guidance are either not applicable or have no significant impact on the Company’s accounting for stock-based compensation transactions. The Company has elected to early adopt the new guidance and apply it prospectively to tax effects on share-based compensation transactions.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ASU 2015-16 requires that an acquirer recognize adjustments to provisional amounts that are identified during the measurement period in the reporting period in which the adjustment amounts are determined.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60" w:type="dxa"/>
            <w:vAlign w:val="bottom"/>
            <w:gridSpan w:val="3"/>
          </w:tcPr>
          <w:p>
            <w:pPr>
              <w:spacing w:after="0"/>
              <w:rPr>
                <w:sz w:val="20"/>
                <w:szCs w:val="20"/>
                <w:color w:val="auto"/>
              </w:rPr>
            </w:pPr>
            <w:r>
              <w:rPr>
                <w:rFonts w:ascii="Arial" w:cs="Arial" w:eastAsia="Arial" w:hAnsi="Arial"/>
                <w:sz w:val="18"/>
                <w:szCs w:val="18"/>
                <w:color w:val="auto"/>
              </w:rPr>
              <w:t>14. Long-term Debt and Revolving Line of Credit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60" w:type="dxa"/>
            <w:vAlign w:val="bottom"/>
            <w:gridSpan w:val="3"/>
          </w:tcPr>
          <w:p>
            <w:pPr>
              <w:spacing w:after="0"/>
              <w:rPr>
                <w:sz w:val="20"/>
                <w:szCs w:val="20"/>
                <w:color w:val="auto"/>
              </w:rPr>
            </w:pPr>
            <w:r>
              <w:rPr>
                <w:rFonts w:ascii="Arial" w:cs="Arial" w:eastAsia="Arial" w:hAnsi="Arial"/>
                <w:sz w:val="18"/>
                <w:szCs w:val="18"/>
                <w:color w:val="auto"/>
              </w:rPr>
              <w:t>Total debt consists of the following:</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June 30,</w:t>
            </w:r>
          </w:p>
        </w:tc>
        <w:tc>
          <w:tcPr>
            <w:tcW w:w="2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Term loan A-1</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485,000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A-2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Capital lease outstanding</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835,413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Less: unamortized loan fees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19,840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net of unamortized loan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815,573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199,661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net of unamortized loan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 net of unamortized loan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795,426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disclosed, on December 18, 2015, the Company entered into a Credit Agreement (as amended, the “2016 credit agreement”) with various banks and other financial institutions party thereto and CoBank, ACB, as administrative agent for the lenders, providing for three facilities: (i) a five year revolving credit facility of up to $75 million; (ii) a five-year term loan facility of up to $485 million (Term Loan A-1”); and (iii) a seven-year term loan facility of up to $400 million (“Term Loan A-2”).</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closing of the nTelos acquisition, the Company borrowed (i) $485 million under Term Loan A-1 and (ii) $325 million under Term Loan A-2, which amounts were used to, among other things, fund the payment of the nTelos merger consideration, to refinance, in full, all indebtedness under the Company’s existing credit agreement, to repay existing long-term indebtedness of nTelos and to pay fees and expenses in connection with the foregoing. In connection with the consummation of the nTelos acquisition, nTelos and its subsidiaries became guarantors under the 2016 credit agreement and pledged their assets as security for the obligations under the 2016 credit agreement. The 2016 credit agreement also includes $75 million available under the Term Loan A-2 as a “delayed draw term loan,” and in June 2016, the Company drew $25 million under this portion of the agreement. Finally, the 2016 credit agreement also includes a $75 million revolver facility.</w:t>
      </w:r>
    </w:p>
    <w:p>
      <w:pPr>
        <w:spacing w:after="0" w:line="2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June 30, 2016, the Company’s indebtedness totaled $815.6 million, net of unamortized loan fees of $19.8 million, with an annualized overall weighted average interest rate of approximately 3.84%. The Term Loan A-1 bears interest at one-month LIBOR plus a margin of 2.75%, while the Term Loan A-2 bears interest at one-month LIBOR plus a margin of 3.00%. LIBOR resets monthly. These loans are more fully described below.</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A-1 requires quarterly principal repayments of $6.1 million beginning on September 30, 2016 through June 30, 2017, increasing to $12.1 million quarterly thereafter through June 30, 2021, with the remaining expected balance of approximately $242.5 million due September 30, 2021. The Term Loan A-2 requires quarterly principal repayments of $10.0 million beginning on September 30, 2018 through March 31, 2023, with the remaining expected balance of approximately $210 million due June 30, 2023.</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2016 credit agreement also required the Company to enter into one or more hedge agreements to manage its exposure to interest rate movements. The Company elected to hedge the minimum required under the 2016 credit agreement, and entered into a pay fixed, receive variable swap on 50% of the aggregate principal balance of the term loans outstanding for at least three years from the closing date. The Company will receive one month LIBOR and pay a fixed rate of 1.16%, in addition to the 2.75% initial spread on Term Loan A-1 and the 3.00% initial spread on Term Loan A-2.</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Facilities are secured by a pledge by the Company of its stock in its subsidiaries, a guarantee by the Company’s subsidiaries other than Shenandoah Telephone Company, and a security interest in substantially all of the assets of the Company and the guarantors.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38" w:lineRule="exact"/>
        <w:rPr>
          <w:sz w:val="20"/>
          <w:szCs w:val="20"/>
          <w:color w:val="auto"/>
        </w:rPr>
      </w:pPr>
    </w:p>
    <w:p>
      <w:pPr>
        <w:ind w:left="740" w:hanging="408"/>
        <w:spacing w:after="0" w:line="256"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ind w:left="740" w:right="20" w:hanging="408"/>
        <w:spacing w:after="0" w:line="265"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w:t>
      </w:r>
    </w:p>
    <w:p>
      <w:pPr>
        <w:ind w:left="740" w:right="440" w:hanging="408"/>
        <w:spacing w:after="0" w:line="25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217"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These ratios are generally less restrictive than the covenant ratios the Company had been required to comply with under its previously existing debt arrangements. As of June 30, 2016, the Company was in compliance with the covenants in the 2016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long-term debt principal are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jc w:val="right"/>
              <w:ind w:right="23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jc w:val="right"/>
              <w:ind w:right="233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jc w:val="right"/>
              <w:ind w:right="2330"/>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528,650</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835,413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15. Pension Plan and Other Postretirement Benefits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assumed, through its acquisition of nTelos, a qualified pension plan and other postretirement benefit plans. The following tables provide the benefit obligations, fair value of assets and a statement of the funded status as of the acquisition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Postretirement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w w:val="95"/>
              </w:rPr>
              <w:t>Defined Benefit Pension Plan</w:t>
            </w: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Benefit Plans</w:t>
            </w:r>
          </w:p>
        </w:tc>
        <w:tc>
          <w:tcPr>
            <w:tcW w:w="0" w:type="dxa"/>
            <w:vAlign w:val="bottom"/>
          </w:tcPr>
          <w:p>
            <w:pPr>
              <w:spacing w:after="0"/>
              <w:rPr>
                <w:sz w:val="1"/>
                <w:szCs w:val="1"/>
                <w:color w:val="auto"/>
              </w:rPr>
            </w:pPr>
          </w:p>
        </w:tc>
      </w:tr>
      <w:tr>
        <w:trPr>
          <w:trHeight w:val="176"/>
        </w:trPr>
        <w:tc>
          <w:tcPr>
            <w:tcW w:w="610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(In thousands)</w:t>
            </w:r>
          </w:p>
        </w:tc>
        <w:tc>
          <w:tcPr>
            <w:tcW w:w="5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810"/>
              <w:spacing w:after="0" w:line="176"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550"/>
              <w:spacing w:after="0" w:line="176" w:lineRule="exact"/>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 obligations, at acquisition</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Fair value of plan assets, at acquisition</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22,813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Total liability, at acquisition</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(14,630)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accumulated benefit obligation for the defined benefit pension plan at May 6, 2016 was $37.4 million. The accumulated benefit obligation represents the present value of pension benefits based on service and salary earned to date. The defined benefit plan was frozen for future benefit accruals as of December 31, 2012. Accordingly, the accumulated benefit obligation is equal to the projected benefit obligation.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components of net periodic benefit cost for the plans for the period from acquisition date to December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Defined Benefit</w:t>
            </w:r>
          </w:p>
        </w:tc>
        <w:tc>
          <w:tcPr>
            <w:tcW w:w="6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Other Postretirement</w:t>
            </w:r>
          </w:p>
        </w:tc>
      </w:tr>
      <w:tr>
        <w:trPr>
          <w:trHeight w:val="241"/>
        </w:trPr>
        <w:tc>
          <w:tcPr>
            <w:tcW w:w="5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Pension Plan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Benefit Plans</w:t>
            </w:r>
          </w:p>
        </w:tc>
      </w:tr>
      <w:tr>
        <w:trPr>
          <w:trHeight w:val="223"/>
        </w:trPr>
        <w:tc>
          <w:tcPr>
            <w:tcW w:w="5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net actuarial loss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Prior service costs assumed by the Company are amortized on a straight-line basis over the average remaining service period of active participants. Gains and losses in excess of 10% of the greater of the benefit obligation and the market-related value of assets are amortized over the average remaining service period of active participants. The net periodic benefit cost from the defined benefit plans was $0.0 million for the period from acquisition through June 30, 2016.</w:t>
      </w:r>
    </w:p>
    <w:p>
      <w:pPr>
        <w:spacing w:after="0" w:line="1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amount reclassified out of accumulated other comprehensive loss related to actuarial losses from the defined benefit plans was $0.0 million for the period from acquisition through June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measurements of the Company’s benefit obligations at May 6, 2016 for the plans are shown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Defined</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Other</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Benefit</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Postretirement</w:t>
            </w:r>
          </w:p>
        </w:tc>
        <w:tc>
          <w:tcPr>
            <w:tcW w:w="1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Pension Plan</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Benefit Plans</w:t>
            </w:r>
          </w:p>
        </w:tc>
        <w:tc>
          <w:tcPr>
            <w:tcW w:w="1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1140" w:type="dxa"/>
            <w:vAlign w:val="bottom"/>
          </w:tcPr>
          <w:p>
            <w:pPr>
              <w:spacing w:after="0"/>
              <w:rPr>
                <w:sz w:val="18"/>
                <w:szCs w:val="18"/>
                <w:color w:val="auto"/>
              </w:rPr>
            </w:pPr>
          </w:p>
        </w:tc>
      </w:tr>
      <w:tr>
        <w:trPr>
          <w:trHeight w:val="59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40" w:type="dxa"/>
            <w:vAlign w:val="bottom"/>
          </w:tcPr>
          <w:p>
            <w:pPr>
              <w:jc w:val="right"/>
              <w:ind w:right="1688"/>
              <w:spacing w:after="0"/>
              <w:rPr>
                <w:sz w:val="20"/>
                <w:szCs w:val="20"/>
                <w:color w:val="auto"/>
              </w:rPr>
            </w:pPr>
            <w:r>
              <w:rPr>
                <w:rFonts w:ascii="Arial" w:cs="Arial" w:eastAsia="Arial" w:hAnsi="Arial"/>
                <w:sz w:val="14"/>
                <w:szCs w:val="14"/>
                <w:color w:val="auto"/>
              </w:rPr>
              <w:t>22</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assumptions used in the measurements of the Company’s net cost for the consolidated statement of operations for the period from acquisition date through December 31, 2016 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Defined Benefit</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Postretirement</w:t>
            </w:r>
          </w:p>
        </w:tc>
      </w:tr>
      <w:tr>
        <w:trPr>
          <w:trHeight w:val="237"/>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Pension Plan</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Benefit Plans</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reviews the assumptions noted in the above table annually or more frequently to reflect anticipated future changes in the underlying economic factors used to determine these assumptions. The discount rates assumed reflect the rate at which the Company could invest in high quality corporate bonds in order to settle future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updated mortality tables published by the Society of Actuaries that predict increasing life expectancies in the United States.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measurement purposes, an 8.0% annual rate of increase in the per capita cost of covered health care benefits was assumed for 2016 for the obligation as of December 31, 2015. The rate was assumed to decrease one-half percent per year to a rate of 5.0% for 2022 and remain at that level thereafter.</w:t>
      </w:r>
    </w:p>
    <w:p>
      <w:pPr>
        <w:spacing w:after="0" w:line="15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Assumed health care cost trend rates may have a significant effect on the amounts reported for the health care plans. The effect of a 1% change on the medical trend rate per future year, while holding all other assumptions constant, to the service and interest cost components of net periodic postretirement health care benefit costs and accumulated postretirement benefit obligation would be a $0.1 million increase and a $0.6 million increase, respectively, for a 1% increase in medical trend rate and a $0.1 million decrease and a $0.5 million decrease, respectively, for a 1% decrease in medical trend rate.</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developing the expected long-term rate of return assumption for the assets of the Defined Benefit Pension Plan, the Company evaluated input from its third-party pension plan administrator, including its review of asset class return expectations and long-term inflation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average actual asset allocations by asset category and the fair value by asset category as of May 6,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Fair Value as of</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8"/>
                <w:szCs w:val="18"/>
                <w:color w:val="auto"/>
                <w:w w:val="94"/>
              </w:rPr>
              <w:t>Actual Allocation as of</w:t>
            </w:r>
          </w:p>
        </w:tc>
        <w:tc>
          <w:tcPr>
            <w:tcW w:w="22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May 6,</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7120" w:type="dxa"/>
            <w:vAlign w:val="bottom"/>
            <w:gridSpan w:val="4"/>
          </w:tcPr>
          <w:p>
            <w:pPr>
              <w:spacing w:after="0" w:line="190" w:lineRule="exact"/>
              <w:rPr>
                <w:sz w:val="20"/>
                <w:szCs w:val="20"/>
                <w:color w:val="auto"/>
              </w:rPr>
            </w:pPr>
            <w:r>
              <w:rPr>
                <w:rFonts w:ascii="Arial" w:cs="Arial" w:eastAsia="Arial" w:hAnsi="Arial"/>
                <w:sz w:val="18"/>
                <w:szCs w:val="18"/>
                <w:color w:val="auto"/>
              </w:rPr>
              <w:t xml:space="preserve">Asset Category </w:t>
            </w:r>
            <w:r>
              <w:rPr>
                <w:rFonts w:ascii="Arial" w:cs="Arial" w:eastAsia="Arial" w:hAnsi="Arial"/>
                <w:sz w:val="18"/>
                <w:szCs w:val="18"/>
                <w:i w:val="1"/>
                <w:iCs w:val="1"/>
                <w:color w:val="auto"/>
              </w:rPr>
              <w:t>(dollars in thousands)</w:t>
            </w:r>
          </w:p>
        </w:tc>
        <w:tc>
          <w:tcPr>
            <w:tcW w:w="1960" w:type="dxa"/>
            <w:vAlign w:val="bottom"/>
            <w:gridSpan w:val="3"/>
          </w:tcPr>
          <w:p>
            <w:pPr>
              <w:jc w:val="right"/>
              <w:ind w:right="550"/>
              <w:spacing w:after="0" w:line="190" w:lineRule="exact"/>
              <w:rPr>
                <w:sz w:val="20"/>
                <w:szCs w:val="20"/>
                <w:color w:val="auto"/>
              </w:rPr>
            </w:pPr>
            <w:r>
              <w:rPr>
                <w:rFonts w:ascii="Arial" w:cs="Arial" w:eastAsia="Arial" w:hAnsi="Arial"/>
                <w:sz w:val="18"/>
                <w:szCs w:val="18"/>
                <w:color w:val="auto"/>
              </w:rPr>
              <w:t>May 6, 2016</w:t>
            </w:r>
          </w:p>
        </w:tc>
        <w:tc>
          <w:tcPr>
            <w:tcW w:w="220" w:type="dxa"/>
            <w:vAlign w:val="bottom"/>
          </w:tcPr>
          <w:p>
            <w:pPr>
              <w:spacing w:after="0"/>
              <w:rPr>
                <w:sz w:val="16"/>
                <w:szCs w:val="16"/>
                <w:color w:val="auto"/>
              </w:rPr>
            </w:pPr>
          </w:p>
        </w:tc>
        <w:tc>
          <w:tcPr>
            <w:tcW w:w="86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8"/>
        </w:trPr>
        <w:tc>
          <w:tcPr>
            <w:tcW w:w="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Large Cap Value</w:t>
            </w:r>
          </w:p>
        </w:tc>
        <w:tc>
          <w:tcPr>
            <w:tcW w:w="1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7,244</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Mid Cap Blend</w:t>
            </w:r>
          </w:p>
        </w:tc>
        <w:tc>
          <w:tcPr>
            <w:tcW w:w="1960" w:type="dxa"/>
            <w:vAlign w:val="bottom"/>
            <w:gridSpan w:val="3"/>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2,026</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 Cap Blend</w:t>
            </w:r>
          </w:p>
        </w:tc>
        <w:tc>
          <w:tcPr>
            <w:tcW w:w="1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Foreign Stock – Large Cap</w:t>
            </w:r>
          </w:p>
        </w:tc>
        <w:tc>
          <w:tcPr>
            <w:tcW w:w="1960" w:type="dxa"/>
            <w:vAlign w:val="bottom"/>
            <w:gridSpan w:val="3"/>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6,867</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w:t>
            </w:r>
          </w:p>
        </w:tc>
        <w:tc>
          <w:tcPr>
            <w:tcW w:w="1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4,611</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3"/>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914</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6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120" w:type="dxa"/>
            <w:vAlign w:val="bottom"/>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7120" w:type="dxa"/>
            <w:vAlign w:val="bottom"/>
            <w:gridSpan w:val="4"/>
          </w:tcPr>
          <w:p>
            <w:pPr>
              <w:spacing w:after="0"/>
              <w:rPr>
                <w:sz w:val="20"/>
                <w:szCs w:val="20"/>
                <w:color w:val="auto"/>
              </w:rPr>
            </w:pPr>
            <w:r>
              <w:rPr>
                <w:rFonts w:ascii="Arial" w:cs="Arial" w:eastAsia="Arial" w:hAnsi="Arial"/>
                <w:sz w:val="18"/>
                <w:szCs w:val="18"/>
                <w:color w:val="auto"/>
                <w:w w:val="97"/>
              </w:rPr>
              <w:t>The actual and target allocation for plan assets is broadly defined and measured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4"/>
          </w:tcPr>
          <w:p>
            <w:pPr>
              <w:jc w:val="right"/>
              <w:ind w:right="760"/>
              <w:spacing w:after="0"/>
              <w:rPr>
                <w:sz w:val="20"/>
                <w:szCs w:val="20"/>
                <w:color w:val="auto"/>
              </w:rPr>
            </w:pPr>
            <w:r>
              <w:rPr>
                <w:rFonts w:ascii="Arial" w:cs="Arial" w:eastAsia="Arial" w:hAnsi="Arial"/>
                <w:sz w:val="18"/>
                <w:szCs w:val="18"/>
                <w:color w:val="auto"/>
                <w:w w:val="83"/>
              </w:rPr>
              <w:t>Actual</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Target</w:t>
            </w:r>
          </w:p>
        </w:tc>
      </w:tr>
      <w:tr>
        <w:trPr>
          <w:trHeight w:val="190"/>
        </w:trPr>
        <w:tc>
          <w:tcPr>
            <w:tcW w:w="7120" w:type="dxa"/>
            <w:vAlign w:val="bottom"/>
            <w:gridSpan w:val="4"/>
          </w:tcPr>
          <w:p>
            <w:pPr>
              <w:spacing w:after="0" w:line="190" w:lineRule="exact"/>
              <w:rPr>
                <w:sz w:val="20"/>
                <w:szCs w:val="20"/>
                <w:color w:val="auto"/>
              </w:rPr>
            </w:pPr>
            <w:r>
              <w:rPr>
                <w:rFonts w:ascii="Arial" w:cs="Arial" w:eastAsia="Arial" w:hAnsi="Arial"/>
                <w:sz w:val="18"/>
                <w:szCs w:val="18"/>
                <w:color w:val="auto"/>
              </w:rPr>
              <w:t>Asset Category</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5"/>
          </w:tcPr>
          <w:p>
            <w:pPr>
              <w:jc w:val="right"/>
              <w:ind w:right="620"/>
              <w:spacing w:after="0" w:line="190" w:lineRule="exact"/>
              <w:rPr>
                <w:sz w:val="20"/>
                <w:szCs w:val="20"/>
                <w:color w:val="auto"/>
              </w:rPr>
            </w:pPr>
            <w:r>
              <w:rPr>
                <w:rFonts w:ascii="Arial" w:cs="Arial" w:eastAsia="Arial" w:hAnsi="Arial"/>
                <w:sz w:val="18"/>
                <w:szCs w:val="18"/>
                <w:color w:val="auto"/>
              </w:rPr>
              <w:t>Allocation</w:t>
            </w:r>
          </w:p>
        </w:tc>
        <w:tc>
          <w:tcPr>
            <w:tcW w:w="1140" w:type="dxa"/>
            <w:vAlign w:val="bottom"/>
            <w:gridSpan w:val="2"/>
          </w:tcPr>
          <w:p>
            <w:pPr>
              <w:jc w:val="right"/>
              <w:ind w:right="340"/>
              <w:spacing w:after="0" w:line="190" w:lineRule="exact"/>
              <w:rPr>
                <w:sz w:val="20"/>
                <w:szCs w:val="20"/>
                <w:color w:val="auto"/>
              </w:rPr>
            </w:pPr>
            <w:r>
              <w:rPr>
                <w:rFonts w:ascii="Arial" w:cs="Arial" w:eastAsia="Arial" w:hAnsi="Arial"/>
                <w:sz w:val="18"/>
                <w:szCs w:val="18"/>
                <w:color w:val="auto"/>
                <w:w w:val="99"/>
              </w:rPr>
              <w:t>Allocation</w:t>
            </w:r>
          </w:p>
        </w:tc>
      </w:tr>
      <w:tr>
        <w:trPr>
          <w:trHeight w:val="28"/>
        </w:trPr>
        <w:tc>
          <w:tcPr>
            <w:tcW w:w="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65-75%</w:t>
            </w: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Bond securities and cash equivalents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25-35%</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589"/>
        </w:trPr>
        <w:tc>
          <w:tcPr>
            <w:tcW w:w="20" w:type="dxa"/>
            <w:vAlign w:val="bottom"/>
          </w:tcPr>
          <w:p>
            <w:pPr>
              <w:spacing w:after="0"/>
              <w:rPr>
                <w:sz w:val="24"/>
                <w:szCs w:val="24"/>
                <w:color w:val="auto"/>
              </w:rPr>
            </w:pPr>
          </w:p>
        </w:tc>
        <w:tc>
          <w:tcPr>
            <w:tcW w:w="7100" w:type="dxa"/>
            <w:vAlign w:val="bottom"/>
            <w:tcBorders>
              <w:top w:val="single" w:sz="8" w:color="CCEEFF"/>
            </w:tcBorders>
            <w:gridSpan w:val="3"/>
          </w:tcPr>
          <w:p>
            <w:pPr>
              <w:jc w:val="right"/>
              <w:ind w:right="1340"/>
              <w:spacing w:after="0"/>
              <w:rPr>
                <w:sz w:val="20"/>
                <w:szCs w:val="20"/>
                <w:color w:val="auto"/>
              </w:rPr>
            </w:pPr>
            <w:r>
              <w:rPr>
                <w:rFonts w:ascii="Arial" w:cs="Arial" w:eastAsia="Arial" w:hAnsi="Arial"/>
                <w:sz w:val="14"/>
                <w:szCs w:val="14"/>
                <w:color w:val="auto"/>
              </w:rPr>
              <w:t>23</w:t>
            </w:r>
          </w:p>
        </w:tc>
        <w:tc>
          <w:tcPr>
            <w:tcW w:w="16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It is the Company’s policy to invest pension plan assets in a diversified portfolio consisting of an array of asset classes. The investment risk of the assets is limited by appropriate diversification both within and between asset classes. The assets are primarily invested in investment funds that invest in a broad mix of publicly traded equities, bonds and cash equivalents (and fair value is based on quoted market prices (“Level 1” input)). The allocation between equity and bonds is reset quarterly to the target allocations. Updates to the allocation are considered in the normal course and changes may be made when appropriate. The bond holdings consist of two bond funds split relatively evenly between these funds at May 6, 2016. The maximum holdings of any one asset within these funds is under 4% of this fund and thus is well under 1% of the total portfolio. At May 6, 2016, the Company believes that there are no material concentrations of risk within the portfolio of plan assets.</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assumed long-term return noted above is the target long-term return. Overall return, risk adjusted return, and management fees are assessed against a peer group and benchmark indices. There are minimum performance standards that must be attained within the investment portfolio. Reporting on asset performance is provided quarterly and review meetings are held semi-annually. In addition to normal rebalancing to maintain an adequate cash reserve, projected cash flow needs of the plan are reviewed at least annually to ensure liquidity is properly managed.</w:t>
      </w:r>
    </w:p>
    <w:p>
      <w:pPr>
        <w:spacing w:after="0" w:line="19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does not expect to contribute to the pension plan in 2016. The Company expects the net periodic benefit cost for the defined benefit pension plan in 2016 to be $0.1 million and expects the periodic benefit cost for the other postretirement benefit plans in 2016 to be $0.1 million.</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estimated future pension benefit payments and other postretirement benefit plan payments which reflect expected future service, as appropriate, are expected to be paid in the years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Defined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Benefit</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Pension</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Postretirement</w:t>
            </w:r>
          </w:p>
        </w:tc>
      </w:tr>
      <w:tr>
        <w:trPr>
          <w:trHeight w:val="190"/>
        </w:trPr>
        <w:tc>
          <w:tcPr>
            <w:tcW w:w="384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(In thousands)</w:t>
            </w: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20"/>
              <w:spacing w:after="0" w:line="190" w:lineRule="exact"/>
              <w:rPr>
                <w:sz w:val="20"/>
                <w:szCs w:val="20"/>
                <w:color w:val="auto"/>
              </w:rPr>
            </w:pPr>
            <w:r>
              <w:rPr>
                <w:rFonts w:ascii="Arial" w:cs="Arial" w:eastAsia="Arial" w:hAnsi="Arial"/>
                <w:sz w:val="18"/>
                <w:szCs w:val="18"/>
                <w:color w:val="auto"/>
                <w:w w:val="88"/>
              </w:rPr>
              <w:t>Plan</w:t>
            </w:r>
          </w:p>
        </w:tc>
        <w:tc>
          <w:tcPr>
            <w:tcW w:w="124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w w:val="90"/>
              </w:rPr>
              <w:t>Benefit Plans</w:t>
            </w:r>
          </w:p>
        </w:tc>
      </w:tr>
      <w:tr>
        <w:trPr>
          <w:trHeight w:val="28"/>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7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2017</w:t>
            </w:r>
          </w:p>
        </w:tc>
        <w:tc>
          <w:tcPr>
            <w:tcW w:w="27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Aggregate of next five years</w:t>
            </w:r>
          </w:p>
        </w:tc>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6,219</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r>
      <w:tr>
        <w:trPr>
          <w:trHeight w:val="58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jc w:val="right"/>
              <w:ind w:right="296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2015. The following management’s discussion and analysis should be read in conjunction with the Company’s Annual Report on Form 10-K for its fiscal year ended December 31, 2015,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215" w:lineRule="exact"/>
        <w:rPr>
          <w:sz w:val="20"/>
          <w:szCs w:val="20"/>
          <w:color w:val="auto"/>
        </w:rPr>
      </w:pPr>
    </w:p>
    <w:p>
      <w:pPr>
        <w:ind w:left="720" w:hanging="347"/>
        <w:spacing w:after="0" w:line="255"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Wireless segment has historically provided digital wireless service as a Sprint PCS Affiliate to a portion of a four-state area covering the region from Harrisburg, York and Altoona, Pennsylvania, to Harrisonburg, Virginia. Following the acquisition of nTelos, the Company’s wireless service area expanded to include south-central and western Virginia, West Virginia, and small portions of Kentucky and Ohio. In this area, we are the exclusive provider of wireless mobility communications network products and services on the 800 MHz, 1900 MHz and 2.5 GHz bands under the Sprint brand. This segment also owns cell site towers built on leased land, and leases space on these towers to both affiliates and non-affiliated service providers.</w:t>
      </w:r>
    </w:p>
    <w:p>
      <w:pPr>
        <w:spacing w:after="0" w:line="220" w:lineRule="exact"/>
        <w:rPr>
          <w:rFonts w:ascii="Arial" w:cs="Arial" w:eastAsia="Arial" w:hAnsi="Arial"/>
          <w:sz w:val="18"/>
          <w:szCs w:val="18"/>
          <w:color w:val="auto"/>
        </w:rPr>
      </w:pPr>
    </w:p>
    <w:p>
      <w:pPr>
        <w:ind w:left="720" w:right="120" w:hanging="347"/>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720" w:right="40" w:hanging="347"/>
        <w:spacing w:after="0" w:line="25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21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 fourth segment, Other, primarily includes Shenandoah Telecommunications Company, the parent holding company. This segment includes certain acquisition and integration costs primarily consisting of severance accruals for short-term nTelos employees to be separated as integration activities wind down and transaction related expenses such as investment advisor, legal and other professional fees.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i w:val="1"/>
          <w:iCs w:val="1"/>
          <w:color w:val="auto"/>
        </w:rPr>
        <w:t xml:space="preserve">Acquisition of nTelos and Exchange with Sprint: </w:t>
      </w:r>
      <w:r>
        <w:rPr>
          <w:rFonts w:ascii="Arial" w:cs="Arial" w:eastAsia="Arial" w:hAnsi="Arial"/>
          <w:sz w:val="18"/>
          <w:szCs w:val="18"/>
          <w:color w:val="auto"/>
        </w:rPr>
        <w:t>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$663.7 million in cash, net of cash acquired. The purchase price was financed by a credit facility arranged by CoBank, ACB. We have included the operations of nTelos for financial reporting purposes for periods subsequent to the acquisition.</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Immediately after acquiring nTelos, we exchanged spectrum licenses valued at $198.2 million and customer based contract rights, valued at $198.2 million, acquired from nTelos with Sprint, and received an expansion of our affiliate service territory to include most of the service area served by nTelos, valued at $258.1 million, as well as additional customer based contract rights, valued at $138.3 million, relating to nTelos’ and Sprint’s legacy customers in the our affiliate service territory. The value of the affiliate agreement expansion is based on changes to the amended affiliate agreement that include an increase in the price to be paid by Sprint from 80% to 90% of the entire business value of PCS if the affiliate agreement is not renewed and an extension of the affiliate agreement with Sprint by five years to 2029. Also included in the value is the expanded territory in the nTelos service area and the accompanying right to serve all future Sprint customers in the expanded territory, our commitment to upgrade certain coverage and capacity in the newly acquired service area, the waiver of a portion of the management fee charged by Sprint, as well as other items defined in the amended affiliate agreement.</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acquisition, we committed to Sprint to migrate the former nTelos customers to devices that can interact with the Sprint billing and network systems and to maintain the nTelos billing, customer care and switching systems until the migration is complete, and expect to incur a total of between $106 million and $126 million of integration and acquisition expenses associated with this transaction, excluding approximately $24 million of debt issuance costs. These costs include the nTelos back office staff and support functions until the nTelos legacy customers are migrated to the Sprint billing platform; cost of handsets to be provided to nTelos legacy customers as they migrate to the Sprint billing platform; severance costs for back office and other former nTelos employees who will not be retained permanently; and transaction related fees. We have incurred $22.4 million and $22.7 million of these costs in the three months and six months ended June 30, 2016, respectively, including $0.3 million reflected in cost of goods and services and $2.0 million reflected in selling, general and administrative costs in both the three and six month periods ended June 30,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nTelos acquisition and exchange transaction with Sprint, we have added the following critical accounting policies:</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Under our amended affiliate agreement, Sprint agreed to waive the management fee, which is historically presented as a contra-revenue by us, for a period of approximately six years. The impact of Sprint’s waiver of the management fee over the approximate six-year period is reflected as an increase in revenue, offset by the non-cash adjustment to recognize this impact on a straight-line basis over the contract term of approximately 14 years.</w:t>
      </w:r>
    </w:p>
    <w:p>
      <w:pPr>
        <w:spacing w:after="0" w:line="17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not amortized but is tested for impairment on at least an annual basis. Impairment testing is required more often than annually if an</w:t>
      </w:r>
      <w:r>
        <w:rPr>
          <w:rFonts w:ascii="Arial" w:cs="Arial" w:eastAsia="Arial" w:hAnsi="Arial"/>
          <w:sz w:val="16"/>
          <w:szCs w:val="16"/>
          <w:i w:val="1"/>
          <w:iCs w:val="1"/>
          <w:color w:val="auto"/>
        </w:rPr>
        <w:t xml:space="preserve"> </w:t>
      </w:r>
      <w:r>
        <w:rPr>
          <w:rFonts w:ascii="Arial" w:cs="Arial" w:eastAsia="Arial" w:hAnsi="Arial"/>
          <w:sz w:val="16"/>
          <w:szCs w:val="16"/>
          <w:color w:val="auto"/>
        </w:rPr>
        <w:t>event or circumstance indicates that impairment is more likely than not to have occurred. In conducting our annual impairment testing, we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We conduct our annual impairment testing as of October 1.</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Pension Benefits and Retirement Benefits Other Than Pensions: </w:t>
      </w:r>
      <w:r>
        <w:rPr>
          <w:rFonts w:ascii="Arial" w:cs="Arial" w:eastAsia="Arial" w:hAnsi="Arial"/>
          <w:sz w:val="17"/>
          <w:szCs w:val="17"/>
          <w:color w:val="auto"/>
        </w:rPr>
        <w:t>Through our acquisition of nTelos, we assumed nTelos’ non-contributory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We use updated mortality tables published by the Society of Actuaries that predict increasing life expectancies in the United States.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Our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We also assumed two qualified nonpension postretirement benefit plans that provide certain health care and life benefits for nTelos retired employees that meet eligibility requirements. The health care plan is contributory, with participants’ contributions adjusted annually. The life insurance plan also is contributory. These obligations, along with all of the pension plans and other postretirement benefit plans, are obligations assumed by us. Eligibility for the life insurance plan is restricted to active pension participants age 50-64 as of January 5, 1994. Neither plan is eligible to employees hired after April 1993. The accounting for the plans anticipates that we will maintain a consistent level of cost sharing for the benefits with the retirees. Our share of the projected costs of benefits that will be paid after retirement is generally being accrued by charges to expense over the eligible employees’ service periods to the dates they are fully eligible for benefits.</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record annual amounts relating to the Pension Plan and postretirement benefit plans based on calculations that incorporate various actuarial and other assumptions, including discount rates, mortality, assumed rates of return, turnover rates and healthcare cost trend rates. We reviews our assumptions on an annual basis and makes modifications to the assumptions based on current rates and trend when it is appropriate to do so. The effect of modifications to those assumptions is recorded in accumulated other comprenhensive income (loss) and amortized to net periodic cost over future periods using the corridor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with the Three Months Ended June 30, 2015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second quarter of 2016 and 2015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right"/>
              <w:ind w:right="370"/>
              <w:spacing w:after="0"/>
              <w:rPr>
                <w:sz w:val="20"/>
                <w:szCs w:val="20"/>
                <w:color w:val="auto"/>
              </w:rPr>
            </w:pPr>
            <w:r>
              <w:rPr>
                <w:rFonts w:ascii="Arial" w:cs="Arial" w:eastAsia="Arial" w:hAnsi="Arial"/>
                <w:sz w:val="18"/>
                <w:szCs w:val="18"/>
                <w:color w:val="auto"/>
                <w:w w:val="97"/>
              </w:rPr>
              <w:t>Three Months Ended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Change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2015</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130,309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85,701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44,608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136,459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66,951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69,508</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18,750</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(24,900)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(3,964)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3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(373)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17,350</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(29,237)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(4,892)</w:t>
            </w:r>
          </w:p>
        </w:tc>
        <w:tc>
          <w:tcPr>
            <w:tcW w:w="3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6,876</w:t>
            </w:r>
          </w:p>
        </w:tc>
        <w:tc>
          <w:tcPr>
            <w:tcW w:w="3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(11,768)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10,474</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(17,469)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For the three months ended June 30, 2016, operating revenues increased $44.6 million, or 52.1%. Wireless segment revenues increased $41.9 million compared to the second quarter of 2015; nearly all of this increase was a result of the acquisition of nTelos on May 6, 2016. Cable segment revenues grew $2.2 million primarily as a result of 6.7% growth in average subscriber counts and an increase in revenue per subscriber. Wireline segment revenues increased $0.8 million, net of eliminations of intersegment activities, primarily due to increases in fiber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operating expenses were $136.5 million in the second quarter of 2016 compared to $67.0 million in the prior year period. Operating expenses in the second quarter of 2016 included $20.1 million of overall integration and acquisition costs associated with the nTelos acquisition, including $5.3 million on the Wireless segment and $14.8 million in the Other segment. Selling, general and administrative expenses and cost of goods and services in the Wireless segment included an additional $2.3 million of nTelos-related customer care and other back office costs related to supporting the nTelos legacy customers until the migration of these customers is completed. Wireless segment operating expenses increased $46.0 million (excluding the $7.6 million of customer care, integration and acquisition expenses described above), primarily due to on-going costs associated with the acquired nTelos operations including $12.8 million of incremental depreciation and amortization expenses. All other operating expenses increased $1.5 million, net of eliminations of intersegment activities.</w:t>
      </w:r>
    </w:p>
    <w:p>
      <w:pPr>
        <w:spacing w:after="0" w:line="21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Acquisition and integration costs on the Other segment primarily consisted of severance accruals for short-term nTelos personnel to be separated as integration activities wind down and transaction related expenses such as investment advisor, legal and other professional fees. On the Wireless segment, such costs included handsets provided to nTelos subscribers who needed a new phone to transition to the Sprint billing platform and personnel costs associated with short-term nTelos employees required to migrate the former nTelos customers to the Sprint back-office.</w:t>
      </w:r>
    </w:p>
    <w:p>
      <w:pPr>
        <w:sectPr>
          <w:pgSz w:w="11900" w:h="16838" w:orient="portrait"/>
          <w:cols w:equalWidth="0" w:num="1">
            <w:col w:w="11400"/>
          </w:cols>
          <w:pgMar w:left="240" w:top="121" w:right="25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tax rate increased from 39.6% for the three months ended June 30, 2015 to 41.2% for the three months ended June 30, 2016. This increase primarily resulted from discrete tax benefits resulting from the change in accounting for stock option exercises and share award distributions in the second quarter of 2016 in accordance with ASU 2016-09 applied against our net loss for the quarter. In prior year periods, such tax benefits were recorded directly to equity.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months ended June 30, 2016, net income decreased $17.5 million, or 166.8%, primarily reflecting acquisition and integration costs incurred, increased depreciation and amortization, straight-lining of certain Sprint credits, and higher interest on the increased balance of outstanding debt as a result of the nTelos acquisition, net of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with the Six Months Ended June 30, 2015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six months of 2016 and 2015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right"/>
              <w:ind w:right="470"/>
              <w:spacing w:after="0"/>
              <w:rPr>
                <w:sz w:val="20"/>
                <w:szCs w:val="20"/>
                <w:color w:val="auto"/>
              </w:rPr>
            </w:pPr>
            <w:r>
              <w:rPr>
                <w:rFonts w:ascii="Arial" w:cs="Arial" w:eastAsia="Arial" w:hAnsi="Arial"/>
                <w:sz w:val="18"/>
                <w:szCs w:val="18"/>
                <w:color w:val="auto"/>
              </w:rPr>
              <w:t>Six Months Ended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Change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2015</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222,880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169,989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52,891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207,717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132,713</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75,004</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37,276</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(22,113)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(3,669)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3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3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(351)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8,362</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34,495</w:t>
            </w: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(26,133)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3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13,735</w:t>
            </w:r>
          </w:p>
        </w:tc>
        <w:tc>
          <w:tcPr>
            <w:tcW w:w="3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(12,258)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6,885</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20,760</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(13,875)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six months ended June 30, 2016, operating revenues increased $52.9 million, or 31.1%. Wireless segment revenues increased $45.6 million compared to the first six months of 2015. The new revenues associated with the nTelos customers and the Sprint customers in the nTelos footprint, net of amortization of the expanded Sprint affiliate agreement asset and the straight line adjustment to certain Sprint Fee credits, accounted for most of this increase. Cable segment revenues grew $5.4 million primarily as a result of 6.4% growth in average subscriber counts and an increase in revenue per subscriber. Wireline segment revenues increased $1.9 million, net of eliminations of intersegment activities, primarily due to increases in fiber sales.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Total operating expenses increased $75.0 million in the six months ended June 30, 2016 compared to the prior year period. Operating expenses in the six months ended June 30, 2016 included $20.4 million of overall integration and acquisition costs associated with the nTelos acquisition, including $5.3 million on the Wireless segment and $15.1 million in the Other segment. Selling, general and administrative expenses and cost of goods and services in the Wireless segment included an additional $2.3 million of nTelos-related customer care and other back office costs related to supporting the nTelos legacy customers until the migration of these customers is completed. Wireless segment operating expenses increased $49.5 million (excluding the $7.6 million of customer care, integration and acquisition expenses described above), primarily due to on-going costs associated with the acquired nTelos operations and $12.8 million of incremental depreciation associated with the related acquired assets. All other operating expenses increased $2.8 million, net of eliminations of intersegment activities.</w:t>
      </w:r>
    </w:p>
    <w:p>
      <w:pPr>
        <w:spacing w:after="0" w:line="20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Acquisition and integration costs on the Other segment primarily consisted of severance accruals for short-term nTelos personnel to be separated as integration activities wind down, and transaction related expenses (such as investment advisor, legal and other professional fees). On the Wireless segment, such costs included handsets provided to nTelos subscribers who needed a new phone to transition to the Sprint billing platform and personnel costs associated with short-term nTelos employees required to migrate the former nTelos customers to the Sprint back-office.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effective tax rate decreased from 39.8% for the six months ended June 30, 2015 to 17.7% for the six months ended June 30, 2016. This decrease primarily resulted from discrete tax benefits resulting from the change in accounting for stock option exercises and share award distributions in the first six months of 2016 in accordance with ASU 2016-09. In prior year periods, such tax benefits were recorded directly to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six months ended June 30, 2016, net income decreased $13.9 million, or 66.8%, primarily reflecting acquisition and integration costs incurred, increased depreciation and amortization, straight-lining of certain Sprint credits, and higher interest on the expanded outstanding debt as a result of the nTelos acquisition, net of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Wireless segment historically provided digital wireless service to a portion of a four-state area covering the region from Harrisburg, York and Altoona, Pennsylvania, to Harrisonburg, Virginia, through Shenandoah Personal Communications, LLC (“PCS”), a Sprint PCS Affiliate. Following the recent acquisition of nTelos, our wireless service territory expanded to include south-central and western Virginia, West Virginia, and small portions of Kentucky and Ohio. Through Shenandoah Mobile, LLC (“Mobile”), this segment also leases land on which it builds Company-owned cell towers, which it leases to affiliates and non-affiliated wireless service providers, throughout the same four-state area described above.</w:t>
      </w:r>
    </w:p>
    <w:p>
      <w:pPr>
        <w:spacing w:after="0" w:line="20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Through December 31, 2015, these fees totaled 22% of postpaid net billed revenue (gross customer billings net of credits and adjustments to customer accounts, and write-offs of uncollectible accounts), as defined by the Affiliate Agreement with Sprint. Effective January 1, 2016, the fees charged by Sprint declined to 16.6%, and certain revenue and expense items previously included in these fees became separately settled.</w:t>
      </w:r>
    </w:p>
    <w:p>
      <w:pPr>
        <w:spacing w:after="0" w:line="18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also offer prepaid wireless products and services in our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June 30,</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180" w:type="dxa"/>
            <w:vAlign w:val="bottom"/>
            <w:gridSpan w:val="2"/>
          </w:tcPr>
          <w:p>
            <w:pPr>
              <w:jc w:val="right"/>
              <w:ind w:right="31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717,563</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312,512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Retail PCS Subscribers – Prepaid</w:t>
            </w:r>
          </w:p>
        </w:tc>
        <w:tc>
          <w:tcPr>
            <w:tcW w:w="3420" w:type="dxa"/>
            <w:vAlign w:val="bottom"/>
            <w:gridSpan w:val="3"/>
          </w:tcPr>
          <w:p>
            <w:pPr>
              <w:jc w:val="right"/>
              <w:ind w:right="240"/>
              <w:spacing w:after="0"/>
              <w:rPr>
                <w:sz w:val="20"/>
                <w:szCs w:val="20"/>
                <w:color w:val="auto"/>
              </w:rPr>
            </w:pPr>
            <w:r>
              <w:rPr>
                <w:rFonts w:ascii="Arial" w:cs="Arial" w:eastAsia="Arial" w:hAnsi="Arial"/>
                <w:sz w:val="18"/>
                <w:szCs w:val="18"/>
                <w:color w:val="auto"/>
              </w:rPr>
              <w:t>289,311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142,840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145,431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145,162</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3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5,536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PCS Covered POPS (000) (1)</w:t>
            </w:r>
          </w:p>
        </w:tc>
        <w:tc>
          <w:tcPr>
            <w:tcW w:w="3420" w:type="dxa"/>
            <w:vAlign w:val="bottom"/>
            <w:gridSpan w:val="3"/>
          </w:tcPr>
          <w:p>
            <w:pPr>
              <w:jc w:val="right"/>
              <w:ind w:right="240"/>
              <w:spacing w:after="0"/>
              <w:rPr>
                <w:sz w:val="20"/>
                <w:szCs w:val="20"/>
                <w:color w:val="auto"/>
              </w:rPr>
            </w:pPr>
            <w:r>
              <w:rPr>
                <w:rFonts w:ascii="Arial" w:cs="Arial" w:eastAsia="Arial" w:hAnsi="Arial"/>
                <w:sz w:val="18"/>
                <w:szCs w:val="18"/>
                <w:color w:val="auto"/>
              </w:rPr>
              <w:t>4,528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3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1,425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Towers Owned</w:t>
            </w:r>
          </w:p>
        </w:tc>
        <w:tc>
          <w:tcPr>
            <w:tcW w:w="3420" w:type="dxa"/>
            <w:vAlign w:val="bottom"/>
            <w:gridSpan w:val="3"/>
          </w:tcPr>
          <w:p>
            <w:pPr>
              <w:jc w:val="right"/>
              <w:ind w:right="240"/>
              <w:spacing w:after="0"/>
              <w:rPr>
                <w:sz w:val="20"/>
                <w:szCs w:val="20"/>
                <w:color w:val="auto"/>
              </w:rPr>
            </w:pPr>
            <w:r>
              <w:rPr>
                <w:rFonts w:ascii="Arial" w:cs="Arial" w:eastAsia="Arial" w:hAnsi="Arial"/>
                <w:sz w:val="18"/>
                <w:szCs w:val="18"/>
                <w:color w:val="auto"/>
              </w:rPr>
              <w:t>177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Non-affiliate Cell Site Leases</w:t>
            </w:r>
          </w:p>
        </w:tc>
        <w:tc>
          <w:tcPr>
            <w:tcW w:w="3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59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20" w:type="dxa"/>
            <w:vAlign w:val="bottom"/>
          </w:tcPr>
          <w:p>
            <w:pPr>
              <w:jc w:val="right"/>
              <w:ind w:right="212"/>
              <w:spacing w:after="0"/>
              <w:rPr>
                <w:sz w:val="20"/>
                <w:szCs w:val="20"/>
                <w:color w:val="auto"/>
              </w:rPr>
            </w:pPr>
            <w:r>
              <w:rPr>
                <w:rFonts w:ascii="Arial" w:cs="Arial" w:eastAsia="Arial" w:hAnsi="Arial"/>
                <w:sz w:val="14"/>
                <w:szCs w:val="14"/>
                <w:color w:val="auto"/>
              </w:rPr>
              <w:t>29</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60" w:type="dxa"/>
            <w:vAlign w:val="bottom"/>
            <w:gridSpan w:val="6"/>
          </w:tcPr>
          <w:p>
            <w:pPr>
              <w:spacing w:after="0"/>
              <w:rPr>
                <w:sz w:val="20"/>
                <w:szCs w:val="20"/>
                <w:color w:val="auto"/>
              </w:rPr>
            </w:pPr>
            <w:r>
              <w:rPr>
                <w:rFonts w:ascii="Arial" w:cs="Arial" w:eastAsia="Arial" w:hAnsi="Arial"/>
                <w:sz w:val="18"/>
                <w:szCs w:val="18"/>
                <w:color w:val="auto"/>
              </w:rPr>
              <w:t>The June 30, 2016 numbers shown above include the following amounts acquired in the nTelos acquisition:</w:t>
            </w: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PCS Subscribers – Postpaid</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404,444</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Acquired PCS Subscribers – Prepaid</w:t>
            </w:r>
          </w:p>
        </w:tc>
        <w:tc>
          <w:tcPr>
            <w:tcW w:w="1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154,944</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PCS Market POPS (000) (1)</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Acquired PCS Covered POPS (000) (1)</w:t>
            </w:r>
          </w:p>
        </w:tc>
        <w:tc>
          <w:tcPr>
            <w:tcW w:w="1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2,298</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CDMA Base Stations (sites) (2)</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Towers</w:t>
            </w:r>
          </w:p>
        </w:tc>
        <w:tc>
          <w:tcPr>
            <w:tcW w:w="1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Non-affiliate Cell Site Leases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960" w:type="dxa"/>
            <w:vAlign w:val="bottom"/>
            <w:gridSpan w:val="3"/>
          </w:tcPr>
          <w:p>
            <w:pPr>
              <w:jc w:val="right"/>
              <w:ind w:right="920"/>
              <w:spacing w:after="0"/>
              <w:rPr>
                <w:sz w:val="20"/>
                <w:szCs w:val="20"/>
                <w:color w:val="auto"/>
              </w:rPr>
            </w:pPr>
            <w:r>
              <w:rPr>
                <w:rFonts w:ascii="Arial" w:cs="Arial" w:eastAsia="Arial" w:hAnsi="Arial"/>
                <w:sz w:val="18"/>
                <w:szCs w:val="18"/>
                <w:color w:val="auto"/>
              </w:rPr>
              <w:t>Three Months Ended</w:t>
            </w:r>
          </w:p>
        </w:tc>
        <w:tc>
          <w:tcPr>
            <w:tcW w:w="2560" w:type="dxa"/>
            <w:vAlign w:val="bottom"/>
            <w:gridSpan w:val="3"/>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8"/>
                <w:szCs w:val="18"/>
                <w:color w:val="auto"/>
              </w:rPr>
              <w:t>June 30,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6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2015</w:t>
            </w: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26,185</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17,734</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43,541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Net PCS Subscriber Additions (Losses) – Postpaid</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(1,319)</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5,414</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1,400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27,353</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19,958</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48,584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Net PCS Subscriber Additions (Losses) – Prepaid</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(6,912)</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(2,352)</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(7,213)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PCS Average Monthly Retail Churn % - Prepaid (3)</w:t>
            </w:r>
          </w:p>
        </w:tc>
        <w:tc>
          <w:tcPr>
            <w:tcW w:w="1340" w:type="dxa"/>
            <w:vAlign w:val="bottom"/>
          </w:tcPr>
          <w:p>
            <w:pPr>
              <w:jc w:val="right"/>
              <w:spacing w:after="0"/>
              <w:rPr>
                <w:sz w:val="20"/>
                <w:szCs w:val="20"/>
                <w:color w:val="auto"/>
              </w:rPr>
            </w:pPr>
            <w:r>
              <w:rPr>
                <w:rFonts w:ascii="Arial" w:cs="Arial" w:eastAsia="Arial" w:hAnsi="Arial"/>
                <w:sz w:val="18"/>
                <w:szCs w:val="18"/>
                <w:color w:val="auto"/>
              </w:rPr>
              <w:t>4.74%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4.90%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20" w:right="40" w:hanging="347"/>
        <w:spacing w:after="0" w:line="25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720" w:hanging="34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of approximately 160 overlap cell sites we intend to shut down in coming months.</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1,260 former nTelos prepaid subscribers switched to postpaid subscribers as they migrated to the Sprint back-office platforms during the three and six months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with the Three Months Ended June 30,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86,873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48,749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38,124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Tower lease revenue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2,812</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2,592</w:t>
            </w:r>
          </w:p>
        </w:tc>
        <w:tc>
          <w:tcPr>
            <w:tcW w:w="4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220</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4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1,757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94,294</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52,702</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41,592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Cost of goods and services, exclusive of depreciation</w:t>
            </w:r>
          </w:p>
        </w:tc>
        <w:tc>
          <w:tcPr>
            <w:tcW w:w="2200" w:type="dxa"/>
            <w:vAlign w:val="bottom"/>
            <w:gridSpan w:val="2"/>
            <w:shd w:val="clear" w:color="auto" w:fill="CCEEFF"/>
          </w:tcPr>
          <w:p>
            <w:pPr>
              <w:jc w:val="right"/>
              <w:ind w:right="880"/>
              <w:spacing w:after="0" w:line="201" w:lineRule="exact"/>
              <w:rPr>
                <w:sz w:val="20"/>
                <w:szCs w:val="20"/>
                <w:color w:val="auto"/>
              </w:rPr>
            </w:pPr>
            <w:r>
              <w:rPr>
                <w:rFonts w:ascii="Arial" w:cs="Arial" w:eastAsia="Arial" w:hAnsi="Arial"/>
                <w:sz w:val="18"/>
                <w:szCs w:val="18"/>
                <w:color w:val="auto"/>
                <w:w w:val="97"/>
              </w:rPr>
              <w:t>and amortization</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shown separately below</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35,236</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15,903</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19,333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Selling, general and administrative, exclusive of  depreciation and amortization</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shown separately below</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23,010</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8,917</w:t>
            </w:r>
          </w:p>
        </w:tc>
        <w:tc>
          <w:tcPr>
            <w:tcW w:w="42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14,093</w:t>
            </w:r>
          </w:p>
        </w:tc>
        <w:tc>
          <w:tcPr>
            <w:tcW w:w="82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Integration and acquisition expenses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5,276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23,495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14,883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expenses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87,017</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33,432</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53,585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Segment operating income</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7,277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19,270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(11,993)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60" w:type="dxa"/>
            <w:vAlign w:val="bottom"/>
            <w:vMerge w:val="restart"/>
          </w:tcPr>
          <w:p>
            <w:pPr>
              <w:jc w:val="right"/>
              <w:ind w:right="214"/>
              <w:spacing w:after="0"/>
              <w:rPr>
                <w:sz w:val="20"/>
                <w:szCs w:val="20"/>
                <w:color w:val="auto"/>
              </w:rPr>
            </w:pPr>
            <w:r>
              <w:rPr>
                <w:rFonts w:ascii="Arial" w:cs="Arial" w:eastAsia="Arial" w:hAnsi="Arial"/>
                <w:sz w:val="14"/>
                <w:szCs w:val="14"/>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Wireless service revenue increased $38.1 million, or 78.2%, for the three months ended June 30, 2016, compared to the comparable 2015 period. See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Service Revenues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Postpaid net billings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75,219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46,704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28,515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Sprint fees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fee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Net Service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(6,485)</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1,178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Waiver of management fee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5,129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(10,191)</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3,669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net billings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Gross billings</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20,504</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12,945</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7,559</w:t>
            </w:r>
          </w:p>
        </w:tc>
        <w:tc>
          <w:tcPr>
            <w:tcW w:w="8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Sprint management fee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Waiver of management fee</w:t>
            </w: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966</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966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20,252</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12,162</w:t>
            </w: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8,090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Travel and other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4,186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Accounting adjustments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expanded affiliate agreement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(3,290)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Straight-line adjustment - management fee waiver</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(3,046)</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(3,046)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(6,336)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Service Revenues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86,873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48,749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38,124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May 6, 2016, we acquired approximately 404,000 postpaid and 155,000 prepaid subscribers through our acquisition of nTelos. This acquisition and other changes to the postpaid customer gross additions and churn, outlined in the tables above, resulted in an increase of $28.5 million or 61.1% in postpaid net billings. Effective January 1, 2016, the fees retained by Sprint, and deducted from postpaid revenues, decreased from 22% to 16.6% and they agreed to settle certain revenue and expense items separately. As a result, Sprint fees dropped by $4.6 million or 45.5%. Travel revenues, which are now settled separately, and other similarly settled items grew by $4.2 million. Prepaid net billings grew by $7.6 million or 58.4% as a result of the growth in the customer base related to the nTelos acquisition and other changes in gross additions and churn outlined in the tables above.</w:t>
      </w:r>
    </w:p>
    <w:p>
      <w:pPr>
        <w:spacing w:after="0" w:line="19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recorded an asset related to the changes to the Sprint affiliate agreement as described in the nTelos acquisition footnote above. That asset is being amortized through the expiration of the initial term of that contract in 2029 and, as a result, we recorded $3.3 million in amortization in the second quarter. Sprint agreed to waive certain management fees that they would otherwise be entitled to under the affiliate agreement as a result of our commitment to buy nTelos, upgrade its network and support the former nTelos and Sprint customers. The fees waived will be recognized on a straight line basis over the remainder of the initial term of the contract through 2029 and, as a result, we recorded an adjustment of $3.0 million in the second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recognized by nTelos, whereas historically Sprint has recognized such revenues billed to customers in our service area.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goods and services increased $19.3 million, or 121.6%, in 2016 from the second quarter of 2015. The increase results from the growth in device subsidies of $3.6 million, new national handsets settled separately under the affiliate agreement of $2.0 million, increases in cell site rent and backhaul cost for incremental 868 cell sites in the nTelos territory of $10.6 million, as well as the related growth in the cost of network technicians to service and maintain these sites of $2.8 million. Cost of goods and services also included $0.3 million of costs to support nTelos legacy billing operations until customers migrate to Sprint’s back-office systems.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costs increased $14.1 million, or 158.0%, in the second quarter of 2016 from the comparable 2015 period. This increase included $5.2 million of separately settled national channel commissions; $2.4 million from the operating costs of incremental stores acquired as a result of the nTelos acquisition; $1.0 million in incremental sales and marketing efforts to communicate with the new customers and begin efforts to migrate the nTelos legacy customers over to the Sprint platforms; and $1.8 million in other administrative costs related to the acquired operations. Costs associated with prepaid wireless offerings increased $1.1 million. Selling, general and administrative costs also included $2.0 million of costs to support nTelos legacy billing operations until customers migrate to Sprint’s back-office systems.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Integration and acquisition expenses of $5.3 million in the second quarter of 2016 include approximately $4 million for replacement handsets issued to former nTelos subscribers migrated to the Sprint billing platform and $1.3 million in other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Depreciation and amortization increased $14.9 million, or 172.8%, in the second quarter of 2016 over the comparable 2015 period, due primarily to $6.1 million in depreciation on the acquired fixed assets and $6.8 million in amortization of customer based intangibles recorded in the acquisition. Customer based intangibles are being amortized over accelerated lives.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with the Six Months Ended June 30,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revenues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Wireless service revenue</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139,052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97,124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41,928</w:t>
            </w:r>
          </w:p>
        </w:tc>
        <w:tc>
          <w:tcPr>
            <w:tcW w:w="8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Tower lease revenue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5,562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Equipment revenue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2,767</w:t>
            </w:r>
          </w:p>
        </w:tc>
        <w:tc>
          <w:tcPr>
            <w:tcW w:w="4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1,464</w:t>
            </w:r>
          </w:p>
        </w:tc>
        <w:tc>
          <w:tcPr>
            <w:tcW w:w="8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1,967</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1,809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segment operating revenues</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150,812</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105,211</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45,601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51,815</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32,090</w:t>
            </w:r>
          </w:p>
        </w:tc>
        <w:tc>
          <w:tcPr>
            <w:tcW w:w="42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19,725</w:t>
            </w:r>
          </w:p>
        </w:tc>
        <w:tc>
          <w:tcPr>
            <w:tcW w:w="8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34,524</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17,969</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16,555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Integration and acquisition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5,276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31,988</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15,544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Total segment operating expenses</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123,603</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66,503</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57,100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27,209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38,708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(11,499)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5920" w:type="dxa"/>
            <w:vAlign w:val="bottom"/>
            <w:gridSpan w:val="2"/>
          </w:tcPr>
          <w:p>
            <w:pPr>
              <w:jc w:val="right"/>
              <w:ind w:right="5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Wireless service revenue increased $41.9 million, or 43.2%, for the six months ended June 30, 2016, compared to the comparable 2015 period. See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242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Service Revenues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Postpaid net billings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120,857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93,479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27,378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Sprint fees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fee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Net Service fee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(13,015)</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3,774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Waiver of management fee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5,129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5,129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(14,107)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(20,452)</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6,345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net billings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Gross billings</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33,587</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25,494</w:t>
            </w:r>
          </w:p>
        </w:tc>
        <w:tc>
          <w:tcPr>
            <w:tcW w:w="40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8,093</w:t>
            </w: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Sprint management fee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Waiver of management fee</w:t>
            </w: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966</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966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32,550</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23,955</w:t>
            </w: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8,595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Travel and other 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5,946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Accounting adjustments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expanded affiliate agreement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(3,290)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Straight-line adjustment - management fee waiver</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(3,046)</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(3,046)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(6,336)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Service Revenues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139,052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97,124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41,928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May 6, 2016, we acquired approximately 404,000 postpaid and 155,000 prepaid subscribers through our acquisition of nTelos. This acquisition and other changes to the postpaid customer gross additions and churn, outlined in the tables above, resulted in an increase of $27.4 million or 29.3% in postpaid net billings. Effective January 1, 2016, the fees retained by Sprint, and deducted from postpaid revenues, decreased from 22% to 16.6% and they agreed to settle certain revenue and expense items separately. As a result, Sprint fees dropped by $7.3 million or 35.7%. Travel revenues, which are now settled separately, and other similarly settled items grew by $5.9 million. Prepaid net billings grew by $8.1 million or 31.7% as a result of the growth in the customer base related to the nTelos acquisition and other changes in gross additions and churn outlined in the tables above.</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recorded an asset related to the changes to the Sprint affiliate agreement as described in the nTelos acquisition footnote above. That asset is being amortized through the expiration of the initial term of that contract in 2029 and, as a result, we recorded $3.3 million in amortization in the six months ended June 30, 2016. Sprint agreed to waive certain management fees that they would otherwise be entitled to under the affiliate agreement as a result of our commitment to buy nTelos, upgrade its network and support the former nTelos and Sprint customers. The fees waived will be recognized on a straight line basis over the remainder of the initial term of the contract through 2029 and, as a result, we recorded an adjustment of $3.0 million in the six months ended June 30,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recognized by nTelos, whereas historically Sprint has recognized such revenues billed to customers in our service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 of goods and services increased $19.7 million, or 61.4%, in 2016 from the first half of 2015. The increase results from the growth in device subsidies of $1.9 million, new national handsets settled separately under the affiliate agreement of $3.1 million, increases in cell site rent and backhaul cost for incremental 868 cell sites in the nTelos territory of $11.1 million, as well as the related growth in the cost of network technicians to service and maintain these sites of $3.2 million. Cost of goods and services also included $0.3 million of costs to support nTelos legacy billing operations until customers migrate to Sprint’s back-office systems.</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Selling, general and administrative costs increased $16.6 million, or 92.1%, in the six months ended June 30, 2016 from the comparable 2015 period. This increase included $7.6 million of separately settled national channel commissions; $2.4 million from the operating costs of incremental stores acquired as a result of the nTelos acquisition; $1.0 million in incremental sales and marketing efforts to communicate with the new customers and begin efforts to migrate the nTelos legacy customers over to the Sprint platforms; and $1.8 million in other administrative costs related to the acquired operations. Costs associated with prepaid wireless offerings increased $0.7 million. Selling, general and administrative costs also included $2.0 million of costs to support nTelos legacy billing operations until customers migrate to Sprint’s back-office systems.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Integration and acquisition expenses of $5.3 million in the six months ended June 30, 2016, include approximately $4 million for replacement handsets issued to former nTelos subscribers migrated to the Sprint billing platform and $1.3 million in other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increased $15.5 million, or 94.5%, in the six months ended June 30, 2016 over the comparable 2015 period, due primarily to</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$6.1 million in depreciation on the acquired fixed assets and $6.8 million in amortization of customer based intangibles recorded in the acquisition. Customer based intangibles are being amortized over accelerated lives.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January 1, 2016, we acquired the assets of Colane Cable Company. With the acquisition, we received 3,299 video customers, 1,405 high-speed internet customers, and 302 voice customers. These customers are included in the June 30, 2016 totals shown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31,</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December 31,</w:t>
            </w: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184,627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172,144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49,241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48,184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48,659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49,247</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27,230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24,550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22,810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22,051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76,471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72,734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71,469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71,298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Video</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51,549</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50,215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50,892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52,095</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tcPr>
          <w:p>
            <w:pPr>
              <w:jc w:val="right"/>
              <w:spacing w:after="0"/>
              <w:rPr>
                <w:sz w:val="20"/>
                <w:szCs w:val="20"/>
                <w:color w:val="auto"/>
              </w:rPr>
            </w:pPr>
            <w:r>
              <w:rPr>
                <w:rFonts w:ascii="Arial" w:cs="Arial" w:eastAsia="Arial" w:hAnsi="Arial"/>
                <w:sz w:val="18"/>
                <w:szCs w:val="18"/>
                <w:color w:val="auto"/>
              </w:rPr>
              <w:t>27.9%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High-speed Internet</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183,743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172,538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172,144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171,589</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58,230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55,131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52,415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50,686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Voice</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181,006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169,407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168,852</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21,092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20,166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19,401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18,262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130,871</w:t>
            </w:r>
          </w:p>
        </w:tc>
        <w:tc>
          <w:tcPr>
            <w:tcW w:w="1160" w:type="dxa"/>
            <w:vAlign w:val="bottom"/>
          </w:tcPr>
          <w:p>
            <w:pPr>
              <w:jc w:val="right"/>
              <w:spacing w:after="0"/>
              <w:rPr>
                <w:sz w:val="20"/>
                <w:szCs w:val="20"/>
                <w:color w:val="auto"/>
              </w:rPr>
            </w:pPr>
            <w:r>
              <w:rPr>
                <w:rFonts w:ascii="Arial" w:cs="Arial" w:eastAsia="Arial" w:hAnsi="Arial"/>
                <w:sz w:val="18"/>
                <w:szCs w:val="18"/>
                <w:color w:val="auto"/>
              </w:rPr>
              <w:t>125,512</w:t>
            </w:r>
          </w:p>
        </w:tc>
        <w:tc>
          <w:tcPr>
            <w:tcW w:w="2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122,708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121,043</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2,962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Fiber Miles (8)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81,305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76,949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73,735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72,694</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Generating Units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131,385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123,159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117,744</w:t>
            </w:r>
          </w:p>
        </w:tc>
      </w:tr>
    </w:tbl>
    <w:p>
      <w:pPr>
        <w:spacing w:after="0" w:line="229" w:lineRule="exact"/>
        <w:rPr>
          <w:sz w:val="20"/>
          <w:szCs w:val="20"/>
          <w:color w:val="auto"/>
        </w:rPr>
      </w:pPr>
    </w:p>
    <w:p>
      <w:pPr>
        <w:ind w:left="720" w:right="380" w:hanging="347"/>
        <w:spacing w:after="0" w:line="25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720" w:hanging="34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720" w:right="80" w:hanging="347"/>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 During the first quarter of 2016, we modified the way we count subscribers when a commercial customer upgrades its internet service via a fiber contract. We retroactively applied the new count methodology to prior periods, and applied similar logic to certain bulk customers; the net result was reductions in internet subscriber counts of 559, 682 and 673 subscribers to December 31, 2015, June 30, 2015 and December 31, 2014 totals, respectively.</w:t>
      </w:r>
    </w:p>
    <w:p>
      <w:pPr>
        <w:spacing w:after="0" w:line="3" w:lineRule="exact"/>
        <w:rPr>
          <w:rFonts w:ascii="Arial" w:cs="Arial" w:eastAsia="Arial" w:hAnsi="Arial"/>
          <w:sz w:val="18"/>
          <w:szCs w:val="18"/>
          <w:color w:val="auto"/>
        </w:rPr>
      </w:pPr>
    </w:p>
    <w:p>
      <w:pPr>
        <w:ind w:left="720" w:hanging="34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720" w:right="380" w:hanging="347"/>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Arial" w:cs="Arial" w:eastAsia="Arial" w:hAnsi="Arial"/>
          <w:sz w:val="18"/>
          <w:szCs w:val="18"/>
          <w:color w:val="auto"/>
        </w:rPr>
      </w:pPr>
    </w:p>
    <w:p>
      <w:pPr>
        <w:ind w:left="720" w:right="40" w:hanging="347"/>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720" w:hanging="34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720" w:right="360" w:hanging="347"/>
        <w:spacing w:after="0" w:line="261"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June 30, 2016 Compared with the Three Months Ended June 30, 2015</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revenues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24,167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22,117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2,050</w:t>
            </w: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2,036</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Total segment operating 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26,401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24,153</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2,248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280"/>
              <w:spacing w:after="0"/>
              <w:rPr>
                <w:sz w:val="20"/>
                <w:szCs w:val="20"/>
                <w:color w:val="auto"/>
              </w:rPr>
            </w:pPr>
            <w:r>
              <w:rPr>
                <w:rFonts w:ascii="Arial" w:cs="Arial" w:eastAsia="Arial" w:hAnsi="Arial"/>
                <w:sz w:val="18"/>
                <w:szCs w:val="18"/>
                <w:color w:val="auto"/>
              </w:rPr>
              <w:t>amortization shown separately below</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14,564</w:t>
            </w:r>
          </w:p>
        </w:tc>
        <w:tc>
          <w:tcPr>
            <w:tcW w:w="4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13,635</w:t>
            </w:r>
          </w:p>
        </w:tc>
        <w:tc>
          <w:tcPr>
            <w:tcW w:w="38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929</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Selling, general, and administrative, exclusive of depreciation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5,084</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5,879</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5,859</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25,237</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24,578</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659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income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Cable segment service revenues increased $2.1 million, or 9.3%, due to a 6.7% increase in average revenue generating units, video rate increases in January 2016 to offset increases in programming costs, customers selecting higher-speed data (HSD) access packages and growth in the HSD and phone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$0.2 million, primarily due to new fiber contracts to towers, schools and libraries.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Cable segment cost of goods and services increased $0.9 million, or 6.8%, in the second quarter of 2016 over the comparable 2015 period. Video programming costs, including retransmission fees, increased $0.4 million, primarily due to the increase in subscribers. The remainder of the increase resulted from higher network and maintenance costs.</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expenses decreased $0.3 million against the prior year quarter due to lower advertising and commission costs, down $0.4 million.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with the Six Months Ended June 30, 2015</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630"/>
              <w:spacing w:after="0"/>
              <w:rPr>
                <w:sz w:val="20"/>
                <w:szCs w:val="20"/>
                <w:color w:val="auto"/>
              </w:rPr>
            </w:pPr>
            <w:r>
              <w:rPr>
                <w:rFonts w:ascii="Arial" w:cs="Arial" w:eastAsia="Arial" w:hAnsi="Arial"/>
                <w:sz w:val="18"/>
                <w:szCs w:val="18"/>
                <w:color w:val="auto"/>
              </w:rPr>
              <w:t>Six Months Ended</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48,507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43,518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4,989</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4,340</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3,947</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52,847</w:t>
            </w: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47,465</w:t>
            </w: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5,382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29,210</w:t>
            </w: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27,253</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9,902</w:t>
            </w:r>
          </w:p>
        </w:tc>
        <w:tc>
          <w:tcPr>
            <w:tcW w:w="4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9,976</w:t>
            </w:r>
          </w:p>
        </w:tc>
        <w:tc>
          <w:tcPr>
            <w:tcW w:w="38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11,974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11,338</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636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51,086</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48,567</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2,863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Cable segment service revenues increased $5.0 million, or 11.5%, due to a 6.4% increase in average revenue generating units, video rate increases in January 2016 to offset increases in programming costs, customers selecting higher-speed data (HSD) access packages and growth in the HSD and phone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$0.4 million, primarily due to new fiber contracts to towers, schools and libraries.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Cable segment cost of goods and services increased $2.0 million, or 7.2%, in the six months ended June 30, 2016 over the comparable 2015 period. Video programming costs, including retransmission fees, increased $0.8 million, primarily due to the increase in subscribers. The remainder of the increase resulted from higher network and maintenance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98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June 30,</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Dec. 31,</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2016</w:t>
            </w: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Telephone Access Lines (1)</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19,188</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20,252</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9,269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9,476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9,560</w:t>
            </w:r>
          </w:p>
        </w:tc>
        <w:tc>
          <w:tcPr>
            <w:tcW w:w="1120" w:type="dxa"/>
            <w:vAlign w:val="bottom"/>
          </w:tcPr>
          <w:p>
            <w:pPr>
              <w:jc w:val="right"/>
              <w:spacing w:after="0"/>
              <w:rPr>
                <w:sz w:val="20"/>
                <w:szCs w:val="20"/>
                <w:color w:val="auto"/>
              </w:rPr>
            </w:pPr>
            <w:r>
              <w:rPr>
                <w:rFonts w:ascii="Arial" w:cs="Arial" w:eastAsia="Arial" w:hAnsi="Arial"/>
                <w:sz w:val="18"/>
                <w:szCs w:val="18"/>
                <w:color w:val="auto"/>
              </w:rPr>
              <w:t>9,571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Video Customers (2)</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5,327</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5,356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DSL and Cable Modem Subscribers (3)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14,122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13,890</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12,856</w:t>
            </w:r>
          </w:p>
        </w:tc>
        <w:tc>
          <w:tcPr>
            <w:tcW w:w="1120" w:type="dxa"/>
            <w:vAlign w:val="bottom"/>
          </w:tcPr>
          <w:p>
            <w:pPr>
              <w:jc w:val="right"/>
              <w:spacing w:after="0"/>
              <w:rPr>
                <w:sz w:val="20"/>
                <w:szCs w:val="20"/>
                <w:color w:val="auto"/>
              </w:rPr>
            </w:pPr>
            <w:r>
              <w:rPr>
                <w:rFonts w:ascii="Arial" w:cs="Arial" w:eastAsia="Arial" w:hAnsi="Arial"/>
                <w:sz w:val="18"/>
                <w:szCs w:val="18"/>
                <w:color w:val="auto"/>
              </w:rPr>
              <w:t>13,094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1,736</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1,590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Fiber Miles (4)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126,639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123,891</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102,821</w:t>
            </w:r>
          </w:p>
        </w:tc>
        <w:tc>
          <w:tcPr>
            <w:tcW w:w="1120" w:type="dxa"/>
            <w:vAlign w:val="bottom"/>
          </w:tcPr>
          <w:p>
            <w:pPr>
              <w:jc w:val="right"/>
              <w:spacing w:after="0"/>
              <w:rPr>
                <w:sz w:val="20"/>
                <w:szCs w:val="20"/>
                <w:color w:val="auto"/>
              </w:rPr>
            </w:pPr>
            <w:r>
              <w:rPr>
                <w:rFonts w:ascii="Arial" w:cs="Arial" w:eastAsia="Arial" w:hAnsi="Arial"/>
                <w:sz w:val="18"/>
                <w:szCs w:val="18"/>
                <w:color w:val="auto"/>
              </w:rPr>
              <w:t>99,387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81"/>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60" w:type="dxa"/>
            <w:vAlign w:val="bottom"/>
          </w:tcPr>
          <w:p>
            <w:pPr>
              <w:jc w:val="right"/>
              <w:ind w:right="1012"/>
              <w:spacing w:after="0"/>
              <w:rPr>
                <w:sz w:val="20"/>
                <w:szCs w:val="20"/>
                <w:color w:val="auto"/>
              </w:rPr>
            </w:pPr>
            <w:r>
              <w:rPr>
                <w:rFonts w:ascii="Arial" w:cs="Arial" w:eastAsia="Arial" w:hAnsi="Arial"/>
                <w:sz w:val="14"/>
                <w:szCs w:val="14"/>
                <w:color w:val="auto"/>
              </w:rPr>
              <w:t>37</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720" w:right="300" w:hanging="347"/>
        <w:spacing w:after="0" w:line="25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October 1, 2015, we launched cable modem services on our cable plant, and ceased the requirement that a customer have a telephone access line to purchase DSL service.</w:t>
      </w:r>
    </w:p>
    <w:p>
      <w:pPr>
        <w:spacing w:after="0" w:line="1" w:lineRule="exact"/>
        <w:rPr>
          <w:rFonts w:ascii="Arial" w:cs="Arial" w:eastAsia="Arial" w:hAnsi="Arial"/>
          <w:sz w:val="18"/>
          <w:szCs w:val="18"/>
          <w:color w:val="auto"/>
        </w:rPr>
      </w:pPr>
    </w:p>
    <w:p>
      <w:pPr>
        <w:ind w:left="720" w:hanging="34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16,000 homes.</w:t>
      </w:r>
    </w:p>
    <w:p>
      <w:pPr>
        <w:spacing w:after="0" w:line="9" w:lineRule="exact"/>
        <w:rPr>
          <w:rFonts w:ascii="Arial" w:cs="Arial" w:eastAsia="Arial" w:hAnsi="Arial"/>
          <w:sz w:val="18"/>
          <w:szCs w:val="18"/>
          <w:color w:val="auto"/>
        </w:rPr>
      </w:pPr>
    </w:p>
    <w:p>
      <w:pPr>
        <w:ind w:left="720" w:hanging="347"/>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June 2016 and December 2015 totals include 725 and 420 customers, respectively, served via the coaxial cable network. During first quarter 2016, we modified the way we count subscribers when a commercial customer upgrades its internet service via a fiber contract. We retroactively applied the new count methodology to prior periods and the net result was increases in internet subscriber counts of 804, 434 and 352 subscribers to December 31, 2015, June 30, 2015 and December 31, 2014 totals, respectively.</w:t>
      </w:r>
    </w:p>
    <w:p>
      <w:pPr>
        <w:spacing w:after="0" w:line="1" w:lineRule="exact"/>
        <w:rPr>
          <w:rFonts w:ascii="Arial" w:cs="Arial" w:eastAsia="Arial" w:hAnsi="Arial"/>
          <w:sz w:val="18"/>
          <w:szCs w:val="18"/>
          <w:color w:val="auto"/>
        </w:rPr>
      </w:pPr>
    </w:p>
    <w:p>
      <w:pPr>
        <w:ind w:left="720" w:hanging="347"/>
        <w:spacing w:after="0" w:line="255"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Compared with the Three Months Ended June 30,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Carrier access and fiber revenues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12,293</w:t>
            </w:r>
          </w:p>
        </w:tc>
        <w:tc>
          <w:tcPr>
            <w:tcW w:w="4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10,151</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2,142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Total segment operating revenues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18,591</w:t>
            </w:r>
          </w:p>
        </w:tc>
        <w:tc>
          <w:tcPr>
            <w:tcW w:w="4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16,463</w:t>
            </w:r>
          </w:p>
        </w:tc>
        <w:tc>
          <w:tcPr>
            <w:tcW w:w="420" w:type="dxa"/>
            <w:vAlign w:val="bottom"/>
          </w:tcPr>
          <w:p>
            <w:pPr>
              <w:spacing w:after="0"/>
              <w:rPr>
                <w:sz w:val="19"/>
                <w:szCs w:val="19"/>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2,128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Cost of goods and services, exclusive of  depreciation and</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8,808</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7,677</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1,131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ind w:left="160"/>
              <w:spacing w:after="0" w:line="201" w:lineRule="exact"/>
              <w:rPr>
                <w:sz w:val="20"/>
                <w:szCs w:val="20"/>
                <w:color w:val="auto"/>
              </w:rPr>
            </w:pPr>
            <w:r>
              <w:rPr>
                <w:rFonts w:ascii="Arial" w:cs="Arial" w:eastAsia="Arial" w:hAnsi="Arial"/>
                <w:sz w:val="18"/>
                <w:szCs w:val="18"/>
                <w:color w:val="auto"/>
                <w:w w:val="91"/>
              </w:rPr>
              <w:t>Selling, general and administrative, exclusive of</w:t>
            </w:r>
          </w:p>
        </w:tc>
        <w:tc>
          <w:tcPr>
            <w:tcW w:w="1500" w:type="dxa"/>
            <w:vAlign w:val="bottom"/>
            <w:gridSpan w:val="2"/>
          </w:tcPr>
          <w:p>
            <w:pPr>
              <w:jc w:val="right"/>
              <w:ind w:right="485"/>
              <w:spacing w:after="0" w:line="201" w:lineRule="exact"/>
              <w:rPr>
                <w:sz w:val="20"/>
                <w:szCs w:val="20"/>
                <w:color w:val="auto"/>
              </w:rPr>
            </w:pPr>
            <w:r>
              <w:rPr>
                <w:rFonts w:ascii="Arial" w:cs="Arial" w:eastAsia="Arial" w:hAnsi="Arial"/>
                <w:sz w:val="18"/>
                <w:szCs w:val="18"/>
                <w:color w:val="auto"/>
                <w:w w:val="93"/>
              </w:rPr>
              <w:t>depreciation</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42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2,933</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segment operating expenses</w:t>
            </w:r>
          </w:p>
        </w:tc>
        <w:tc>
          <w:tcPr>
            <w:tcW w:w="1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13,411</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12,496</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915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1,213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operating revenues in the quarter ended June 30, 2016 increased $2.1 million, or 12.9%, against the comparable 2015 period, as a result of increases in fiber and access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Operating expenses overall increased $0.9 million, or 7.3%, in the quarter ended June 30, 2016, compared to the 2015 quarter. The $1.1 million increase in cost of goods and services primarily resulted from costs to support the increase in carrier access and fiber revenues shown above.</w:t>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40" w:type="dxa"/>
            <w:vAlign w:val="bottom"/>
            <w:gridSpan w:val="7"/>
          </w:tcPr>
          <w:p>
            <w:pPr>
              <w:spacing w:after="0"/>
              <w:rPr>
                <w:sz w:val="20"/>
                <w:szCs w:val="20"/>
                <w:color w:val="auto"/>
              </w:rPr>
            </w:pPr>
            <w:r>
              <w:rPr>
                <w:rFonts w:ascii="Arial" w:cs="Arial" w:eastAsia="Arial" w:hAnsi="Arial"/>
                <w:sz w:val="18"/>
                <w:szCs w:val="18"/>
                <w:b w:val="1"/>
                <w:bCs w:val="1"/>
                <w:color w:val="auto"/>
                <w:w w:val="90"/>
              </w:rPr>
              <w:t>Six Months Ended June 30, 2016 Compared with the Six Months Ended June 30, 2015</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59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2015</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10,917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Carrier access and fiber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24,263</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19,678</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4,585</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244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36,970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32,048</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4,922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17,450</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15,011</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2,439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3,275</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41</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26,692</w:t>
            </w: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24,252</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2,440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10,278</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2,482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operating revenues in the six months ended June 30, 2016 increased $4.9 million, or 15.4%, against the comparable 2015 period. Carrier access and fiber revenues increased $4.6 million due to increases in fiber and access contracts. The increase in service revenues primarily results from higher revenues for high-speed data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expenses overall increased $2.4 million, or 10.1%, in the six months ended June 30, 2016, compared to the 2015 period. The $2.4 million increase in cost of goods and services primarily resulted from costs to support the increase in carrier access and fiber revenues shown above.</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4" w:right="3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5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amortization of the affiliate agreement expansion asset;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by Sprint over the next approximately six–year period.</w:t>
      </w:r>
    </w:p>
    <w:p>
      <w:pPr>
        <w:spacing w:after="0" w:line="2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the following:</w:t>
      </w:r>
    </w:p>
    <w:p>
      <w:pPr>
        <w:spacing w:after="0" w:line="197" w:lineRule="exact"/>
        <w:rPr>
          <w:sz w:val="20"/>
          <w:szCs w:val="20"/>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720" w:right="500" w:hanging="347"/>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and continuing OIBDA do not reflect cash requirements for such replacements;</w:t>
      </w: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720" w:right="240" w:hanging="347"/>
        <w:spacing w:after="0" w:line="261"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and continuing OIBDA differently than we do, limiting its usefulness as a comparative measure.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three and six months ended June 30, 2016 and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380" w:type="dxa"/>
            <w:vAlign w:val="bottom"/>
            <w:gridSpan w:val="4"/>
          </w:tcPr>
          <w:p>
            <w:pPr>
              <w:jc w:val="right"/>
              <w:ind w:right="70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31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55,905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96,271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Continuing OIBDA</w:t>
            </w:r>
          </w:p>
        </w:tc>
        <w:tc>
          <w:tcPr>
            <w:tcW w:w="20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49,810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90,176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73,960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adjusted OIBDA and continuing OIBDA to operating income (loss), which we consider to be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 for the three and six months ended June 30,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Consolidated:</w:t>
            </w:r>
          </w:p>
        </w:tc>
        <w:tc>
          <w:tcPr>
            <w:tcW w:w="240" w:type="dxa"/>
            <w:vAlign w:val="bottom"/>
          </w:tcPr>
          <w:p>
            <w:pPr>
              <w:spacing w:after="0"/>
              <w:rPr>
                <w:sz w:val="19"/>
                <w:szCs w:val="19"/>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360" w:type="dxa"/>
            <w:vAlign w:val="bottom"/>
            <w:gridSpan w:val="4"/>
          </w:tcPr>
          <w:p>
            <w:pPr>
              <w:ind w:left="34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15,163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32,415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50,154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34,001</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959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1,956</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 straight line adjustment to reduce management fee waiver</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amortization of intangible netted in revenue</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3,290</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temporary backoffice costs to support the billing operations through</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migration</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2,339</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2,339</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Plus integration and acquisition related expenses</w:t>
            </w: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20,054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20,386</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55,905</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96,271</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waived management fee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(6,095)</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Continuing OIBDA</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49,810</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90,176</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by major segment for the three and six months ended June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Wireless Segment: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360" w:type="dxa"/>
            <w:vAlign w:val="bottom"/>
            <w:gridSpan w:val="4"/>
          </w:tcPr>
          <w:p>
            <w:pPr>
              <w:ind w:left="34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27,209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23,495</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8,612</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31,988</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16,444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624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Plus straight line adjustment to reduce management fee waiver</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Plus amortization of intangible netted in revenue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3,290</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Plus temporary backoffice costs to support the billing operations through</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migration</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2,339</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2,339</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Plus integration and acquisition related expenses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5,276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5,276</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44,981</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73,733</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waived management fee</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(6,095)</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Continuing OIBDA</w:t>
            </w: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38,886</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67,638</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20" w:type="dxa"/>
            <w:vAlign w:val="bottom"/>
          </w:tcPr>
          <w:p>
            <w:pPr>
              <w:jc w:val="right"/>
              <w:ind w:right="228"/>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r>
      <w:tr>
        <w:trPr>
          <w:trHeight w:val="371"/>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Cable Segment:</w:t>
            </w:r>
          </w:p>
        </w:tc>
        <w:tc>
          <w:tcPr>
            <w:tcW w:w="240" w:type="dxa"/>
            <w:vAlign w:val="bottom"/>
          </w:tcPr>
          <w:p>
            <w:pPr>
              <w:spacing w:after="0"/>
              <w:rPr>
                <w:sz w:val="24"/>
                <w:szCs w:val="24"/>
                <w:color w:val="auto"/>
              </w:rPr>
            </w:pPr>
          </w:p>
        </w:tc>
        <w:tc>
          <w:tcPr>
            <w:tcW w:w="2500" w:type="dxa"/>
            <w:vAlign w:val="bottom"/>
            <w:gridSpan w:val="4"/>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Six Months Ended</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08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5,879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11,974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11,338</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(gain) loss on asset sales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OIBDA and Continuing OIBDA</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7,317</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14,303</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8"/>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Wireline Segment:</w:t>
            </w:r>
          </w:p>
        </w:tc>
        <w:tc>
          <w:tcPr>
            <w:tcW w:w="240" w:type="dxa"/>
            <w:vAlign w:val="bottom"/>
          </w:tcPr>
          <w:p>
            <w:pPr>
              <w:spacing w:after="0"/>
              <w:rPr>
                <w:sz w:val="24"/>
                <w:szCs w:val="24"/>
                <w:color w:val="auto"/>
              </w:rPr>
            </w:pPr>
          </w:p>
        </w:tc>
        <w:tc>
          <w:tcPr>
            <w:tcW w:w="2500" w:type="dxa"/>
            <w:vAlign w:val="bottom"/>
            <w:gridSpan w:val="4"/>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Six Months Ended</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left="51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08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10,278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2,933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5,967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6,007</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Plus share based compensation expense</w:t>
            </w: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OIBDA and Continuing OIBDA</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8,289</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16,569</w:t>
            </w:r>
          </w:p>
        </w:tc>
        <w:tc>
          <w:tcPr>
            <w:tcW w:w="3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7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We generated $60.8 million of net cash from operations in the first six months of 2016, compared to $60.3 million in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2015. The increase was driven primarily by lower net income and by the timing of cash receipts and disbursements for taxes and materials and supplies.</w:t>
      </w:r>
    </w:p>
    <w:p>
      <w:pPr>
        <w:spacing w:after="0" w:line="2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As of June 30, 2016, our indebtedness totaled $815.6 million. This included $815.2 million in term loans, with an annualized effective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approximately 3.86% after considering the impact of the interest rate swap contract and unamortized loan costs. The balance consists of the $485 million Term Loan A-1 at a variable rate (3.21% as of June 30, 2016) that resets monthly based on one month LIBOR plus a margin of 2.75% currently, and the $350 million Term Loan A-2 at a variable rate (3.46% as of June 30, 2016) that resets monthly based on one month LIBOR plus a margin of 3.00%. The Term Loan A-1 requires quarterly principal repayments of $6.1 million beginning September 30, 2016 and continuing through June 30, 2017, increasing to $12.1 quarterly thereafter through June 30, 2021, with the remaining expected balance of approximately $242.5 million due September 30, 2021. The Term Loan A-2 requires quarterly principal repayments of $10.0 million beginning on September 30, 2018 through March 31, 2023, with the remaining expected balance of approximately $210.0 million due June 30, 2023.</w:t>
      </w:r>
    </w:p>
    <w:p>
      <w:pPr>
        <w:spacing w:after="0" w:line="1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bound by certain financial covenants under the 2016 credit agreement. Noncompliance with any one or more of the debt covenants may have an adverse effect on our financial condition or liquidity in the event such noncompliance cannot be cured or should we be unable to obtain a waiver from the lenders. As of June 30, 2016, we were in compliance with all debt covenants, and ratios at June 30, 2016 were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Actual</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June 30, 2016</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3.75 or Lower</w:t>
            </w: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r>
    </w:tbl>
    <w:p>
      <w:pPr>
        <w:spacing w:after="0" w:line="200" w:lineRule="exact"/>
        <w:rPr>
          <w:sz w:val="20"/>
          <w:szCs w:val="20"/>
          <w:color w:val="auto"/>
        </w:rPr>
      </w:pPr>
    </w:p>
    <w:p>
      <w:pPr>
        <w:spacing w:after="0" w:line="2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estimates of consolidated EBITDA, cash taxes, scheduled principal payments and cash interest expense as if the nTelos acquisition had occurred on April 1, 2016, multiplied by 4. In addition to the covenants above, we are required to supply the lenders with quarterly financial statements and other reports as defined by the 2016 credit agreement. We were in compliance with all reporting requirements at June 30, 2016.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no off-balance sheet arrangements (other than operating leases) and have not entered into any transactions involving unconsolidated, limited purpose entities or commodity contracts.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Capital Commitments. </w:t>
      </w:r>
      <w:r>
        <w:rPr>
          <w:rFonts w:ascii="Arial" w:cs="Arial" w:eastAsia="Arial" w:hAnsi="Arial"/>
          <w:sz w:val="17"/>
          <w:szCs w:val="17"/>
          <w:color w:val="auto"/>
        </w:rPr>
        <w:t>Capital expenditures budgeted for 2016 total $218.5 million, including $120.3 million in the Wireless segment for upgrades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expansion of the nTelos wireless network. In addition, $21.2 million is budgeted for information technology upgrades, new and renovated buildings and other projects, $24.2 million for additional network capacity, and $36.4 million for network expansion including new fiber routes, new cell towers, and cable market expansion. Approximately $13.1 million of the budget is success-based, and will be scaled back if not supported by customer growth.</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first six months of 2016, we spent $60.1 million on capital projects, compared to $25.1 million in the comparable 2015 period. Spending related to Wireless projects accounted for $49.1 million in the first six months of 2016, primarily for additional network capacity and technology upgrades. Cable capital spending of $5.7 million related to network and cable market expansion. Wireline capital projects cost $4.0 million, driven primarily by fiber builds. Other projects totaled $1.4 million, largely related to information technology projects.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and new market developments and opportunities.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As amended, the new standard is effective for the Company on January 1, 2018, using either a retrospective basis or a modified retrospective basis with early adoption permitted, but not earlier than the original effective date beginning after December 15, 2016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FASB issued ASU No. 2016-02, “Leases”,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We are evaluating the effect that ASU 2016-02 will have on our consolidated financial statements and related disclosures.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June 30, 2016, the Company had $835 million of variable rate debt outstanding (excluding unamortized loan fees and costs of $19.4 million), bearing interest at a weighted average rate of 3.31% as determined on a monthly basis. An increase in market interest rates of 1.00% would add approximately $8.3 million to annual interest expense, excluding the effect of the interest rate swap. In May 2016, the Company entered into a pay-fixed, receive-variable interest rate swap with three counterparties totaling $256.6 of notional principal.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(0.46% as of June 30, 2016), to manage a portion of its interest rate risk. Changes in the net interest paid or received under the swaps would offset approximately 50% of the change in interest expense on the variable rate debt outstanding. The swap agreements currently add approximately $2.1 million to annual interest expense, based on the spread between the fixed rate and the variable rate currently in effect on our debt.</w:t>
      </w:r>
    </w:p>
    <w:p>
      <w:pPr>
        <w:spacing w:after="0" w:line="19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June 30, 2016, the Company has $417.5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June 30,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acquisition of nTelos was completed on May 6, 2016, and had a material impact on the financial position, results of operations and cash flows of the Company from the date of acquisition. Management is integrating the acquired operation into its business processes and control structures as quickly as possible, although it is certain that the integration of customers and back office operations will not be completed until sometime during 2017. As a result of the acquisition, and the ongoing impact to the business, management has elected to exclude the legacy systems of nTelos from our 2016 assessment of internal controls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Under the Company’s agreements with Sprint, Sprint provides the Company with billing, collections, customer care, certain network operations and other back-office services for the PCS operation. As a result, Sprint remits to the Company a substantial portion of the Company’s total operating revenues, which will increase as legacy nTelos subscribers migrate to the Sprint billing platform in the future.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revenue currently retained by Sprint (before the effect of fee waivers).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2015 to September 30, 2015. The most recent report indicated there were no material issues which would adversely affect the information used to support the recording of the revenues provided by Sprint related to the Company’s relationship with them.</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connection with the nTelos acquisition, we incurred significant additional indebtedness, which could materially and adversely affect us, including by decreasing our business flexibility.</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substantially increased indebtedness following completion of the nTelos acquisition in comparison to that of the Company on a recent historical basis, which has increased our interest expense and amortization requirements and could have the effect, among other things, of reducing our flexibility to respond to changing business and economic conditions. The amount of cash required to pay interest on our increased indebtedness and the increased amortization requirements to pay down the loan balances following the nTelos acquisition, and thus the demands on our cash resources, could be greater than the amount of cash flows required to service our indebtedness prior to the nTelos acquisition. Our increased levels of indebtedness could also reduce funds available for working capital, capital expenditures, dividends and other general corporate purposes and may create competitive disadvantages for us relative to other companies with lower debt levels. If we do not achieve the expected benefits and cost savings from the nTelos acquisition, or if the financial performance of the combined company does not meet current expectations, then our ability to service this indebtedness may be materially and adversely impacted.</w:t>
      </w:r>
    </w:p>
    <w:p>
      <w:pPr>
        <w:spacing w:after="0" w:line="220"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It may be difficult to successfully integrate the business of nTelos and we may fail to realize the anticipated benefits expected from the nTelos acquisition, which could materially and adversely affect our operating results and the market price of our common stock.</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we experience greater than anticipated costs to integrate nTelos into our existing operations or are not able to achieve the anticipated benefits of the nTelos acquisition, our business and results of operations could be materially and negatively affected. In addition, it is possible that the ongoing integration process could result in the disruption of our ongoing business or inconsistencies in standards, controls, procedures and policies that adversely affect our ability to maintain relationships with customers and employees or to achieve the anticipated benefits of the nTelos acquisition. Integration efforts also may divert management attention and resources.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success of the nTelos acquisition will also depend, in significant part, on our ability to successfully integrate the acquired business and realize the synergies anticipated with the nTelos acquisition. Many of these synergies are not expected to occur for a period of time and will require capital expenditures to be fully realized. If we are unable to integrate nTelos successfully, we may not realize the anticipated benefits of the nTelos acquisition, including the anticipated synergies.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June 30,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Number of Shares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Average Price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Paid per Share</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April 1 to April 30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May 1 to May 31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June 1 to June 30</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6,449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15,121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6, 2016, in connection with the closing of the nTelos acquisition, the Company issued 380,000 shares of its common stock as consideration for the acquisition of the non-controlling interests in a subsidiary of nTelos. Such shares were valued at $10.4 million. The sale of these securities was exempt from registration pursuant to Section 4(a)(2) of the Securities Act of 1933, as amended, based upon representations made to us by the equity holders in purchase agreements we entered into with each equity holder.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ind w:left="580" w:right="200" w:hanging="580"/>
        <w:spacing w:after="0" w:line="277"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Shenandoah Telecommunications Company, effective July 18, 2016, filed as Exhibit 3.1 to the Company Current Report on Form 8-K dated July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101.INS</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101.SCH</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101.CAL</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101.DEF</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101.LAB</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5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16"/>
        </w:trPr>
        <w:tc>
          <w:tcPr>
            <w:tcW w:w="1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101.PRE</w:t>
            </w:r>
          </w:p>
        </w:tc>
        <w:tc>
          <w:tcPr>
            <w:tcW w:w="9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6"/>
        </w:trPr>
        <w:tc>
          <w:tcPr>
            <w:tcW w:w="150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4"/>
                <w:szCs w:val="14"/>
                <w:color w:val="auto"/>
              </w:rPr>
              <w:t>47</w:t>
            </w:r>
          </w:p>
        </w:tc>
      </w:tr>
      <w:tr>
        <w:trPr>
          <w:trHeight w:val="46"/>
        </w:trPr>
        <w:tc>
          <w:tcPr>
            <w:tcW w:w="1500" w:type="dxa"/>
            <w:vAlign w:val="bottom"/>
            <w:tcBorders>
              <w:bottom w:val="single" w:sz="8" w:color="auto"/>
            </w:tcBorders>
          </w:tcPr>
          <w:p>
            <w:pPr>
              <w:spacing w:after="0"/>
              <w:rPr>
                <w:sz w:val="4"/>
                <w:szCs w:val="4"/>
                <w:color w:val="auto"/>
              </w:rPr>
            </w:pPr>
          </w:p>
        </w:tc>
        <w:tc>
          <w:tcPr>
            <w:tcW w:w="99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August 8, 2016</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122" w:right="10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520" w:type="dxa"/>
            <w:vAlign w:val="bottom"/>
            <w:gridSpan w:val="7"/>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20" w:type="dxa"/>
            <w:vAlign w:val="bottom"/>
            <w:gridSpan w:val="7"/>
          </w:tcPr>
          <w:p>
            <w:pPr>
              <w:spacing w:after="0"/>
              <w:rPr>
                <w:sz w:val="20"/>
                <w:szCs w:val="20"/>
                <w:color w:val="auto"/>
              </w:rPr>
            </w:pPr>
            <w:r>
              <w:rPr>
                <w:rFonts w:ascii="Arial" w:cs="Arial" w:eastAsia="Arial" w:hAnsi="Arial"/>
                <w:sz w:val="18"/>
                <w:szCs w:val="18"/>
                <w:color w:val="auto"/>
              </w:rPr>
              <w:t>EXHIBIT INDEX</w:t>
            </w: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5"/>
          </w:tcPr>
          <w:p>
            <w:pPr>
              <w:ind w:left="100"/>
              <w:spacing w:after="0"/>
              <w:rPr>
                <w:sz w:val="20"/>
                <w:szCs w:val="20"/>
                <w:color w:val="auto"/>
              </w:rPr>
            </w:pPr>
            <w:r>
              <w:rPr>
                <w:rFonts w:ascii="Arial" w:cs="Arial" w:eastAsia="Arial" w:hAnsi="Arial"/>
                <w:sz w:val="18"/>
                <w:szCs w:val="18"/>
                <w:b w:val="1"/>
                <w:bCs w:val="1"/>
                <w:color w:val="auto"/>
              </w:rPr>
              <w:t>Exhibit No.</w:t>
            </w:r>
          </w:p>
        </w:tc>
        <w:tc>
          <w:tcPr>
            <w:tcW w:w="9900" w:type="dxa"/>
            <w:vAlign w:val="bottom"/>
            <w:gridSpan w:val="3"/>
          </w:tcPr>
          <w:p>
            <w:pPr>
              <w:ind w:left="476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gridSpan w:val="4"/>
            <w:shd w:val="clear" w:color="auto" w:fill="CCEEFF"/>
          </w:tcPr>
          <w:p>
            <w:pPr>
              <w:jc w:val="center"/>
              <w:ind w:left="610"/>
              <w:spacing w:after="0" w:line="201" w:lineRule="exact"/>
              <w:rPr>
                <w:sz w:val="20"/>
                <w:szCs w:val="20"/>
                <w:color w:val="auto"/>
              </w:rPr>
            </w:pPr>
            <w:r>
              <w:rPr>
                <w:rFonts w:ascii="Arial" w:cs="Arial" w:eastAsia="Arial" w:hAnsi="Arial"/>
                <w:sz w:val="18"/>
                <w:szCs w:val="18"/>
                <w:color w:val="auto"/>
                <w:w w:val="87"/>
              </w:rPr>
              <w:t>3.3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3"/>
              </w:rPr>
              <w:t>Amended and Restated Bylaws of Shenandoah Telecommunications Company, effective July 18, 2016, filed as Exhibit 3.1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Company’s Current Report on Form 8-K dated July 18,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5"/>
            <w:shd w:val="clear" w:color="auto" w:fill="CCEEFF"/>
          </w:tcPr>
          <w:p>
            <w:pPr>
              <w:jc w:val="center"/>
              <w:ind w:left="310"/>
              <w:spacing w:after="0" w:line="17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President and Chief Executive Officer pursuant to Rule 13a-14(a) under the Securities Exchange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7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1934.</w:t>
            </w:r>
          </w:p>
        </w:tc>
        <w:tc>
          <w:tcPr>
            <w:tcW w:w="580" w:type="dxa"/>
            <w:vAlign w:val="bottom"/>
            <w:tcBorders>
              <w:top w:val="single" w:sz="8" w:color="CCEEFF"/>
            </w:tcBorders>
            <w:shd w:val="clear" w:color="auto" w:fill="CCEEFF"/>
          </w:tcPr>
          <w:p>
            <w:pPr>
              <w:spacing w:after="0"/>
              <w:rPr>
                <w:sz w:val="20"/>
                <w:szCs w:val="20"/>
                <w:color w:val="auto"/>
              </w:rPr>
            </w:pPr>
          </w:p>
        </w:tc>
        <w:tc>
          <w:tcPr>
            <w:tcW w:w="45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5"/>
            <w:shd w:val="clear" w:color="auto" w:fill="CCEEFF"/>
          </w:tcPr>
          <w:p>
            <w:pPr>
              <w:jc w:val="center"/>
              <w:ind w:left="310"/>
              <w:spacing w:after="0" w:line="17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Vice President - Finance and Chief Financial Officer pursuant to Rule 13a-14(a) under the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hanging="944"/>
        <w:spacing w:after="0"/>
        <w:tabs>
          <w:tab w:leader="none" w:pos="172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720" w:hanging="1049"/>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101.INS</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101.SCH</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101.CAL</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101.DEF</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101.LAB</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101.PRE</w:t>
            </w:r>
          </w:p>
        </w:tc>
        <w:tc>
          <w:tcPr>
            <w:tcW w:w="9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50"/>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340" w:type="dxa"/>
            <w:vAlign w:val="bottom"/>
          </w:tcPr>
          <w:p>
            <w:pPr>
              <w:ind w:left="3580"/>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9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2040" w:type="dxa"/>
            <w:vAlign w:val="bottom"/>
            <w:tcBorders>
              <w:top w:val="single" w:sz="8" w:color="auto"/>
            </w:tcBorders>
            <w:shd w:val="clear" w:color="auto" w:fill="808080"/>
          </w:tcPr>
          <w:p>
            <w:pPr>
              <w:spacing w:after="0" w:line="20" w:lineRule="exact"/>
              <w:rPr>
                <w:sz w:val="1"/>
                <w:szCs w:val="1"/>
                <w:color w:val="auto"/>
              </w:rPr>
            </w:pPr>
          </w:p>
        </w:tc>
        <w:tc>
          <w:tcPr>
            <w:tcW w:w="93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60" w:firstLine="656"/>
        <w:spacing w:after="0" w:line="342"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2016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August 8, 2016</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August 8, 2016</w:t>
      </w: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2019-12-29T09:46:27Z</dcterms:created>
  <dcterms:modified xsi:type="dcterms:W3CDTF">2019-12-29T09:46:27Z</dcterms:modified>
</cp:coreProperties>
</file>