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 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9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For the quarterly period ended September 30, 2017</w:t>
      </w:r>
    </w:p>
    <w:p>
      <w:pPr>
        <w:spacing w:after="0" w:line="198" w:lineRule="exact"/>
        <w:rPr>
          <w:sz w:val="24"/>
          <w:szCs w:val="24"/>
          <w:color w:val="auto"/>
        </w:rPr>
      </w:pPr>
    </w:p>
    <w:p>
      <w:pPr>
        <w:ind w:left="600" w:right="2120" w:hanging="565"/>
        <w:spacing w:after="0" w:line="496" w:lineRule="auto"/>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14605</wp:posOffset>
            </wp:positionV>
            <wp:extent cx="203263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28" w:right="239" w:bottom="1440" w:gutter="0" w:footer="0" w:header="0"/>
        </w:sectPr>
      </w:pPr>
    </w:p>
    <w:p>
      <w:pPr>
        <w:spacing w:after="0" w:line="151"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VIRGINIA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54-1162807</w:t>
      </w:r>
    </w:p>
    <w:p>
      <w:pPr>
        <w:spacing w:after="0" w:line="89" w:lineRule="exact"/>
        <w:rPr>
          <w:sz w:val="24"/>
          <w:szCs w:val="24"/>
          <w:color w:val="auto"/>
        </w:rPr>
      </w:pPr>
    </w:p>
    <w:p>
      <w:pPr>
        <w:sectPr>
          <w:pgSz w:w="11900" w:h="16838" w:orient="portrait"/>
          <w:cols w:equalWidth="0" w:num="2">
            <w:col w:w="7540" w:space="720"/>
            <w:col w:w="3160"/>
          </w:cols>
          <w:pgMar w:left="240" w:top="528" w:right="239" w:bottom="1440" w:gutter="0" w:footer="0" w:header="0"/>
          <w:type w:val="continuous"/>
        </w:sectPr>
      </w:pPr>
    </w:p>
    <w:p>
      <w:pPr>
        <w:ind w:lef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528" w:right="239" w:bottom="1440" w:gutter="0" w:footer="0" w:header="0"/>
          <w:type w:val="continuous"/>
        </w:sectPr>
      </w:pPr>
    </w:p>
    <w:p>
      <w:pPr>
        <w:spacing w:after="0" w:line="64"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500 Shentel Way, Edinburg, Virginia</w:t>
      </w:r>
    </w:p>
    <w:p>
      <w:pPr>
        <w:spacing w:after="0" w:line="4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22824</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20" w:space="60"/>
            <w:col w:w="4640"/>
          </w:cols>
          <w:pgMar w:left="240" w:top="528" w:right="2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(540) 984-4141</w:t>
      </w:r>
    </w:p>
    <w:p>
      <w:pPr>
        <w:sectPr>
          <w:pgSz w:w="11900" w:h="16838" w:orient="portrait"/>
          <w:cols w:equalWidth="0" w:num="1">
            <w:col w:w="11420"/>
          </w:cols>
          <w:pgMar w:left="240" w:top="528" w:right="23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28" w:right="239" w:bottom="1440" w:gutter="0" w:footer="0" w:header="0"/>
          <w:type w:val="continuous"/>
        </w:sectPr>
      </w:pPr>
    </w:p>
    <w:p>
      <w:pPr>
        <w:spacing w:after="0" w:line="9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3">
            <w:col w:w="2840" w:space="720"/>
            <w:col w:w="2160" w:space="720"/>
            <w:col w:w="4980"/>
          </w:cols>
          <w:pgMar w:left="240" w:top="528" w:right="23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Smaller reporting company</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Emerging growth company</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2840" w:space="720"/>
            <w:col w:w="7860"/>
          </w:cols>
          <w:pgMar w:left="240" w:top="528" w:right="239" w:bottom="1440" w:gutter="0" w:footer="0" w:header="0"/>
          <w:type w:val="continuous"/>
        </w:sectPr>
      </w:pPr>
    </w:p>
    <w:p>
      <w:pPr>
        <w:spacing w:after="0" w:line="9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October 27, 2017 was 49,264,693.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type w:val="continuous"/>
        </w:sectPr>
      </w:pPr>
    </w:p>
    <w:bookmarkStart w:id="1" w:name="page2"/>
    <w:bookmarkEnd w:id="1"/>
    <w:p>
      <w:pPr>
        <w:jc w:val="center"/>
        <w:ind w:right="-199"/>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INDEX</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7"/>
          </w:tcPr>
          <w:p>
            <w:pPr>
              <w:jc w:val="center"/>
              <w:ind w:right="100"/>
              <w:spacing w:after="0"/>
              <w:rPr>
                <w:sz w:val="20"/>
                <w:szCs w:val="20"/>
                <w:color w:val="auto"/>
              </w:rPr>
            </w:pPr>
            <w:r>
              <w:rPr>
                <w:rFonts w:ascii="Arial" w:cs="Arial" w:eastAsia="Arial" w:hAnsi="Arial"/>
                <w:sz w:val="18"/>
                <w:szCs w:val="18"/>
                <w:color w:val="auto"/>
                <w:w w:val="85"/>
              </w:rPr>
              <w:t>Page</w:t>
            </w:r>
          </w:p>
        </w:tc>
      </w:tr>
      <w:tr>
        <w:trPr>
          <w:trHeight w:val="230"/>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9"/>
          </w:tcPr>
          <w:p>
            <w:pPr>
              <w:jc w:val="center"/>
              <w:ind w:left="90"/>
              <w:spacing w:after="0"/>
              <w:rPr>
                <w:sz w:val="20"/>
                <w:szCs w:val="20"/>
                <w:color w:val="auto"/>
              </w:rPr>
            </w:pPr>
            <w:r>
              <w:rPr>
                <w:rFonts w:ascii="Arial" w:cs="Arial" w:eastAsia="Arial" w:hAnsi="Arial"/>
                <w:sz w:val="18"/>
                <w:szCs w:val="18"/>
                <w:color w:val="auto"/>
                <w:w w:val="90"/>
              </w:rPr>
              <w:t>Numbers</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PART I.</w:t>
            </w:r>
          </w:p>
        </w:tc>
        <w:tc>
          <w:tcPr>
            <w:tcW w:w="9500" w:type="dxa"/>
            <w:vAlign w:val="bottom"/>
            <w:gridSpan w:val="16"/>
          </w:tcPr>
          <w:p>
            <w:pPr>
              <w:spacing w:after="0"/>
              <w:rPr>
                <w:sz w:val="20"/>
                <w:szCs w:val="20"/>
                <w:color w:val="auto"/>
              </w:rPr>
            </w:pPr>
            <w:r>
              <w:rPr>
                <w:rFonts w:ascii="Arial" w:cs="Arial" w:eastAsia="Arial" w:hAnsi="Arial"/>
                <w:sz w:val="18"/>
                <w:szCs w:val="18"/>
                <w:color w:val="auto"/>
              </w:rPr>
              <w:t>FINANCIAL INFORMATION</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0"/>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0"/>
        </w:trPr>
        <w:tc>
          <w:tcPr>
            <w:tcW w:w="800" w:type="dxa"/>
            <w:vAlign w:val="bottom"/>
          </w:tcPr>
          <w:p>
            <w:pPr>
              <w:spacing w:after="0"/>
              <w:rPr>
                <w:sz w:val="24"/>
                <w:szCs w:val="24"/>
                <w:color w:val="auto"/>
              </w:rPr>
            </w:pPr>
          </w:p>
        </w:tc>
        <w:tc>
          <w:tcPr>
            <w:tcW w:w="73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September 30, 2017 and December 31, 2016</w:t>
              </w:r>
            </w:hyperlink>
          </w:p>
        </w:tc>
        <w:tc>
          <w:tcPr>
            <w:tcW w:w="2120" w:type="dxa"/>
            <w:vAlign w:val="bottom"/>
            <w:gridSpan w:val="4"/>
          </w:tcPr>
          <w:p>
            <w:pPr>
              <w:spacing w:after="0"/>
              <w:rPr>
                <w:sz w:val="24"/>
                <w:szCs w:val="24"/>
                <w:color w:val="auto"/>
              </w:rPr>
            </w:pPr>
          </w:p>
        </w:tc>
        <w:tc>
          <w:tcPr>
            <w:tcW w:w="3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80" w:type="dxa"/>
            <w:vAlign w:val="bottom"/>
          </w:tcPr>
          <w:p>
            <w:pPr>
              <w:spacing w:after="0"/>
              <w:rPr>
                <w:sz w:val="24"/>
                <w:szCs w:val="24"/>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80" w:type="dxa"/>
            <w:vAlign w:val="bottom"/>
          </w:tcPr>
          <w:p>
            <w:pPr>
              <w:spacing w:after="0"/>
              <w:rPr>
                <w:sz w:val="24"/>
                <w:szCs w:val="24"/>
                <w:color w:val="auto"/>
              </w:rPr>
            </w:pPr>
          </w:p>
        </w:tc>
      </w:tr>
      <w:tr>
        <w:trPr>
          <w:trHeight w:val="520"/>
        </w:trPr>
        <w:tc>
          <w:tcPr>
            <w:tcW w:w="800" w:type="dxa"/>
            <w:vAlign w:val="bottom"/>
          </w:tcPr>
          <w:p>
            <w:pPr>
              <w:spacing w:after="0"/>
              <w:rPr>
                <w:sz w:val="24"/>
                <w:szCs w:val="24"/>
                <w:color w:val="auto"/>
              </w:rPr>
            </w:pPr>
          </w:p>
        </w:tc>
        <w:tc>
          <w:tcPr>
            <w:tcW w:w="9500" w:type="dxa"/>
            <w:vAlign w:val="bottom"/>
            <w:gridSpan w:val="16"/>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Consolidated Statements of Operations and Comprehensive Income (Loss) for the Three and Nine Months</w:t>
              </w:r>
            </w:hyperlink>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9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September 30, 2017 and 2016</w:t>
              </w:r>
            </w:hyperlink>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cente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9500" w:type="dxa"/>
            <w:vAlign w:val="bottom"/>
            <w:gridSpan w:val="16"/>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Statements of Shareholders’ Equity for the Nine Months Ended September 30, 2017 and the</w:t>
              </w:r>
            </w:hyperlink>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92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Year Ended December 31, 2016</w:t>
              </w:r>
            </w:hyperlink>
          </w:p>
        </w:tc>
        <w:tc>
          <w:tcPr>
            <w:tcW w:w="2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center"/>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9500" w:type="dxa"/>
            <w:vAlign w:val="bottom"/>
            <w:gridSpan w:val="16"/>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Unaudited Condensed Consolidated Statements of Cash Flows for the Nine Months Ended September 30, 2017 and 2016</w:t>
              </w:r>
            </w:hyperlink>
          </w:p>
        </w:tc>
        <w:tc>
          <w:tcPr>
            <w:tcW w:w="480" w:type="dxa"/>
            <w:vAlign w:val="bottom"/>
            <w:gridSpan w:val="4"/>
          </w:tcPr>
          <w:p>
            <w:pPr>
              <w:jc w:val="right"/>
              <w:ind w:right="8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200" w:type="dxa"/>
            <w:vAlign w:val="bottom"/>
            <w:gridSpan w:val="3"/>
          </w:tcPr>
          <w:p>
            <w:pPr>
              <w:ind w:lef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48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3920" w:type="dxa"/>
            <w:vAlign w:val="bottom"/>
            <w:gridSpan w:val="3"/>
          </w:tcPr>
          <w:p>
            <w:pPr>
              <w:spacing w:after="0"/>
              <w:rPr>
                <w:sz w:val="24"/>
                <w:szCs w:val="24"/>
                <w:color w:val="auto"/>
              </w:rPr>
            </w:pPr>
          </w:p>
        </w:tc>
        <w:tc>
          <w:tcPr>
            <w:tcW w:w="780" w:type="dxa"/>
            <w:vAlign w:val="bottom"/>
            <w:gridSpan w:val="3"/>
          </w:tcPr>
          <w:p>
            <w:pPr>
              <w:spacing w:after="0"/>
              <w:rPr>
                <w:sz w:val="24"/>
                <w:szCs w:val="24"/>
                <w:color w:val="auto"/>
              </w:rPr>
            </w:pPr>
          </w:p>
        </w:tc>
        <w:tc>
          <w:tcPr>
            <w:tcW w:w="3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80" w:type="dxa"/>
            <w:vAlign w:val="bottom"/>
          </w:tcPr>
          <w:p>
            <w:pPr>
              <w:spacing w:after="0"/>
              <w:rPr>
                <w:sz w:val="24"/>
                <w:szCs w:val="24"/>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480" w:type="dxa"/>
            <w:vAlign w:val="bottom"/>
            <w:gridSpan w:val="4"/>
          </w:tcPr>
          <w:p>
            <w:pPr>
              <w:jc w:val="right"/>
              <w:ind w:right="8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200" w:type="dxa"/>
            <w:vAlign w:val="bottom"/>
            <w:gridSpan w:val="3"/>
          </w:tcPr>
          <w:p>
            <w:pPr>
              <w:ind w:left="20"/>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tcBorders>
            <w:gridSpan w:val="8"/>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04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3">
              <w:r>
                <w:rPr>
                  <w:rFonts w:ascii="Arial" w:cs="Arial" w:eastAsia="Arial" w:hAnsi="Arial"/>
                  <w:sz w:val="15"/>
                  <w:szCs w:val="15"/>
                  <w:color w:val="0000EE"/>
                  <w:w w:val="71"/>
                </w:rPr>
                <w:t>43</w:t>
              </w:r>
            </w:hyperlink>
          </w:p>
        </w:tc>
        <w:tc>
          <w:tcPr>
            <w:tcW w:w="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Controls and Procedures</w:t>
              </w:r>
            </w:hyperlink>
          </w:p>
        </w:tc>
        <w:tc>
          <w:tcPr>
            <w:tcW w:w="2540" w:type="dxa"/>
            <w:vAlign w:val="bottom"/>
            <w:gridSpan w:val="3"/>
          </w:tcPr>
          <w:p>
            <w:pPr>
              <w:spacing w:after="0"/>
              <w:rPr>
                <w:sz w:val="24"/>
                <w:szCs w:val="24"/>
                <w:color w:val="auto"/>
              </w:rPr>
            </w:pPr>
          </w:p>
        </w:tc>
        <w:tc>
          <w:tcPr>
            <w:tcW w:w="518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44</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61"/>
        </w:trPr>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9500" w:type="dxa"/>
            <w:vAlign w:val="bottom"/>
            <w:gridSpan w:val="16"/>
          </w:tcPr>
          <w:p>
            <w:pPr>
              <w:spacing w:after="0"/>
              <w:rPr>
                <w:sz w:val="20"/>
                <w:szCs w:val="20"/>
                <w:color w:val="auto"/>
              </w:rPr>
            </w:pPr>
            <w:r>
              <w:rPr>
                <w:rFonts w:ascii="Arial" w:cs="Arial" w:eastAsia="Arial" w:hAnsi="Arial"/>
                <w:sz w:val="18"/>
                <w:szCs w:val="18"/>
                <w:color w:val="auto"/>
              </w:rPr>
              <w:t>OTHER INFORMATION</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Risk Factors</w:t>
              </w:r>
            </w:hyperlink>
          </w:p>
        </w:tc>
        <w:tc>
          <w:tcPr>
            <w:tcW w:w="8580" w:type="dxa"/>
            <w:vAlign w:val="bottom"/>
            <w:gridSpan w:val="13"/>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6">
              <w:r>
                <w:rPr>
                  <w:rFonts w:ascii="Arial" w:cs="Arial" w:eastAsia="Arial" w:hAnsi="Arial"/>
                  <w:sz w:val="15"/>
                  <w:szCs w:val="15"/>
                  <w:color w:val="0000EE"/>
                  <w:w w:val="71"/>
                </w:rPr>
                <w:t>46</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9"/>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Unregistered Sales of Equity Securities and Use of Proceeds</w:t>
              </w:r>
            </w:hyperlink>
          </w:p>
        </w:tc>
        <w:tc>
          <w:tcPr>
            <w:tcW w:w="5140" w:type="dxa"/>
            <w:vAlign w:val="bottom"/>
            <w:gridSpan w:val="7"/>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6">
              <w:r>
                <w:rPr>
                  <w:rFonts w:ascii="Arial" w:cs="Arial" w:eastAsia="Arial" w:hAnsi="Arial"/>
                  <w:sz w:val="15"/>
                  <w:szCs w:val="15"/>
                  <w:color w:val="0000EE"/>
                  <w:w w:val="71"/>
                </w:rPr>
                <w:t>46</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5140" w:type="dxa"/>
            <w:vAlign w:val="bottom"/>
            <w:gridSpan w:val="7"/>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7">
              <w:r>
                <w:rPr>
                  <w:rFonts w:ascii="Arial" w:cs="Arial" w:eastAsia="Arial" w:hAnsi="Arial"/>
                  <w:sz w:val="15"/>
                  <w:szCs w:val="15"/>
                  <w:color w:val="0000EE"/>
                  <w:w w:val="71"/>
                </w:rPr>
                <w:t>47</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50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9500" w:type="dxa"/>
            <w:vAlign w:val="bottom"/>
            <w:gridSpan w:val="1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9">
              <w:r>
                <w:rPr>
                  <w:rFonts w:ascii="Arial" w:cs="Arial" w:eastAsia="Arial" w:hAnsi="Arial"/>
                  <w:sz w:val="15"/>
                  <w:szCs w:val="15"/>
                  <w:color w:val="0000EE"/>
                  <w:w w:val="71"/>
                </w:rPr>
                <w:t>49</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50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800" w:type="dxa"/>
            <w:vAlign w:val="bottom"/>
          </w:tcPr>
          <w:p>
            <w:pPr>
              <w:spacing w:after="0"/>
              <w:rPr>
                <w:sz w:val="24"/>
                <w:szCs w:val="24"/>
                <w:color w:val="auto"/>
              </w:rPr>
            </w:pPr>
          </w:p>
        </w:tc>
        <w:tc>
          <w:tcPr>
            <w:tcW w:w="1000" w:type="dxa"/>
            <w:vAlign w:val="bottom"/>
            <w:gridSpan w:val="4"/>
          </w:tcPr>
          <w:p>
            <w:pPr>
              <w:spacing w:after="0"/>
              <w:rPr>
                <w:rFonts w:ascii="Arial" w:cs="Arial" w:eastAsia="Arial" w:hAnsi="Arial"/>
                <w:sz w:val="18"/>
                <w:szCs w:val="18"/>
                <w:color w:val="0000EE"/>
                <w:w w:val="95"/>
              </w:rPr>
            </w:pPr>
            <w:hyperlink w:anchor="page48">
              <w:r>
                <w:rPr>
                  <w:rFonts w:ascii="Arial" w:cs="Arial" w:eastAsia="Arial" w:hAnsi="Arial"/>
                  <w:sz w:val="18"/>
                  <w:szCs w:val="18"/>
                  <w:color w:val="0000EE"/>
                  <w:w w:val="95"/>
                </w:rPr>
                <w:t>Exhibit Index</w:t>
              </w:r>
            </w:hyperlink>
          </w:p>
        </w:tc>
        <w:tc>
          <w:tcPr>
            <w:tcW w:w="8500" w:type="dxa"/>
            <w:vAlign w:val="bottom"/>
            <w:gridSpan w:val="12"/>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8">
              <w:r>
                <w:rPr>
                  <w:rFonts w:ascii="Arial" w:cs="Arial" w:eastAsia="Arial" w:hAnsi="Arial"/>
                  <w:sz w:val="15"/>
                  <w:szCs w:val="15"/>
                  <w:color w:val="0000EE"/>
                  <w:w w:val="71"/>
                </w:rPr>
                <w:t>48</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140"/>
          </w:cols>
          <w:pgMar w:left="280" w:top="584" w:right="47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8360" w:type="dxa"/>
            <w:vAlign w:val="bottom"/>
            <w:gridSpan w:val="2"/>
            <w:vMerge w:val="restart"/>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7"/>
        </w:trPr>
        <w:tc>
          <w:tcPr>
            <w:tcW w:w="8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75,467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36,193</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 of $479 and $449, respectively</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64,396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69,789</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Inventory, net</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39,043</w:t>
            </w:r>
          </w:p>
        </w:tc>
        <w:tc>
          <w:tcPr>
            <w:tcW w:w="0" w:type="dxa"/>
            <w:vAlign w:val="bottom"/>
          </w:tcPr>
          <w:p>
            <w:pPr>
              <w:spacing w:after="0"/>
              <w:rPr>
                <w:sz w:val="1"/>
                <w:szCs w:val="1"/>
                <w:color w:val="auto"/>
              </w:rPr>
            </w:pPr>
          </w:p>
        </w:tc>
      </w:tr>
      <w:tr>
        <w:trPr>
          <w:trHeight w:val="304"/>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18,226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16,440</w:t>
            </w:r>
          </w:p>
        </w:tc>
        <w:tc>
          <w:tcPr>
            <w:tcW w:w="0" w:type="dxa"/>
            <w:vAlign w:val="bottom"/>
          </w:tcPr>
          <w:p>
            <w:pPr>
              <w:spacing w:after="0"/>
              <w:rPr>
                <w:sz w:val="1"/>
                <w:szCs w:val="1"/>
                <w:color w:val="auto"/>
              </w:rPr>
            </w:pPr>
          </w:p>
        </w:tc>
      </w:tr>
      <w:tr>
        <w:trPr>
          <w:trHeight w:val="277"/>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173,217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161,465</w:t>
            </w:r>
          </w:p>
        </w:tc>
        <w:tc>
          <w:tcPr>
            <w:tcW w:w="0" w:type="dxa"/>
            <w:vAlign w:val="bottom"/>
          </w:tcPr>
          <w:p>
            <w:pPr>
              <w:spacing w:after="0"/>
              <w:rPr>
                <w:sz w:val="1"/>
                <w:szCs w:val="1"/>
                <w:color w:val="auto"/>
              </w:rPr>
            </w:pPr>
          </w:p>
        </w:tc>
      </w:tr>
      <w:tr>
        <w:trPr>
          <w:trHeight w:val="54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Investments, including $3,271 and $2,907 carried at fair value</w:t>
            </w:r>
          </w:p>
        </w:tc>
        <w:tc>
          <w:tcPr>
            <w:tcW w:w="16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10,276</w:t>
            </w:r>
          </w:p>
        </w:tc>
        <w:tc>
          <w:tcPr>
            <w:tcW w:w="0" w:type="dxa"/>
            <w:vAlign w:val="bottom"/>
          </w:tcPr>
          <w:p>
            <w:pPr>
              <w:spacing w:after="0"/>
              <w:rPr>
                <w:sz w:val="1"/>
                <w:szCs w:val="1"/>
                <w:color w:val="auto"/>
              </w:rPr>
            </w:pPr>
          </w:p>
        </w:tc>
      </w:tr>
      <w:tr>
        <w:trPr>
          <w:trHeight w:val="56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683,355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698,122</w:t>
            </w:r>
          </w:p>
        </w:tc>
        <w:tc>
          <w:tcPr>
            <w:tcW w:w="0" w:type="dxa"/>
            <w:vAlign w:val="bottom"/>
          </w:tcPr>
          <w:p>
            <w:pPr>
              <w:spacing w:after="0"/>
              <w:rPr>
                <w:sz w:val="1"/>
                <w:szCs w:val="1"/>
                <w:color w:val="auto"/>
              </w:rPr>
            </w:pPr>
          </w:p>
        </w:tc>
      </w:tr>
      <w:tr>
        <w:trPr>
          <w:trHeight w:val="59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421,672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454,532</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146,497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145,256</w:t>
            </w:r>
          </w:p>
        </w:tc>
        <w:tc>
          <w:tcPr>
            <w:tcW w:w="0" w:type="dxa"/>
            <w:vAlign w:val="bottom"/>
          </w:tcPr>
          <w:p>
            <w:pPr>
              <w:spacing w:after="0"/>
              <w:rPr>
                <w:sz w:val="1"/>
                <w:szCs w:val="1"/>
                <w:color w:val="auto"/>
              </w:rPr>
            </w:pPr>
          </w:p>
        </w:tc>
      </w:tr>
      <w:tr>
        <w:trPr>
          <w:trHeight w:val="304"/>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charges and other assets, net</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11,012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14,756</w:t>
            </w:r>
          </w:p>
        </w:tc>
        <w:tc>
          <w:tcPr>
            <w:tcW w:w="0" w:type="dxa"/>
            <w:vAlign w:val="bottom"/>
          </w:tcPr>
          <w:p>
            <w:pPr>
              <w:spacing w:after="0"/>
              <w:rPr>
                <w:sz w:val="1"/>
                <w:szCs w:val="1"/>
                <w:color w:val="auto"/>
              </w:rPr>
            </w:pPr>
          </w:p>
        </w:tc>
      </w:tr>
      <w:tr>
        <w:trPr>
          <w:trHeight w:val="264"/>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1,447,072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1,484,407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8360" w:type="dxa"/>
            <w:vAlign w:val="bottom"/>
            <w:gridSpan w:val="2"/>
            <w:vMerge w:val="restart"/>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7"/>
        </w:trPr>
        <w:tc>
          <w:tcPr>
            <w:tcW w:w="8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Current maturities of long-term debt, net of unamortized loan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54,316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32,041</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31,462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72,810</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Advanced billings and customer deposits</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21,109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20,427</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304"/>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liabilities and other</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15,277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77"/>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129,537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164,263</w:t>
            </w:r>
          </w:p>
        </w:tc>
        <w:tc>
          <w:tcPr>
            <w:tcW w:w="0" w:type="dxa"/>
            <w:vAlign w:val="bottom"/>
          </w:tcPr>
          <w:p>
            <w:pPr>
              <w:spacing w:after="0"/>
              <w:rPr>
                <w:sz w:val="1"/>
                <w:szCs w:val="1"/>
                <w:color w:val="auto"/>
              </w:rPr>
            </w:pPr>
          </w:p>
        </w:tc>
      </w:tr>
      <w:tr>
        <w:trPr>
          <w:trHeight w:val="601"/>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778,686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797,224</w:t>
            </w:r>
          </w:p>
        </w:tc>
        <w:tc>
          <w:tcPr>
            <w:tcW w:w="0" w:type="dxa"/>
            <w:vAlign w:val="bottom"/>
          </w:tcPr>
          <w:p>
            <w:pPr>
              <w:spacing w:after="0"/>
              <w:rPr>
                <w:sz w:val="1"/>
                <w:szCs w:val="1"/>
                <w:color w:val="auto"/>
              </w:rPr>
            </w:pPr>
          </w:p>
        </w:tc>
      </w:tr>
      <w:tr>
        <w:trPr>
          <w:trHeight w:val="56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142,056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151,837</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lease payable</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21,089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18,042</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19,240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15,666</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Retirement plan obligations</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16,939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17,738</w:t>
            </w:r>
          </w:p>
        </w:tc>
        <w:tc>
          <w:tcPr>
            <w:tcW w:w="0" w:type="dxa"/>
            <w:vAlign w:val="bottom"/>
          </w:tcPr>
          <w:p>
            <w:pPr>
              <w:spacing w:after="0"/>
              <w:rPr>
                <w:sz w:val="1"/>
                <w:szCs w:val="1"/>
                <w:color w:val="auto"/>
              </w:rPr>
            </w:pPr>
          </w:p>
        </w:tc>
      </w:tr>
      <w:tr>
        <w:trPr>
          <w:trHeight w:val="304"/>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40,180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23,743</w:t>
            </w:r>
          </w:p>
        </w:tc>
        <w:tc>
          <w:tcPr>
            <w:tcW w:w="0" w:type="dxa"/>
            <w:vAlign w:val="bottom"/>
          </w:tcPr>
          <w:p>
            <w:pPr>
              <w:spacing w:after="0"/>
              <w:rPr>
                <w:sz w:val="1"/>
                <w:szCs w:val="1"/>
                <w:color w:val="auto"/>
              </w:rPr>
            </w:pPr>
          </w:p>
        </w:tc>
      </w:tr>
      <w:tr>
        <w:trPr>
          <w:trHeight w:val="277"/>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other long-term liabilities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239,504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227,026</w:t>
            </w:r>
          </w:p>
        </w:tc>
        <w:tc>
          <w:tcPr>
            <w:tcW w:w="0" w:type="dxa"/>
            <w:vAlign w:val="bottom"/>
          </w:tcPr>
          <w:p>
            <w:pPr>
              <w:spacing w:after="0"/>
              <w:rPr>
                <w:sz w:val="1"/>
                <w:szCs w:val="1"/>
                <w:color w:val="auto"/>
              </w:rPr>
            </w:pPr>
          </w:p>
        </w:tc>
      </w:tr>
      <w:tr>
        <w:trPr>
          <w:trHeight w:val="56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43,908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45,482</w:t>
            </w:r>
          </w:p>
        </w:tc>
        <w:tc>
          <w:tcPr>
            <w:tcW w:w="0" w:type="dxa"/>
            <w:vAlign w:val="bottom"/>
          </w:tcPr>
          <w:p>
            <w:pPr>
              <w:spacing w:after="0"/>
              <w:rPr>
                <w:sz w:val="1"/>
                <w:szCs w:val="1"/>
                <w:color w:val="auto"/>
              </w:rPr>
            </w:pPr>
          </w:p>
        </w:tc>
      </w:tr>
      <w:tr>
        <w:trPr>
          <w:trHeight w:val="27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249,419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243,624</w:t>
            </w:r>
          </w:p>
        </w:tc>
        <w:tc>
          <w:tcPr>
            <w:tcW w:w="0" w:type="dxa"/>
            <w:vAlign w:val="bottom"/>
          </w:tcPr>
          <w:p>
            <w:pPr>
              <w:spacing w:after="0"/>
              <w:rPr>
                <w:sz w:val="1"/>
                <w:szCs w:val="1"/>
                <w:color w:val="auto"/>
              </w:rPr>
            </w:pPr>
          </w:p>
        </w:tc>
      </w:tr>
      <w:tr>
        <w:trPr>
          <w:trHeight w:val="304"/>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 (loss), net of taxes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277"/>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299,345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295,894</w:t>
            </w:r>
          </w:p>
        </w:tc>
        <w:tc>
          <w:tcPr>
            <w:tcW w:w="0" w:type="dxa"/>
            <w:vAlign w:val="bottom"/>
          </w:tcPr>
          <w:p>
            <w:pPr>
              <w:spacing w:after="0"/>
              <w:rPr>
                <w:sz w:val="1"/>
                <w:szCs w:val="1"/>
                <w:color w:val="auto"/>
              </w:rPr>
            </w:pPr>
          </w:p>
        </w:tc>
      </w:tr>
      <w:tr>
        <w:trPr>
          <w:trHeight w:val="324"/>
        </w:trPr>
        <w:tc>
          <w:tcPr>
            <w:tcW w:w="4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1,447,072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1,484,407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360" w:type="dxa"/>
            <w:vAlign w:val="bottom"/>
            <w:gridSpan w:val="2"/>
          </w:tcPr>
          <w:p>
            <w:pPr>
              <w:ind w:left="56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8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5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34"/>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4"/>
        </w:trPr>
        <w:tc>
          <w:tcPr>
            <w:tcW w:w="5580" w:type="dxa"/>
            <w:vAlign w:val="bottom"/>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151,782</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156,836</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458,920</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379,716</w:t>
            </w:r>
          </w:p>
        </w:tc>
        <w:tc>
          <w:tcPr>
            <w:tcW w:w="0" w:type="dxa"/>
            <w:vAlign w:val="bottom"/>
          </w:tcPr>
          <w:p>
            <w:pPr>
              <w:spacing w:after="0"/>
              <w:rPr>
                <w:sz w:val="1"/>
                <w:szCs w:val="1"/>
                <w:color w:val="auto"/>
              </w:rPr>
            </w:pPr>
          </w:p>
        </w:tc>
      </w:tr>
      <w:tr>
        <w:trPr>
          <w:trHeight w:val="540"/>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140"/>
              <w:spacing w:after="0"/>
              <w:rPr>
                <w:sz w:val="20"/>
                <w:szCs w:val="20"/>
                <w:color w:val="auto"/>
              </w:rPr>
            </w:pPr>
            <w:r>
              <w:rPr>
                <w:rFonts w:ascii="Arial" w:cs="Arial" w:eastAsia="Arial" w:hAnsi="Arial"/>
                <w:sz w:val="18"/>
                <w:szCs w:val="18"/>
                <w:color w:val="auto"/>
                <w:w w:val="96"/>
              </w:rPr>
              <w:t>Cost of goods and services, exclusive of depreciation and amortization</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shown separately below</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55,834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58,317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162,976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140,354</w:t>
            </w:r>
          </w:p>
        </w:tc>
        <w:tc>
          <w:tcPr>
            <w:tcW w:w="0" w:type="dxa"/>
            <w:vAlign w:val="bottom"/>
          </w:tcPr>
          <w:p>
            <w:pPr>
              <w:spacing w:after="0"/>
              <w:rPr>
                <w:sz w:val="1"/>
                <w:szCs w:val="1"/>
                <w:color w:val="auto"/>
              </w:rPr>
            </w:pPr>
          </w:p>
        </w:tc>
      </w:tr>
      <w:tr>
        <w:trPr>
          <w:trHeight w:val="256"/>
        </w:trPr>
        <w:tc>
          <w:tcPr>
            <w:tcW w:w="5580" w:type="dxa"/>
            <w:vAlign w:val="bottom"/>
          </w:tcPr>
          <w:p>
            <w:pPr>
              <w:ind w:left="140"/>
              <w:spacing w:after="0"/>
              <w:rPr>
                <w:sz w:val="20"/>
                <w:szCs w:val="20"/>
                <w:color w:val="auto"/>
              </w:rPr>
            </w:pPr>
            <w:r>
              <w:rPr>
                <w:rFonts w:ascii="Arial" w:cs="Arial" w:eastAsia="Arial" w:hAnsi="Arial"/>
                <w:sz w:val="18"/>
                <w:szCs w:val="18"/>
                <w:color w:val="auto"/>
              </w:rPr>
              <w:t>Selling, general and administrative, exclusive of depreciation and</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amortization shown separately below</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42,199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40,369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125,374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96,263</w:t>
            </w:r>
          </w:p>
        </w:tc>
        <w:tc>
          <w:tcPr>
            <w:tcW w:w="0" w:type="dxa"/>
            <w:vAlign w:val="bottom"/>
          </w:tcPr>
          <w:p>
            <w:pPr>
              <w:spacing w:after="0"/>
              <w:rPr>
                <w:sz w:val="1"/>
                <w:szCs w:val="1"/>
                <w:color w:val="auto"/>
              </w:rPr>
            </w:pPr>
          </w:p>
        </w:tc>
      </w:tr>
      <w:tr>
        <w:trPr>
          <w:trHeight w:val="270"/>
        </w:trPr>
        <w:tc>
          <w:tcPr>
            <w:tcW w:w="5580" w:type="dxa"/>
            <w:vAlign w:val="bottom"/>
          </w:tcPr>
          <w:p>
            <w:pPr>
              <w:ind w:left="140"/>
              <w:spacing w:after="0"/>
              <w:rPr>
                <w:sz w:val="20"/>
                <w:szCs w:val="20"/>
                <w:color w:val="auto"/>
              </w:rPr>
            </w:pPr>
            <w:r>
              <w:rPr>
                <w:rFonts w:ascii="Arial" w:cs="Arial" w:eastAsia="Arial" w:hAnsi="Arial"/>
                <w:sz w:val="18"/>
                <w:szCs w:val="18"/>
                <w:color w:val="auto"/>
              </w:rPr>
              <w:t>Integration and acquisition expenses</w:t>
            </w: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15,272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9,873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35,801</w:t>
            </w:r>
          </w:p>
        </w:tc>
        <w:tc>
          <w:tcPr>
            <w:tcW w:w="0" w:type="dxa"/>
            <w:vAlign w:val="bottom"/>
          </w:tcPr>
          <w:p>
            <w:pPr>
              <w:spacing w:after="0"/>
              <w:rPr>
                <w:sz w:val="1"/>
                <w:szCs w:val="1"/>
                <w:color w:val="auto"/>
              </w:rPr>
            </w:pPr>
          </w:p>
        </w:tc>
      </w:tr>
      <w:tr>
        <w:trPr>
          <w:trHeight w:val="304"/>
        </w:trPr>
        <w:tc>
          <w:tcPr>
            <w:tcW w:w="55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42,568</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46,807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132,297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96,961</w:t>
            </w:r>
          </w:p>
        </w:tc>
        <w:tc>
          <w:tcPr>
            <w:tcW w:w="0" w:type="dxa"/>
            <w:vAlign w:val="bottom"/>
          </w:tcPr>
          <w:p>
            <w:pPr>
              <w:spacing w:after="0"/>
              <w:rPr>
                <w:sz w:val="1"/>
                <w:szCs w:val="1"/>
                <w:color w:val="auto"/>
              </w:rPr>
            </w:pPr>
          </w:p>
        </w:tc>
      </w:tr>
      <w:tr>
        <w:trPr>
          <w:trHeight w:val="277"/>
        </w:trPr>
        <w:tc>
          <w:tcPr>
            <w:tcW w:w="5580" w:type="dxa"/>
            <w:vAlign w:val="bottom"/>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142,307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160,765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430,520</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369,379</w:t>
            </w:r>
          </w:p>
        </w:tc>
        <w:tc>
          <w:tcPr>
            <w:tcW w:w="0" w:type="dxa"/>
            <w:vAlign w:val="bottom"/>
          </w:tcPr>
          <w:p>
            <w:pPr>
              <w:spacing w:after="0"/>
              <w:rPr>
                <w:sz w:val="1"/>
                <w:szCs w:val="1"/>
                <w:color w:val="auto"/>
              </w:rPr>
            </w:pPr>
          </w:p>
        </w:tc>
      </w:tr>
      <w:tr>
        <w:trPr>
          <w:trHeight w:val="277"/>
        </w:trPr>
        <w:tc>
          <w:tcPr>
            <w:tcW w:w="5580" w:type="dxa"/>
            <w:vAlign w:val="bottom"/>
          </w:tcPr>
          <w:p>
            <w:pPr>
              <w:ind w:left="46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28,400</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r>
        <w:trPr>
          <w:trHeight w:val="540"/>
        </w:trPr>
        <w:tc>
          <w:tcPr>
            <w:tcW w:w="558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(9,823)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(28,312)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(16,369)</w:t>
            </w:r>
          </w:p>
        </w:tc>
        <w:tc>
          <w:tcPr>
            <w:tcW w:w="0" w:type="dxa"/>
            <w:vAlign w:val="bottom"/>
          </w:tcPr>
          <w:p>
            <w:pPr>
              <w:spacing w:after="0"/>
              <w:rPr>
                <w:sz w:val="1"/>
                <w:szCs w:val="1"/>
                <w:color w:val="auto"/>
              </w:rPr>
            </w:pPr>
          </w:p>
        </w:tc>
      </w:tr>
      <w:tr>
        <w:trPr>
          <w:trHeight w:val="270"/>
        </w:trPr>
        <w:tc>
          <w:tcPr>
            <w:tcW w:w="5580" w:type="dxa"/>
            <w:vAlign w:val="bottom"/>
          </w:tcPr>
          <w:p>
            <w:pPr>
              <w:ind w:left="140"/>
              <w:spacing w:after="0"/>
              <w:rPr>
                <w:sz w:val="20"/>
                <w:szCs w:val="20"/>
                <w:color w:val="auto"/>
              </w:rPr>
            </w:pPr>
            <w:r>
              <w:rPr>
                <w:rFonts w:ascii="Arial" w:cs="Arial" w:eastAsia="Arial" w:hAnsi="Arial"/>
                <w:sz w:val="18"/>
                <w:szCs w:val="18"/>
                <w:color w:val="auto"/>
              </w:rPr>
              <w:t>Gain (loss) on investments, net</w:t>
            </w: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304"/>
        </w:trPr>
        <w:tc>
          <w:tcPr>
            <w:tcW w:w="5580" w:type="dxa"/>
            <w:vAlign w:val="bottom"/>
          </w:tcPr>
          <w:p>
            <w:pPr>
              <w:ind w:left="140"/>
              <w:spacing w:after="0"/>
              <w:rPr>
                <w:sz w:val="20"/>
                <w:szCs w:val="20"/>
                <w:color w:val="auto"/>
              </w:rPr>
            </w:pPr>
            <w:r>
              <w:rPr>
                <w:rFonts w:ascii="Arial" w:cs="Arial" w:eastAsia="Arial" w:hAnsi="Arial"/>
                <w:sz w:val="18"/>
                <w:szCs w:val="18"/>
                <w:color w:val="auto"/>
              </w:rPr>
              <w:t>Non-operating income (loss), net</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3,482</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43"/>
        </w:trPr>
        <w:tc>
          <w:tcPr>
            <w:tcW w:w="5580" w:type="dxa"/>
            <w:vAlign w:val="bottom"/>
          </w:tcPr>
          <w:p>
            <w:pPr>
              <w:ind w:left="46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601"/>
        </w:trPr>
        <w:tc>
          <w:tcPr>
            <w:tcW w:w="55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43"/>
        </w:trPr>
        <w:tc>
          <w:tcPr>
            <w:tcW w:w="5580" w:type="dxa"/>
            <w:vAlign w:val="bottom"/>
          </w:tcPr>
          <w:p>
            <w:pPr>
              <w:ind w:left="46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3,534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567"/>
        </w:trPr>
        <w:tc>
          <w:tcPr>
            <w:tcW w:w="55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580" w:type="dxa"/>
            <w:vAlign w:val="bottom"/>
          </w:tcPr>
          <w:p>
            <w:pPr>
              <w:ind w:left="140"/>
              <w:spacing w:after="0"/>
              <w:rPr>
                <w:sz w:val="20"/>
                <w:szCs w:val="20"/>
                <w:color w:val="auto"/>
              </w:rPr>
            </w:pPr>
            <w:r>
              <w:rPr>
                <w:rFonts w:ascii="Arial" w:cs="Arial" w:eastAsia="Arial" w:hAnsi="Arial"/>
                <w:sz w:val="18"/>
                <w:szCs w:val="18"/>
                <w:color w:val="auto"/>
              </w:rPr>
              <w:t>Unrealized gain (loss) on interest rate hedge, net of tax</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64"/>
        </w:trPr>
        <w:tc>
          <w:tcPr>
            <w:tcW w:w="5580" w:type="dxa"/>
            <w:vAlign w:val="bottom"/>
          </w:tcPr>
          <w:p>
            <w:pPr>
              <w:ind w:left="46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3,540</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558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5580" w:type="dxa"/>
            <w:vAlign w:val="bottom"/>
          </w:tcPr>
          <w:p>
            <w:pPr>
              <w:ind w:left="340"/>
              <w:spacing w:after="0"/>
              <w:rPr>
                <w:sz w:val="20"/>
                <w:szCs w:val="20"/>
                <w:color w:val="auto"/>
              </w:rPr>
            </w:pPr>
            <w:r>
              <w:rPr>
                <w:rFonts w:ascii="Arial" w:cs="Arial" w:eastAsia="Arial" w:hAnsi="Arial"/>
                <w:sz w:val="18"/>
                <w:szCs w:val="18"/>
                <w:color w:val="auto"/>
              </w:rPr>
              <w:t>Weighted average shares outstanding, basic</w:t>
            </w: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49,133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48,909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49,100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48,768</w:t>
            </w:r>
          </w:p>
        </w:tc>
        <w:tc>
          <w:tcPr>
            <w:tcW w:w="0" w:type="dxa"/>
            <w:vAlign w:val="bottom"/>
          </w:tcPr>
          <w:p>
            <w:pPr>
              <w:spacing w:after="0"/>
              <w:rPr>
                <w:sz w:val="1"/>
                <w:szCs w:val="1"/>
                <w:color w:val="auto"/>
              </w:rPr>
            </w:pPr>
          </w:p>
        </w:tc>
      </w:tr>
      <w:tr>
        <w:trPr>
          <w:trHeight w:val="270"/>
        </w:trPr>
        <w:tc>
          <w:tcPr>
            <w:tcW w:w="5580" w:type="dxa"/>
            <w:vAlign w:val="bottom"/>
          </w:tcPr>
          <w:p>
            <w:pPr>
              <w:ind w:left="340"/>
              <w:spacing w:after="0"/>
              <w:rPr>
                <w:sz w:val="20"/>
                <w:szCs w:val="20"/>
                <w:color w:val="auto"/>
              </w:rPr>
            </w:pPr>
            <w:r>
              <w:rPr>
                <w:rFonts w:ascii="Arial" w:cs="Arial" w:eastAsia="Arial" w:hAnsi="Arial"/>
                <w:sz w:val="18"/>
                <w:szCs w:val="18"/>
                <w:color w:val="auto"/>
              </w:rPr>
              <w:t>Weighted average shares outstanding, diluted</w:t>
            </w: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49,959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48,909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49,869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48,768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ind w:right="3760"/>
        <w:spacing w:after="0" w:line="261" w:lineRule="auto"/>
        <w:rPr>
          <w:sz w:val="20"/>
          <w:szCs w:val="20"/>
          <w:color w:val="auto"/>
        </w:rPr>
      </w:pPr>
      <w:r>
        <w:rPr>
          <w:rFonts w:ascii="Arial" w:cs="Arial" w:eastAsia="Arial" w:hAnsi="Arial"/>
          <w:sz w:val="18"/>
          <w:szCs w:val="18"/>
          <w:b w:val="1"/>
          <w:bCs w:val="1"/>
          <w:color w:val="auto"/>
        </w:rPr>
        <w:t xml:space="preserve">UNAUDITED CONDENSED CONSOLIDATED STATEMENTS OF SHAREHOLDERS' EQUITY </w:t>
      </w:r>
      <w:r>
        <w:rPr>
          <w:rFonts w:ascii="Arial" w:cs="Arial" w:eastAsia="Arial" w:hAnsi="Arial"/>
          <w:sz w:val="18"/>
          <w:szCs w:val="18"/>
          <w:i w:val="1"/>
          <w:iCs w:val="1"/>
          <w:color w:val="auto"/>
        </w:rPr>
        <w:t>(in thousands, except per share amounts)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Arial" w:cs="Arial" w:eastAsia="Arial" w:hAnsi="Arial"/>
                <w:sz w:val="16"/>
                <w:szCs w:val="16"/>
                <w:color w:val="auto"/>
                <w:w w:val="95"/>
              </w:rPr>
              <w:t>Accumulated</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Arial" w:cs="Arial" w:eastAsia="Arial" w:hAnsi="Arial"/>
                <w:sz w:val="16"/>
                <w:szCs w:val="16"/>
                <w:color w:val="auto"/>
                <w:w w:val="89"/>
              </w:rPr>
              <w:t>Other</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ind w:right="112"/>
              <w:spacing w:after="0"/>
              <w:rPr>
                <w:sz w:val="20"/>
                <w:szCs w:val="20"/>
                <w:color w:val="auto"/>
              </w:rPr>
            </w:pPr>
            <w:r>
              <w:rPr>
                <w:rFonts w:ascii="Arial" w:cs="Arial" w:eastAsia="Arial" w:hAnsi="Arial"/>
                <w:sz w:val="16"/>
                <w:szCs w:val="16"/>
                <w:color w:val="auto"/>
                <w:w w:val="91"/>
              </w:rPr>
              <w:t>Comprehensive</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color w:val="auto"/>
              </w:rPr>
              <w:t>Common</w:t>
            </w:r>
          </w:p>
        </w:tc>
        <w:tc>
          <w:tcPr>
            <w:tcW w:w="260" w:type="dxa"/>
            <w:vAlign w:val="bottom"/>
          </w:tcPr>
          <w:p>
            <w:pPr>
              <w:spacing w:after="0"/>
              <w:rPr>
                <w:sz w:val="17"/>
                <w:szCs w:val="17"/>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color w:val="auto"/>
                <w:w w:val="99"/>
              </w:rPr>
              <w:t>Retained</w:t>
            </w:r>
          </w:p>
        </w:tc>
        <w:tc>
          <w:tcPr>
            <w:tcW w:w="24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Arial" w:cs="Arial" w:eastAsia="Arial" w:hAnsi="Arial"/>
                <w:sz w:val="16"/>
                <w:szCs w:val="16"/>
                <w:color w:val="auto"/>
                <w:w w:val="91"/>
              </w:rPr>
              <w:t>Income,</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1200" w:type="dxa"/>
            <w:vAlign w:val="bottom"/>
          </w:tcPr>
          <w:p>
            <w:pPr>
              <w:jc w:val="right"/>
              <w:ind w:right="250"/>
              <w:spacing w:after="0"/>
              <w:rPr>
                <w:sz w:val="20"/>
                <w:szCs w:val="20"/>
                <w:color w:val="auto"/>
              </w:rPr>
            </w:pPr>
            <w:r>
              <w:rPr>
                <w:rFonts w:ascii="Arial" w:cs="Arial" w:eastAsia="Arial" w:hAnsi="Arial"/>
                <w:sz w:val="16"/>
                <w:szCs w:val="16"/>
                <w:color w:val="auto"/>
              </w:rPr>
              <w:t>Shares</w:t>
            </w:r>
          </w:p>
        </w:tc>
        <w:tc>
          <w:tcPr>
            <w:tcW w:w="320" w:type="dxa"/>
            <w:vAlign w:val="bottom"/>
          </w:tcPr>
          <w:p>
            <w:pPr>
              <w:spacing w:after="0"/>
              <w:rPr>
                <w:sz w:val="17"/>
                <w:szCs w:val="17"/>
                <w:color w:val="auto"/>
              </w:rPr>
            </w:pPr>
          </w:p>
        </w:tc>
        <w:tc>
          <w:tcPr>
            <w:tcW w:w="1080" w:type="dxa"/>
            <w:vAlign w:val="bottom"/>
          </w:tcPr>
          <w:p>
            <w:pPr>
              <w:jc w:val="right"/>
              <w:ind w:right="411"/>
              <w:spacing w:after="0"/>
              <w:rPr>
                <w:sz w:val="20"/>
                <w:szCs w:val="20"/>
                <w:color w:val="auto"/>
              </w:rPr>
            </w:pPr>
            <w:r>
              <w:rPr>
                <w:rFonts w:ascii="Arial" w:cs="Arial" w:eastAsia="Arial" w:hAnsi="Arial"/>
                <w:sz w:val="16"/>
                <w:szCs w:val="16"/>
                <w:color w:val="auto"/>
              </w:rPr>
              <w:t>Stock</w:t>
            </w:r>
          </w:p>
        </w:tc>
        <w:tc>
          <w:tcPr>
            <w:tcW w:w="260" w:type="dxa"/>
            <w:vAlign w:val="bottom"/>
          </w:tcPr>
          <w:p>
            <w:pPr>
              <w:spacing w:after="0"/>
              <w:rPr>
                <w:sz w:val="17"/>
                <w:szCs w:val="17"/>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color w:val="auto"/>
              </w:rPr>
              <w:t>Earnings</w:t>
            </w:r>
          </w:p>
        </w:tc>
        <w:tc>
          <w:tcPr>
            <w:tcW w:w="24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Arial" w:cs="Arial" w:eastAsia="Arial" w:hAnsi="Arial"/>
                <w:sz w:val="16"/>
                <w:szCs w:val="16"/>
                <w:color w:val="auto"/>
                <w:w w:val="91"/>
              </w:rPr>
              <w:t>net of tax</w:t>
            </w:r>
          </w:p>
        </w:tc>
        <w:tc>
          <w:tcPr>
            <w:tcW w:w="320" w:type="dxa"/>
            <w:vAlign w:val="bottom"/>
          </w:tcPr>
          <w:p>
            <w:pPr>
              <w:spacing w:after="0"/>
              <w:rPr>
                <w:sz w:val="17"/>
                <w:szCs w:val="17"/>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color w:val="auto"/>
              </w:rPr>
              <w:t>Total</w:t>
            </w:r>
          </w:p>
        </w:tc>
      </w:tr>
      <w:tr>
        <w:trPr>
          <w:trHeight w:val="40"/>
        </w:trPr>
        <w:tc>
          <w:tcPr>
            <w:tcW w:w="48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48,475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32,776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256,747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415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289,938</w:t>
            </w:r>
          </w:p>
        </w:tc>
      </w:tr>
      <w:tr>
        <w:trPr>
          <w:trHeight w:val="594"/>
        </w:trPr>
        <w:tc>
          <w:tcPr>
            <w:tcW w:w="48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(895)</w:t>
            </w:r>
          </w:p>
        </w:tc>
        <w:tc>
          <w:tcPr>
            <w:tcW w:w="240" w:type="dxa"/>
            <w:vAlign w:val="bottom"/>
          </w:tcPr>
          <w:p>
            <w:pPr>
              <w:spacing w:after="0"/>
              <w:rPr>
                <w:sz w:val="24"/>
                <w:szCs w:val="24"/>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Other comprehensive gain (loss), net of tax</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6,373</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6,373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Dividends declared ($0.25 per share)</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(12,228)</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(12,228)</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Dividends reinvested in common stock</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524</w:t>
            </w:r>
          </w:p>
        </w:tc>
        <w:tc>
          <w:tcPr>
            <w:tcW w:w="2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3,506</w:t>
            </w:r>
          </w:p>
        </w:tc>
        <w:tc>
          <w:tcPr>
            <w:tcW w:w="2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3,506</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Stock options exercised</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3,359</w:t>
            </w:r>
          </w:p>
        </w:tc>
        <w:tc>
          <w:tcPr>
            <w:tcW w:w="2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3,359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Common stock issued for share awards</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9"/>
              </w:rPr>
              <w:t>Common stock issued to acquire non-controlling interests of</w:t>
            </w: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4800" w:type="dxa"/>
            <w:vAlign w:val="bottom"/>
          </w:tcPr>
          <w:p>
            <w:pPr>
              <w:ind w:left="40"/>
              <w:spacing w:after="0"/>
              <w:rPr>
                <w:sz w:val="20"/>
                <w:szCs w:val="20"/>
                <w:color w:val="auto"/>
              </w:rPr>
            </w:pPr>
            <w:r>
              <w:rPr>
                <w:rFonts w:ascii="Arial" w:cs="Arial" w:eastAsia="Arial" w:hAnsi="Arial"/>
                <w:sz w:val="18"/>
                <w:szCs w:val="18"/>
                <w:color w:val="auto"/>
              </w:rPr>
              <w:t>nTelos</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10,400</w:t>
            </w:r>
          </w:p>
        </w:tc>
        <w:tc>
          <w:tcPr>
            <w:tcW w:w="26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10,400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(5,097)</w:t>
            </w:r>
          </w:p>
        </w:tc>
        <w:tc>
          <w:tcPr>
            <w:tcW w:w="2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(5,097)</w:t>
            </w:r>
          </w:p>
        </w:tc>
      </w:tr>
      <w:tr>
        <w:trPr>
          <w:trHeight w:val="34"/>
        </w:trPr>
        <w:tc>
          <w:tcPr>
            <w:tcW w:w="4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67"/>
        </w:trPr>
        <w:tc>
          <w:tcPr>
            <w:tcW w:w="480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48,935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45,482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243,624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6,788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295,894</w:t>
            </w:r>
          </w:p>
        </w:tc>
      </w:tr>
      <w:tr>
        <w:trPr>
          <w:trHeight w:val="540"/>
        </w:trPr>
        <w:tc>
          <w:tcPr>
            <w:tcW w:w="48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5,795</w:t>
            </w:r>
          </w:p>
        </w:tc>
        <w:tc>
          <w:tcPr>
            <w:tcW w:w="240" w:type="dxa"/>
            <w:vAlign w:val="bottom"/>
          </w:tcPr>
          <w:p>
            <w:pPr>
              <w:spacing w:after="0"/>
              <w:rPr>
                <w:sz w:val="24"/>
                <w:szCs w:val="24"/>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5,795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Unrealized gain (loss) on interest rate hedge, net of tax</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(770)</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3,557</w:t>
            </w:r>
          </w:p>
        </w:tc>
        <w:tc>
          <w:tcPr>
            <w:tcW w:w="2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3,557</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Stock options exercised</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295</w:t>
            </w:r>
          </w:p>
        </w:tc>
        <w:tc>
          <w:tcPr>
            <w:tcW w:w="32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1,944</w:t>
            </w:r>
          </w:p>
        </w:tc>
        <w:tc>
          <w:tcPr>
            <w:tcW w:w="2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Common stock issued for share awards</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9"/>
              </w:rPr>
              <w:t>Common stock issued to acquire non-controlling interests of</w:t>
            </w: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4800" w:type="dxa"/>
            <w:vAlign w:val="bottom"/>
          </w:tcPr>
          <w:p>
            <w:pPr>
              <w:ind w:left="40"/>
              <w:spacing w:after="0"/>
              <w:rPr>
                <w:sz w:val="20"/>
                <w:szCs w:val="20"/>
                <w:color w:val="auto"/>
              </w:rPr>
            </w:pPr>
            <w:r>
              <w:rPr>
                <w:rFonts w:ascii="Arial" w:cs="Arial" w:eastAsia="Arial" w:hAnsi="Arial"/>
                <w:sz w:val="18"/>
                <w:szCs w:val="18"/>
                <w:color w:val="auto"/>
              </w:rPr>
              <w:t>nTelos</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(7,091)</w:t>
            </w:r>
          </w:p>
        </w:tc>
        <w:tc>
          <w:tcPr>
            <w:tcW w:w="26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(7,091)</w:t>
            </w:r>
          </w:p>
        </w:tc>
      </w:tr>
      <w:tr>
        <w:trPr>
          <w:trHeight w:val="34"/>
        </w:trPr>
        <w:tc>
          <w:tcPr>
            <w:tcW w:w="4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Balance, September 30, 2017</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49,265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43,908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249,419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6,018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299,345</w:t>
            </w:r>
          </w:p>
        </w:tc>
      </w:tr>
      <w:tr>
        <w:trPr>
          <w:trHeight w:val="27"/>
        </w:trPr>
        <w:tc>
          <w:tcPr>
            <w:tcW w:w="4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right="488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CONDENSED CONSOLIDATED STATEMENTS OF CASH FLOWS </w:t>
      </w:r>
      <w:r>
        <w:rPr>
          <w:rFonts w:ascii="Arial" w:cs="Arial" w:eastAsia="Arial" w:hAnsi="Arial"/>
          <w:sz w:val="18"/>
          <w:szCs w:val="18"/>
          <w:i w:val="1"/>
          <w:iCs w:val="1"/>
          <w:color w:val="auto"/>
        </w:rPr>
        <w:t>(in thousands)</w:t>
      </w:r>
    </w:p>
    <w:p>
      <w:pPr>
        <w:spacing w:after="0" w:line="342"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Nine Months Ended</w:t>
      </w:r>
    </w:p>
    <w:p>
      <w:pPr>
        <w:spacing w:after="0" w:line="23"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22860</wp:posOffset>
            </wp:positionV>
            <wp:extent cx="16637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87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7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5,795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113,437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84,256</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Amortization reflected as operating expense</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18,860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Amortization reflected as contra revenue</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8,883</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Amortization reflected as rent expense</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Provision for bad debt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Straight line adjustment to management fee revenue</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12,960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7,687</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Stock based compensation expense</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(57,196)</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Net (gain) loss on disposal of equipment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Unrealized (gain) loss on investments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Net (gains) loss from patronage and equity investments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70"/>
        </w:trPr>
        <w:tc>
          <w:tcPr>
            <w:tcW w:w="8760" w:type="dxa"/>
            <w:vAlign w:val="bottom"/>
          </w:tcPr>
          <w:p>
            <w:pPr>
              <w:ind w:left="46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680"/>
              <w:spacing w:after="0"/>
              <w:rPr>
                <w:sz w:val="20"/>
                <w:szCs w:val="20"/>
                <w:color w:val="auto"/>
              </w:rPr>
            </w:pPr>
            <w:r>
              <w:rPr>
                <w:rFonts w:ascii="Arial" w:cs="Arial" w:eastAsia="Arial" w:hAnsi="Arial"/>
                <w:sz w:val="18"/>
                <w:szCs w:val="18"/>
                <w:color w:val="auto"/>
              </w:rPr>
              <w:t>(Increase) decrease in:</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7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7,903</w:t>
            </w:r>
          </w:p>
        </w:tc>
        <w:tc>
          <w:tcPr>
            <w:tcW w:w="0" w:type="dxa"/>
            <w:vAlign w:val="bottom"/>
          </w:tcPr>
          <w:p>
            <w:pPr>
              <w:spacing w:after="0"/>
              <w:rPr>
                <w:sz w:val="1"/>
                <w:szCs w:val="1"/>
                <w:color w:val="auto"/>
              </w:rPr>
            </w:pPr>
          </w:p>
        </w:tc>
      </w:tr>
      <w:tr>
        <w:trPr>
          <w:trHeight w:val="270"/>
        </w:trPr>
        <w:tc>
          <w:tcPr>
            <w:tcW w:w="8760" w:type="dxa"/>
            <w:vAlign w:val="bottom"/>
          </w:tcPr>
          <w:p>
            <w:pPr>
              <w:ind w:left="78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31,604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(6,134)</w:t>
            </w:r>
          </w:p>
        </w:tc>
        <w:tc>
          <w:tcPr>
            <w:tcW w:w="0" w:type="dxa"/>
            <w:vAlign w:val="bottom"/>
          </w:tcPr>
          <w:p>
            <w:pPr>
              <w:spacing w:after="0"/>
              <w:rPr>
                <w:sz w:val="1"/>
                <w:szCs w:val="1"/>
                <w:color w:val="auto"/>
              </w:rPr>
            </w:pPr>
          </w:p>
        </w:tc>
      </w:tr>
      <w:tr>
        <w:trPr>
          <w:trHeight w:val="270"/>
        </w:trPr>
        <w:tc>
          <w:tcPr>
            <w:tcW w:w="8760" w:type="dxa"/>
            <w:vAlign w:val="bottom"/>
          </w:tcPr>
          <w:p>
            <w:pPr>
              <w:ind w:left="780"/>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8,294</w:t>
            </w:r>
          </w:p>
        </w:tc>
        <w:tc>
          <w:tcPr>
            <w:tcW w:w="0" w:type="dxa"/>
            <w:vAlign w:val="bottom"/>
          </w:tcPr>
          <w:p>
            <w:pPr>
              <w:spacing w:after="0"/>
              <w:rPr>
                <w:sz w:val="1"/>
                <w:szCs w:val="1"/>
                <w:color w:val="auto"/>
              </w:rPr>
            </w:pPr>
          </w:p>
        </w:tc>
      </w:tr>
      <w:tr>
        <w:trPr>
          <w:trHeight w:val="270"/>
        </w:trPr>
        <w:tc>
          <w:tcPr>
            <w:tcW w:w="8760" w:type="dxa"/>
            <w:vAlign w:val="bottom"/>
          </w:tcPr>
          <w:p>
            <w:pPr>
              <w:ind w:left="7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70"/>
        </w:trPr>
        <w:tc>
          <w:tcPr>
            <w:tcW w:w="8760" w:type="dxa"/>
            <w:vAlign w:val="bottom"/>
          </w:tcPr>
          <w:p>
            <w:pPr>
              <w:ind w:left="680"/>
              <w:spacing w:after="0"/>
              <w:rPr>
                <w:sz w:val="20"/>
                <w:szCs w:val="20"/>
                <w:color w:val="auto"/>
              </w:rPr>
            </w:pPr>
            <w:r>
              <w:rPr>
                <w:rFonts w:ascii="Arial" w:cs="Arial" w:eastAsia="Arial" w:hAnsi="Arial"/>
                <w:sz w:val="18"/>
                <w:szCs w:val="18"/>
                <w:color w:val="auto"/>
              </w:rPr>
              <w:t>Increase (decrease) in:</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70"/>
        </w:trPr>
        <w:tc>
          <w:tcPr>
            <w:tcW w:w="8760" w:type="dxa"/>
            <w:vAlign w:val="bottom"/>
          </w:tcPr>
          <w:p>
            <w:pPr>
              <w:ind w:left="7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16,225</w:t>
            </w:r>
          </w:p>
        </w:tc>
        <w:tc>
          <w:tcPr>
            <w:tcW w:w="0" w:type="dxa"/>
            <w:vAlign w:val="bottom"/>
          </w:tcPr>
          <w:p>
            <w:pPr>
              <w:spacing w:after="0"/>
              <w:rPr>
                <w:sz w:val="1"/>
                <w:szCs w:val="1"/>
                <w:color w:val="auto"/>
              </w:rPr>
            </w:pPr>
          </w:p>
        </w:tc>
      </w:tr>
      <w:tr>
        <w:trPr>
          <w:trHeight w:val="270"/>
        </w:trPr>
        <w:tc>
          <w:tcPr>
            <w:tcW w:w="8760" w:type="dxa"/>
            <w:vAlign w:val="bottom"/>
          </w:tcPr>
          <w:p>
            <w:pPr>
              <w:ind w:left="780"/>
              <w:spacing w:after="0"/>
              <w:rPr>
                <w:sz w:val="20"/>
                <w:szCs w:val="20"/>
                <w:color w:val="auto"/>
              </w:rPr>
            </w:pPr>
            <w:r>
              <w:rPr>
                <w:rFonts w:ascii="Arial" w:cs="Arial" w:eastAsia="Arial" w:hAnsi="Arial"/>
                <w:sz w:val="18"/>
                <w:szCs w:val="18"/>
                <w:color w:val="auto"/>
              </w:rPr>
              <w:t>Deferred lease payable</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304"/>
        </w:trPr>
        <w:tc>
          <w:tcPr>
            <w:tcW w:w="8760" w:type="dxa"/>
            <w:vAlign w:val="bottom"/>
          </w:tcPr>
          <w:p>
            <w:pPr>
              <w:ind w:left="780"/>
              <w:spacing w:after="0"/>
              <w:rPr>
                <w:sz w:val="20"/>
                <w:szCs w:val="20"/>
                <w:color w:val="auto"/>
              </w:rPr>
            </w:pPr>
            <w:r>
              <w:rPr>
                <w:rFonts w:ascii="Arial" w:cs="Arial" w:eastAsia="Arial" w:hAnsi="Arial"/>
                <w:sz w:val="18"/>
                <w:szCs w:val="18"/>
                <w:color w:val="auto"/>
              </w:rPr>
              <w:t>Other deferrals and accruals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77"/>
        </w:trPr>
        <w:tc>
          <w:tcPr>
            <w:tcW w:w="8760" w:type="dxa"/>
            <w:vAlign w:val="bottom"/>
          </w:tcPr>
          <w:p>
            <w:pPr>
              <w:ind w:left="7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158,705</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95,446</w:t>
            </w:r>
          </w:p>
        </w:tc>
        <w:tc>
          <w:tcPr>
            <w:tcW w:w="0" w:type="dxa"/>
            <w:vAlign w:val="bottom"/>
          </w:tcPr>
          <w:p>
            <w:pPr>
              <w:spacing w:after="0"/>
              <w:rPr>
                <w:sz w:val="1"/>
                <w:szCs w:val="1"/>
                <w:color w:val="auto"/>
              </w:rPr>
            </w:pPr>
          </w:p>
        </w:tc>
      </w:tr>
      <w:tr>
        <w:trPr>
          <w:trHeight w:val="540"/>
        </w:trPr>
        <w:tc>
          <w:tcPr>
            <w:tcW w:w="8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8"/>
                <w:szCs w:val="18"/>
                <w:color w:val="auto"/>
              </w:rPr>
              <w:t>Acquisition of property, plant and equipment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(109,435)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(102,850)</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8"/>
                <w:szCs w:val="18"/>
                <w:color w:val="auto"/>
              </w:rPr>
              <w:t>Proceeds from sale of assets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8"/>
                <w:szCs w:val="18"/>
                <w:color w:val="auto"/>
              </w:rPr>
              <w:t>Cash distributions from investments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70"/>
        </w:trPr>
        <w:tc>
          <w:tcPr>
            <w:tcW w:w="8760" w:type="dxa"/>
            <w:vAlign w:val="bottom"/>
          </w:tcPr>
          <w:p>
            <w:pPr>
              <w:ind w:left="140"/>
              <w:spacing w:after="0"/>
              <w:rPr>
                <w:sz w:val="20"/>
                <w:szCs w:val="20"/>
                <w:color w:val="auto"/>
              </w:rPr>
            </w:pPr>
            <w:r>
              <w:rPr>
                <w:rFonts w:ascii="Arial" w:cs="Arial" w:eastAsia="Arial" w:hAnsi="Arial"/>
                <w:sz w:val="18"/>
                <w:szCs w:val="18"/>
                <w:color w:val="auto"/>
              </w:rPr>
              <w:t>Additional contributions to investments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8760" w:type="dxa"/>
            <w:vAlign w:val="bottom"/>
          </w:tcPr>
          <w:p>
            <w:pPr>
              <w:ind w:left="140"/>
              <w:spacing w:after="0"/>
              <w:rPr>
                <w:sz w:val="20"/>
                <w:szCs w:val="20"/>
                <w:color w:val="auto"/>
              </w:rPr>
            </w:pPr>
            <w:r>
              <w:rPr>
                <w:rFonts w:ascii="Arial" w:cs="Arial" w:eastAsia="Arial" w:hAnsi="Arial"/>
                <w:sz w:val="18"/>
                <w:szCs w:val="18"/>
                <w:color w:val="auto"/>
              </w:rPr>
              <w:t>Cash disbursed for acquisition, net of cash acquired</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(655,590)</w:t>
            </w:r>
          </w:p>
        </w:tc>
        <w:tc>
          <w:tcPr>
            <w:tcW w:w="0" w:type="dxa"/>
            <w:vAlign w:val="bottom"/>
          </w:tcPr>
          <w:p>
            <w:pPr>
              <w:spacing w:after="0"/>
              <w:rPr>
                <w:sz w:val="1"/>
                <w:szCs w:val="1"/>
                <w:color w:val="auto"/>
              </w:rPr>
            </w:pPr>
          </w:p>
        </w:tc>
      </w:tr>
      <w:tr>
        <w:trPr>
          <w:trHeight w:val="277"/>
        </w:trPr>
        <w:tc>
          <w:tcPr>
            <w:tcW w:w="8760" w:type="dxa"/>
            <w:vAlign w:val="bottom"/>
          </w:tcPr>
          <w:p>
            <w:pPr>
              <w:ind w:left="68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(115,075)</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(755,357)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right="488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CONDENSED CONSOLIDATED STATEMENTS OF CASH FLOWS </w:t>
      </w:r>
      <w:r>
        <w:rPr>
          <w:rFonts w:ascii="Arial" w:cs="Arial" w:eastAsia="Arial" w:hAnsi="Arial"/>
          <w:sz w:val="18"/>
          <w:szCs w:val="18"/>
          <w:i w:val="1"/>
          <w:iCs w:val="1"/>
          <w:color w:val="auto"/>
        </w:rPr>
        <w:t>(in thousands)</w:t>
      </w:r>
    </w:p>
    <w:p>
      <w:pPr>
        <w:spacing w:after="0" w:line="342"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Nine Months Ended</w:t>
      </w:r>
    </w:p>
    <w:p>
      <w:pPr>
        <w:spacing w:after="0" w:line="23"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22860</wp:posOffset>
            </wp:positionV>
            <wp:extent cx="16637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(24,250)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(207,816)</w:t>
            </w:r>
          </w:p>
        </w:tc>
        <w:tc>
          <w:tcPr>
            <w:tcW w:w="0" w:type="dxa"/>
            <w:vAlign w:val="bottom"/>
          </w:tcPr>
          <w:p>
            <w:pPr>
              <w:spacing w:after="0"/>
              <w:rPr>
                <w:sz w:val="1"/>
                <w:szCs w:val="1"/>
                <w:color w:val="auto"/>
              </w:rPr>
            </w:pP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Amounts borrowed under debt agreements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835,000</w:t>
            </w:r>
          </w:p>
        </w:tc>
        <w:tc>
          <w:tcPr>
            <w:tcW w:w="0" w:type="dxa"/>
            <w:vAlign w:val="bottom"/>
          </w:tcPr>
          <w:p>
            <w:pPr>
              <w:spacing w:after="0"/>
              <w:rPr>
                <w:sz w:val="1"/>
                <w:szCs w:val="1"/>
                <w:color w:val="auto"/>
              </w:rPr>
            </w:pP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Cash paid for debt issuance costs</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(14,825)</w:t>
            </w:r>
          </w:p>
        </w:tc>
        <w:tc>
          <w:tcPr>
            <w:tcW w:w="0" w:type="dxa"/>
            <w:vAlign w:val="bottom"/>
          </w:tcPr>
          <w:p>
            <w:pPr>
              <w:spacing w:after="0"/>
              <w:rPr>
                <w:sz w:val="1"/>
                <w:szCs w:val="1"/>
                <w:color w:val="auto"/>
              </w:rPr>
            </w:pP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304"/>
        </w:trPr>
        <w:tc>
          <w:tcPr>
            <w:tcW w:w="880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77"/>
        </w:trPr>
        <w:tc>
          <w:tcPr>
            <w:tcW w:w="8800" w:type="dxa"/>
            <w:vAlign w:val="bottom"/>
          </w:tcPr>
          <w:p>
            <w:pPr>
              <w:ind w:left="5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610,630</w:t>
            </w:r>
          </w:p>
        </w:tc>
        <w:tc>
          <w:tcPr>
            <w:tcW w:w="0" w:type="dxa"/>
            <w:vAlign w:val="bottom"/>
          </w:tcPr>
          <w:p>
            <w:pPr>
              <w:spacing w:after="0"/>
              <w:rPr>
                <w:sz w:val="1"/>
                <w:szCs w:val="1"/>
                <w:color w:val="auto"/>
              </w:rPr>
            </w:pPr>
          </w:p>
        </w:tc>
      </w:tr>
      <w:tr>
        <w:trPr>
          <w:trHeight w:val="540"/>
        </w:trPr>
        <w:tc>
          <w:tcPr>
            <w:tcW w:w="8800" w:type="dxa"/>
            <w:vAlign w:val="bottom"/>
          </w:tcPr>
          <w:p>
            <w:pPr>
              <w:ind w:left="50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39,274</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(49,281)</w:t>
            </w:r>
          </w:p>
        </w:tc>
        <w:tc>
          <w:tcPr>
            <w:tcW w:w="0" w:type="dxa"/>
            <w:vAlign w:val="bottom"/>
          </w:tcPr>
          <w:p>
            <w:pPr>
              <w:spacing w:after="0"/>
              <w:rPr>
                <w:sz w:val="1"/>
                <w:szCs w:val="1"/>
                <w:color w:val="auto"/>
              </w:rPr>
            </w:pPr>
          </w:p>
        </w:tc>
      </w:tr>
      <w:tr>
        <w:trPr>
          <w:trHeight w:val="567"/>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0" w:type="dxa"/>
            <w:vAlign w:val="bottom"/>
          </w:tcPr>
          <w:p>
            <w:pPr>
              <w:ind w:left="180"/>
              <w:spacing w:after="0"/>
              <w:rPr>
                <w:sz w:val="20"/>
                <w:szCs w:val="20"/>
                <w:color w:val="auto"/>
              </w:rPr>
            </w:pPr>
            <w:r>
              <w:rPr>
                <w:rFonts w:ascii="Arial" w:cs="Arial" w:eastAsia="Arial" w:hAnsi="Arial"/>
                <w:sz w:val="18"/>
                <w:szCs w:val="18"/>
                <w:color w:val="auto"/>
              </w:rPr>
              <w:t>Beginning</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36,193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76,812</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8"/>
                <w:szCs w:val="18"/>
                <w:color w:val="auto"/>
              </w:rPr>
              <w:t>Ending</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75,467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27,531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180"/>
              <w:spacing w:after="0"/>
              <w:rPr>
                <w:sz w:val="20"/>
                <w:szCs w:val="20"/>
                <w:color w:val="auto"/>
              </w:rPr>
            </w:pPr>
            <w:r>
              <w:rPr>
                <w:rFonts w:ascii="Arial" w:cs="Arial" w:eastAsia="Arial" w:hAnsi="Arial"/>
                <w:sz w:val="18"/>
                <w:szCs w:val="18"/>
                <w:color w:val="auto"/>
              </w:rPr>
              <w:t>Cash payments for:</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8800" w:type="dxa"/>
            <w:vAlign w:val="bottom"/>
          </w:tcPr>
          <w:p>
            <w:pPr>
              <w:ind w:left="380"/>
              <w:spacing w:after="0"/>
              <w:rPr>
                <w:sz w:val="20"/>
                <w:szCs w:val="20"/>
                <w:color w:val="auto"/>
              </w:rPr>
            </w:pPr>
            <w:r>
              <w:rPr>
                <w:rFonts w:ascii="Arial" w:cs="Arial" w:eastAsia="Arial" w:hAnsi="Arial"/>
                <w:sz w:val="18"/>
                <w:szCs w:val="18"/>
                <w:color w:val="auto"/>
              </w:rPr>
              <w:t>Interest, net of capitalized interest of $1,266 and $909, respectively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25,934</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14,671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paid, net of refunds received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19,567</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23,851</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At September 30, 2017 and 2016, accounts payable included approximately $3.8 million and $14.2 million, respectively, associated with capital expenditures. Cash flows for accounts payable and acquisition of property, plant and equipment exclude this activity.</w:t>
      </w:r>
    </w:p>
    <w:p>
      <w:pPr>
        <w:spacing w:after="0" w:line="14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During the nine months ended September 30, 2016, in conjunction with the acquisition of nTelos, the Company issued common stock to acquire non-controlling interests held by third parties in a subsidiary of nTelos. The transaction was valued at $10.4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interim condensed consolidated financial statements of Shenandoah Telecommunications Company and Subsidiaries (collectively, the “Company”) are unaudited. In the opinion of management, all adjustments necessary for a fair presentation of the interim results have been reflected therein in accordance with accounting principles generally accepted in the United States ("GAAP") for interim financial reporting and as required by Rule 10-01 of Regulation S-</w:t>
      </w:r>
    </w:p>
    <w:p>
      <w:pPr>
        <w:ind w:right="40" w:firstLine="8"/>
        <w:spacing w:after="0" w:line="288"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Accordingly, the unaudited condensed consolidated financial statements may not include all of the information and notes required by GAAP for audited financial statements. The preparation of condensed consolidated financial statements in conformity with GAAP requires management to make estimates and assumptions that affect the amounts of assets and liabilities, and related disclosures, as of the date of the financial statements, and the amounts of revenue and expenses reported during the period. Actual results could differ from estimates. The information contained herein should be read in conjunction with the audited financial statements included in the Company's Annual Report on Form 10-K for the year ended December 31, 2016. The accompanying balance sheet information at December 31, 2016 was derived from the audited December 31, 2016 consolidated balance sheet. Operating revenues and income (loss) from operations for any interim period are not necessarily indicative of results that may be expected for the entire year.</w:t>
      </w:r>
    </w:p>
    <w:p>
      <w:pPr>
        <w:spacing w:after="0" w:line="16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Management has made an immaterial error correction to the accompanying prior period unaudited condensed consolidated statement of cash flows for the nine months ended September 30, 2016 to decrease both the amount of net cash provided by operating activities and the amount of net cash used in investing activities by approximately 10.4 million to properly reflect the common stock issued (non-cash) by the Company to acquire non-controlling interests in a subsidiary of nTelos held by third parties in conjunction with the nTelos acquisition. This immaterial error correction had no effect on the net increase (decrease) in cash and cash equivalents for the period or the beginning or ending balance of cash and cash equivalents for the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Standards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There have been no developments to recently issued accounting standards, including the expected dates of adoption and estimated effects on the Company's consolidated financial statements and note disclosures, from those disclosed in the Company's 2016 Annual Report on Form 10-K, that would be expected to impact the Company except for the following:</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which requires an entity to recognize the amount of revenue to which it expects to be entitled for the transfer of promised goods or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to customers. The ASU will replace most existing revenue recognition guidance in U.S. GAAP when it becomes effective. In August 2015, the FASB issued ASU No. 2015-14, delaying the effective date of ASU 2014-09. Three other amendments have been issued during 2016 modifying the original ASU. As amended, the new standard is effective for the Company on January 1, 2018, using either a retrospective basis or a modified retrospective basis with early adoption permitted. The Company plans to adopt the standard effective January 1, 2018 using the modified retrospective transition approach; under this approach prior periods will not be retrospectively adjusted.</w:t>
      </w:r>
    </w:p>
    <w:p>
      <w:pPr>
        <w:spacing w:after="0" w:line="9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is continuing to assess all potential impacts of the standard, including the impact to the pattern with which revenue and direct and contract fulfillment costs are recognized, the impact of the standard on current accounting policies, practices and system of internal controls, in order to identify material differences, if any that would result from applying the new requirements.</w:t>
      </w:r>
    </w:p>
    <w:p>
      <w:pPr>
        <w:spacing w:after="0" w:line="10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is in the process of establishing new policies and processes, and is implementing necessary changes to data and procedures necessary to comply with the new requirements.</w:t>
      </w:r>
    </w:p>
    <w:p>
      <w:pPr>
        <w:spacing w:after="0" w:line="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continuing to assess all potential impacts of the standard, the Company believes the adoption will not have a significant effect on earnings however, the presentation of certain costs may change and disclosures will be impacted. The Company is still in the process of evaluating the impacts and the initial assessment may change.</w:t>
      </w:r>
    </w:p>
    <w:p>
      <w:pPr>
        <w:spacing w:after="0" w:line="10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In addition to the presentation and disclosure requirements for financial instruments, ASU 2016-01 requires entities to measure equity investments, other than those accounted for under the equity method, at fair value and recognize changes in fair value in net income. Entities will no longer be able to use the cost method of accounting for equity securities. However, for equity investments without readily determinable fair values that do not qualify for the practical expedient to estimate fair value using net asset value per share, entities may elect a measurement alternative that will allow those investments to be recorded at cost, less impairment, and adjusted for subsequent observable price changes. Entities must record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cumulative-effect adjustment to the balance sheet as of the beginning of the first reporting period in which the standard is adopted, except for equity investments without readily determinable fair values, for which the guidance will be applied prospectively. The guidance under ASU 2016-01 is effective for annual and interim periods beginning after December 15, 2017. The Company has not yet completed its assessment of the impact of the new standard on the Company’s consolidated financial statements.</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the recognition of lease assets and lease liabilities by lessees for those leases classified as operating leases under previous generally accepted accounting principles. The ASU is effective for us on January 1, 2019, and early application is permitted. Modified retrospective application is required. The Company plans to adopt this standard when it becomes effective for the Company beginning January 1, 2019, and expects the adoption of this standard will result in the recognition of right of use assets and lease liabilities that have not previously been recorded, which will have a material impact on the Company’s consolidated financial statements.</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ASU 2016-15 is intended to reduce diversity in practice in how certain cash receipts and cash payments are presented and classified in the Consolidated Statement of Cash Flows by providing guidance on eight specific cash flow issues. The Company intends to adopt the standard retrospectively on the effective date of January 1, 2018 and does not expect the adoption of the ASU to have a material effect on cash flows.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March 2017, the FASB issued ASU No.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Cost</w:t>
      </w:r>
      <w:r>
        <w:rPr>
          <w:rFonts w:ascii="Arial" w:cs="Arial" w:eastAsia="Arial" w:hAnsi="Arial"/>
          <w:sz w:val="17"/>
          <w:szCs w:val="17"/>
          <w:color w:val="auto"/>
        </w:rPr>
        <w:t>". The update requires employers to present the service cost component of the net periodic benefit cost in the same income statement line item as other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compensation costs arising from services rendered during the period. The other components of net benefit cost, including interest cost, expected return on plan assets, amortization of prior service cost/credit and actuarial gain/loss, and settlement and curtailment effects, are to be presented outside of any subtotal of operating income. Employers will have to disclose the line(s) used to present the other components of net periodic benefit cost, if the components are not presented separately in the income statement</w:t>
      </w:r>
      <w:r>
        <w:rPr>
          <w:rFonts w:ascii="Arial" w:cs="Arial" w:eastAsia="Arial" w:hAnsi="Arial"/>
          <w:sz w:val="17"/>
          <w:szCs w:val="17"/>
          <w:i w:val="1"/>
          <w:iCs w:val="1"/>
          <w:color w:val="auto"/>
        </w:rPr>
        <w:t>.</w:t>
      </w:r>
      <w:r>
        <w:rPr>
          <w:rFonts w:ascii="Arial" w:cs="Arial" w:eastAsia="Arial" w:hAnsi="Arial"/>
          <w:sz w:val="17"/>
          <w:szCs w:val="17"/>
          <w:color w:val="auto"/>
        </w:rPr>
        <w:t xml:space="preserve"> ASU 2017-07 is effective for fiscal years and interim periods beginning after December 15, 2017, and early adoption is permitted. The Company is currently assessing the impact that adopting this new accounting standard will have on its consolidated financial statements. The Company does not expect the adoption of ASU 2017-07 to have a material impact on its consolidated financial statements, nor does the Company expect to early adopt ASU 2017-07.</w:t>
      </w:r>
    </w:p>
    <w:p>
      <w:pPr>
        <w:spacing w:after="0" w:line="18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August 2017, the FASB issued ASU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This update is intended to simplify hedge accounting by better aligning an entity’s financial reporting for hedging relationships with its risk management activities. The ASU also simplifies the application of the hedge accounting guidance. ASU 2017-12 is effective on January 1, 2019, with early adoption permitted. For cash flow hedges existing at the adoption date, the standard requires adoption on a modified retrospective basis with a cumulative-effect adjustment to the Consolidated Balance Sheet as of the beginning of the year of adoption, to the extent any ineffectiveness was previously recognized. The amendments to presentation guidance and disclosure requirements under this update are required to be adopted prospectively. The Company has not yet determined the effect of the ASU on our results of operations, financial condition or cash flows, nor has transition date been determined.</w:t>
      </w:r>
    </w:p>
    <w:p>
      <w:pPr>
        <w:spacing w:after="0" w:line="178"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In September 2017, the FASB issued ASU No. 2017-13, "</w:t>
      </w:r>
      <w:r>
        <w:rPr>
          <w:rFonts w:ascii="Arial" w:cs="Arial" w:eastAsia="Arial" w:hAnsi="Arial"/>
          <w:sz w:val="17"/>
          <w:szCs w:val="17"/>
          <w:i w:val="1"/>
          <w:iCs w:val="1"/>
          <w:color w:val="auto"/>
        </w:rPr>
        <w:t>Revenue Recognition (Topic 605), Revenue from Contracts with Customers (Topic 606), 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840), and Leases (Topic 842)"</w:t>
      </w:r>
      <w:r>
        <w:rPr>
          <w:rFonts w:ascii="Arial" w:cs="Arial" w:eastAsia="Arial" w:hAnsi="Arial"/>
          <w:sz w:val="17"/>
          <w:szCs w:val="17"/>
          <w:color w:val="auto"/>
        </w:rPr>
        <w:t>, which provided additional implementation guidance on the previously issued topics. The Company has not yet</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its assessment of the impact of the new standard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NTELOS Holdings Corp. and Exchange with Sprint</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May 6, 2016, (the "acquisition date"), the Company completed its acquisition of NTELOS Holdings Corp. (nTelos). nTelos, was a regional provider of wireless telecommunications solutions and was acquired to expand the Company's wireless service area and subscriber base, thus strengthening the Company's relationship with Sprint Corporation (Sprint).</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Pursuant to the terms of the Agreement and Plan of Merger between the Company and nTelos (the "Merger Agreement"), nTelos became a direct wholly owned subsidiary of the Company. Pursuant to the terms of the Merger Agreement, the Company acquired all of the issued and outstanding capital stock of nTelos for an aggregate purchase price of $667.8 million. The purchase price was financed by a credit facility arranged by CoBank, ACB, Royal Bank of Canada, Fifth Third Bank, Bank of America, N.A., Capital One, National Association, Citizens Bank N.A., and Toronto Dominion (Texas) LLC.</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Transaction costs in connection with the acquisition were expensed as incurred and are included in integration and acquisition expenses in the condensed consolidated statement of operations. The results of operations related to nTelos are included in our consolidated statements of operations beginning from the date of acquisition.</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accounted for the acquisition of nTelos under the acquisition method of accounting, in accordance with FASB's Accounting Standards Codification (“ASC”) 805, “Business Combinations”, and has accounted for measurement period adjustments under ASU 2015-16, “Simplifying the Accounting for Measurement Period Adjustments”. Estimates of fair value included in the consolidated financial statements, in conformity with ASC 820, "Fair Value Measurements and Disclosures", represent the Company's best estimates and valuations. In accordance with ASC 805, "Business Combinations", the allocation of the consideration value was subject to adjustment until the Company completed its analysis, in a period of time, but not to exceed one year after the date of acquisition, or May 6, 2017, in order to provide the Company with the time to complete the valuation of its assets and liabilities. The Company has completed and finalized its analysis and allocation of the consideration value to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125" w:right="31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final purchase price allocation to assets acquired and liabilities assumed, including measurement period adjustments: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Measurement Period</w:t>
            </w: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Initial Estimate</w:t>
            </w:r>
          </w:p>
        </w:tc>
        <w:tc>
          <w:tcPr>
            <w:tcW w:w="20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Adjustments</w:t>
            </w:r>
          </w:p>
        </w:tc>
        <w:tc>
          <w:tcPr>
            <w:tcW w:w="206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Purchase Price Allocation</w:t>
            </w:r>
          </w:p>
        </w:tc>
        <w:tc>
          <w:tcPr>
            <w:tcW w:w="0" w:type="dxa"/>
            <w:vAlign w:val="bottom"/>
          </w:tcPr>
          <w:p>
            <w:pPr>
              <w:spacing w:after="0"/>
              <w:rPr>
                <w:sz w:val="1"/>
                <w:szCs w:val="1"/>
                <w:color w:val="auto"/>
              </w:rPr>
            </w:pPr>
          </w:p>
        </w:tc>
      </w:tr>
      <w:tr>
        <w:trPr>
          <w:trHeight w:val="34"/>
        </w:trPr>
        <w:tc>
          <w:tcPr>
            <w:tcW w:w="5000" w:type="dxa"/>
            <w:vAlign w:val="bottom"/>
            <w:vMerge w:val="restart"/>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00" w:type="dxa"/>
            <w:vAlign w:val="bottom"/>
            <w:vMerge w:val="continue"/>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48,476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47,234</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14,835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14,835</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Building held for sale</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223,900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227,247</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Spectrum licenses (1), (2)</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198,200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198,200</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Acquired subscribers - wireless (1), (2)</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198,200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7,746</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205,946</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Favorable lease intangible assets (2)</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6,029</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17,029</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Goodwill (3)</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151,627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146,383</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Other long term assets</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10,288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10,843</w:t>
            </w:r>
          </w:p>
        </w:tc>
        <w:tc>
          <w:tcPr>
            <w:tcW w:w="0" w:type="dxa"/>
            <w:vAlign w:val="bottom"/>
          </w:tcPr>
          <w:p>
            <w:pPr>
              <w:spacing w:after="0"/>
              <w:rPr>
                <w:sz w:val="1"/>
                <w:szCs w:val="1"/>
                <w:color w:val="auto"/>
              </w:rPr>
            </w:pPr>
          </w:p>
        </w:tc>
      </w:tr>
      <w:tr>
        <w:trPr>
          <w:trHeight w:val="34"/>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Total assets acquired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868,954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11,953</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880,907</w:t>
            </w:r>
          </w:p>
        </w:tc>
        <w:tc>
          <w:tcPr>
            <w:tcW w:w="0" w:type="dxa"/>
            <w:vAlign w:val="bottom"/>
          </w:tcPr>
          <w:p>
            <w:pPr>
              <w:spacing w:after="0"/>
              <w:rPr>
                <w:sz w:val="1"/>
                <w:szCs w:val="1"/>
                <w:color w:val="auto"/>
              </w:rPr>
            </w:pPr>
          </w:p>
        </w:tc>
      </w:tr>
      <w:tr>
        <w:trPr>
          <w:trHeight w:val="34"/>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5000" w:type="dxa"/>
            <w:vAlign w:val="bottom"/>
          </w:tcPr>
          <w:p>
            <w:pPr>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4"/>
                <w:szCs w:val="24"/>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8,648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8,543</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Advanced billings and customer deposits</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12,477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12,477</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25,230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23,141</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Capital lease liability</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124,964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129,291</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Retirement benefits</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19,461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19,198</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14,056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6,029</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20,085</w:t>
            </w:r>
          </w:p>
        </w:tc>
        <w:tc>
          <w:tcPr>
            <w:tcW w:w="0" w:type="dxa"/>
            <w:vAlign w:val="bottom"/>
          </w:tcPr>
          <w:p>
            <w:pPr>
              <w:spacing w:after="0"/>
              <w:rPr>
                <w:sz w:val="1"/>
                <w:szCs w:val="1"/>
                <w:color w:val="auto"/>
              </w:rPr>
            </w:pPr>
          </w:p>
        </w:tc>
      </w:tr>
      <w:tr>
        <w:trPr>
          <w:trHeight w:val="34"/>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Total liabilities assumed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205,254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7,899</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213,153</w:t>
            </w:r>
          </w:p>
        </w:tc>
        <w:tc>
          <w:tcPr>
            <w:tcW w:w="0" w:type="dxa"/>
            <w:vAlign w:val="bottom"/>
          </w:tcPr>
          <w:p>
            <w:pPr>
              <w:spacing w:after="0"/>
              <w:rPr>
                <w:sz w:val="1"/>
                <w:szCs w:val="1"/>
                <w:color w:val="auto"/>
              </w:rPr>
            </w:pPr>
          </w:p>
        </w:tc>
      </w:tr>
      <w:tr>
        <w:trPr>
          <w:trHeight w:val="34"/>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5000" w:type="dxa"/>
            <w:vAlign w:val="bottom"/>
          </w:tcPr>
          <w:p>
            <w:pPr>
              <w:spacing w:after="0"/>
              <w:rPr>
                <w:sz w:val="20"/>
                <w:szCs w:val="20"/>
                <w:color w:val="auto"/>
              </w:rPr>
            </w:pPr>
            <w:r>
              <w:rPr>
                <w:rFonts w:ascii="Arial" w:cs="Arial" w:eastAsia="Arial" w:hAnsi="Arial"/>
                <w:sz w:val="18"/>
                <w:szCs w:val="18"/>
                <w:color w:val="auto"/>
              </w:rPr>
              <w:t>Net assets acquired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663,700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24"/>
                <w:szCs w:val="24"/>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667,754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20" w:hanging="328"/>
        <w:spacing w:after="0" w:line="28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Concurrently with acquiring nTelos, the Company completed its previously announced transaction with SprintCom, Inc., a subsidiary of Sprint. Pursuant to this transaction, among other things, the Company exchanged spectrum licenses, valued at $198.2 million and acquired subscribers - wireless, valued at $206.0 million, acquired from nTelos with Sprint, and received an expansion of its affiliate service territory to include most of the service area served by nTelos, valued at $283.3 million, as well as additional acquired subscribers - wireless, valued at $120.9 million, relating to nTelos’ and Sprint’s legacy customers in the Company’s affiliate service territory. These exchanges were accounted for in accordance with ASC 845, “Nonmonetary Transactions”. The transfer of spectrum to Sprint resulted in a taxable gain to the Company which will be recognized as the Company recognizes the cash benefit of the waived management fees over the remaining approximately five years.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Identifiable intangible assets were measured using a combination of an income approach and a market approach.</w:t>
      </w:r>
    </w:p>
    <w:p>
      <w:pPr>
        <w:spacing w:after="0" w:line="9" w:lineRule="exact"/>
        <w:rPr>
          <w:rFonts w:ascii="Arial" w:cs="Arial" w:eastAsia="Arial" w:hAnsi="Arial"/>
          <w:sz w:val="18"/>
          <w:szCs w:val="18"/>
          <w:color w:val="auto"/>
        </w:rPr>
      </w:pPr>
    </w:p>
    <w:p>
      <w:pPr>
        <w:ind w:left="660" w:right="38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is the excess of the consideration transferred over the net assets recognized and represents the future economic benefits, primarily as a result of other assets acquired that could not be individually identified and separately recognized. The Company has recorded goodwill in its Wireless segment as a result of the nTelos acquisition. Goodwill is not amortized. The goodwill that arose from the acquisition of nTelos is not deductible for tax purposes.</w:t>
      </w:r>
    </w:p>
    <w:p>
      <w:pPr>
        <w:spacing w:after="0" w:line="1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to the changes in the balances reflected above, the Company revised provisional estimated useful lives of certain assets and recorded an adjustment to amortization expense of $0.1 million during the three months ended June 30, 2017, and recorded an adjustment during 2016 of $4.6 million to depreciation expense relating to the three months ended June 30, 2016.</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Acquisition-related costs primarily related to legal services, professional services, and severance accruals, were expensed as incurred. For the three and nine months ended September 30, 2016, the Company incurred acquisition-related costs of $0.8 million and $15.9 million, respectively.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333" w:lineRule="exact"/>
        <w:rPr>
          <w:sz w:val="20"/>
          <w:szCs w:val="20"/>
          <w:color w:val="auto"/>
        </w:rPr>
      </w:pPr>
    </w:p>
    <w:p>
      <w:pPr>
        <w:jc w:val="both"/>
        <w:ind w:right="1000"/>
        <w:spacing w:after="0" w:line="334" w:lineRule="auto"/>
        <w:rPr>
          <w:sz w:val="20"/>
          <w:szCs w:val="20"/>
          <w:color w:val="auto"/>
        </w:rPr>
      </w:pPr>
      <w:r>
        <w:rPr>
          <w:rFonts w:ascii="Arial" w:cs="Arial" w:eastAsia="Arial" w:hAnsi="Arial"/>
          <w:sz w:val="16"/>
          <w:szCs w:val="16"/>
          <w:color w:val="auto"/>
        </w:rPr>
        <w:t>The amounts of operating revenue and income or loss before income taxes related to the former nTelos entity are not readily determinable due to intercompany transactions, allocations and integration activities that have occurred in connection with the operations of the combined company.</w:t>
      </w:r>
    </w:p>
    <w:p>
      <w:pPr>
        <w:spacing w:after="0" w:line="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pro forma information, based on estimates and assumptions that the Company believes to be reasonable, for the Company as if the acquisition of nTelos had occurred at the beginning of 2016: (in millions)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8"/>
                <w:szCs w:val="18"/>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3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September 30, 2016</w:t>
            </w:r>
          </w:p>
        </w:tc>
        <w:tc>
          <w:tcPr>
            <w:tcW w:w="140" w:type="dxa"/>
            <w:vAlign w:val="bottom"/>
          </w:tcPr>
          <w:p>
            <w:pPr>
              <w:spacing w:after="0"/>
              <w:rPr>
                <w:sz w:val="20"/>
                <w:szCs w:val="20"/>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w w:val="88"/>
              </w:rPr>
              <w:t>September 30, 2016</w:t>
            </w:r>
          </w:p>
        </w:tc>
      </w:tr>
      <w:tr>
        <w:trPr>
          <w:trHeight w:val="34"/>
        </w:trPr>
        <w:tc>
          <w:tcPr>
            <w:tcW w:w="3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492.1</w:t>
            </w:r>
          </w:p>
        </w:tc>
      </w:tr>
      <w:tr>
        <w:trPr>
          <w:trHeight w:val="270"/>
        </w:trPr>
        <w:tc>
          <w:tcPr>
            <w:tcW w:w="34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pro forma information provided in the table above is not necessarily indicative of the consolidated results of operations for future periods or the results that actually would have been realized had the acquisition been completed at the beginning of the periods presented.</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pro forma information provided in the table above is based upon estimated valuations of the assets acquired and liabilities assumed as well as estimates of depreciation and amortization charges thereon. Other estimated pro forma adjustments include the following:</w:t>
      </w:r>
    </w:p>
    <w:p>
      <w:pPr>
        <w:spacing w:after="0" w:line="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nTelos' reported revenues from cancelling nTelos' wholesale contract with Sprint;</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incorporation of the Sprint-homed customers formerly serviced under the wholesale agreement into the Company’s affiliate service territory under the Company’s affiliate agreement with Sprint;</w:t>
      </w:r>
    </w:p>
    <w:p>
      <w:pPr>
        <w:ind w:left="660" w:right="1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other changes to revenues and expenses due to various provisions of the affiliate agreement, including fees charged under the affiliate agreement on revenues from former nTelos customers, a reduction of the net service fee charged by Sprint, the straight-line impact of the waived management fee, and the amortization of the affiliate agreement expansion intangible asset; and the elimination of non-recurring transaction related expenses incurred by the Company and nTelos;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elimination of certain nTelos operating costs associated with billing and care that are covered under the fees charged by Sprint under the affiliate agreement;</w:t>
      </w:r>
    </w:p>
    <w:p>
      <w:pPr>
        <w:ind w:left="660" w:right="12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historical depreciation expense was reduced for the fair value adjustment decreasing the basis of property, plant and equipment; this decrease was offset by a shorter estimated useful life to conform to the Company’s standard policy and the acceleration of depreciation on certain equipment;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incremental amortization due to the Acquired subscribers - wireless intangible asset.</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acquisition of nTelos, the Company incurs costs which include the nTelos back office staff and support functions until the nTelos legacy customers are migrated to the Sprint billing platform; costs of the handsets to be provided to nTelos legacy customers as they migrate to the Sprint billing platform; severance costs for back office and other former nTelos employees who will not be retained permanently; and costs to shut down certain cell sites and related backhaul contracts. The Company has incurred these costs as follows:</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540" w:type="dxa"/>
            <w:vAlign w:val="bottom"/>
            <w:gridSpan w:val="4"/>
          </w:tcPr>
          <w:p>
            <w:pPr>
              <w:jc w:val="center"/>
              <w:ind w:right="60"/>
              <w:spacing w:after="0"/>
              <w:rPr>
                <w:sz w:val="20"/>
                <w:szCs w:val="20"/>
                <w:color w:val="auto"/>
              </w:rPr>
            </w:pPr>
            <w:r>
              <w:rPr>
                <w:rFonts w:ascii="Arial" w:cs="Arial" w:eastAsia="Arial" w:hAnsi="Arial"/>
                <w:sz w:val="18"/>
                <w:szCs w:val="18"/>
                <w:color w:val="auto"/>
                <w:w w:val="90"/>
              </w:rPr>
              <w:t>Three Months Ended</w:t>
            </w:r>
          </w:p>
        </w:tc>
        <w:tc>
          <w:tcPr>
            <w:tcW w:w="2440" w:type="dxa"/>
            <w:vAlign w:val="bottom"/>
            <w:gridSpan w:val="3"/>
          </w:tcPr>
          <w:p>
            <w:pPr>
              <w:jc w:val="right"/>
              <w:ind w:right="390"/>
              <w:spacing w:after="0"/>
              <w:rPr>
                <w:sz w:val="20"/>
                <w:szCs w:val="20"/>
                <w:color w:val="auto"/>
              </w:rPr>
            </w:pPr>
            <w:r>
              <w:rPr>
                <w:rFonts w:ascii="Arial" w:cs="Arial" w:eastAsia="Arial" w:hAnsi="Arial"/>
                <w:sz w:val="18"/>
                <w:szCs w:val="18"/>
                <w:color w:val="auto"/>
              </w:rPr>
              <w:t>Nine Months Ended</w:t>
            </w:r>
          </w:p>
        </w:tc>
      </w:tr>
      <w:tr>
        <w:trPr>
          <w:trHeight w:val="230"/>
        </w:trPr>
        <w:tc>
          <w:tcPr>
            <w:tcW w:w="4200" w:type="dxa"/>
            <w:vAlign w:val="bottom"/>
          </w:tcPr>
          <w:p>
            <w:pPr>
              <w:spacing w:after="0"/>
              <w:rPr>
                <w:sz w:val="20"/>
                <w:szCs w:val="20"/>
                <w:color w:val="auto"/>
              </w:rPr>
            </w:pPr>
          </w:p>
        </w:tc>
        <w:tc>
          <w:tcPr>
            <w:tcW w:w="2540" w:type="dxa"/>
            <w:vAlign w:val="bottom"/>
            <w:gridSpan w:val="4"/>
          </w:tcPr>
          <w:p>
            <w:pPr>
              <w:jc w:val="center"/>
              <w:ind w:right="60"/>
              <w:spacing w:after="0"/>
              <w:rPr>
                <w:sz w:val="20"/>
                <w:szCs w:val="20"/>
                <w:color w:val="auto"/>
              </w:rPr>
            </w:pPr>
            <w:r>
              <w:rPr>
                <w:rFonts w:ascii="Arial" w:cs="Arial" w:eastAsia="Arial" w:hAnsi="Arial"/>
                <w:sz w:val="18"/>
                <w:szCs w:val="18"/>
                <w:color w:val="auto"/>
                <w:w w:val="88"/>
              </w:rPr>
              <w:t>September 30,</w:t>
            </w:r>
          </w:p>
        </w:tc>
        <w:tc>
          <w:tcPr>
            <w:tcW w:w="2440" w:type="dxa"/>
            <w:vAlign w:val="bottom"/>
            <w:gridSpan w:val="3"/>
          </w:tcPr>
          <w:p>
            <w:pPr>
              <w:jc w:val="right"/>
              <w:ind w:right="590"/>
              <w:spacing w:after="0"/>
              <w:rPr>
                <w:sz w:val="20"/>
                <w:szCs w:val="20"/>
                <w:color w:val="auto"/>
              </w:rPr>
            </w:pPr>
            <w:r>
              <w:rPr>
                <w:rFonts w:ascii="Arial" w:cs="Arial" w:eastAsia="Arial" w:hAnsi="Arial"/>
                <w:sz w:val="18"/>
                <w:szCs w:val="18"/>
                <w:color w:val="auto"/>
              </w:rPr>
              <w:t>September 30,</w:t>
            </w:r>
          </w:p>
        </w:tc>
      </w:tr>
      <w:tr>
        <w:trPr>
          <w:trHeight w:val="34"/>
        </w:trPr>
        <w:tc>
          <w:tcPr>
            <w:tcW w:w="4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4200" w:type="dxa"/>
            <w:vAlign w:val="bottom"/>
          </w:tcPr>
          <w:p>
            <w:pPr>
              <w:spacing w:after="0"/>
              <w:rPr>
                <w:sz w:val="20"/>
                <w:szCs w:val="20"/>
                <w:color w:val="auto"/>
              </w:rPr>
            </w:pPr>
            <w:r>
              <w:rPr>
                <w:rFonts w:ascii="Arial" w:cs="Arial" w:eastAsia="Arial" w:hAnsi="Arial"/>
                <w:sz w:val="18"/>
                <w:szCs w:val="18"/>
                <w:color w:val="auto"/>
              </w:rPr>
              <w:t>Statement of Operations location:</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4200" w:type="dxa"/>
            <w:vAlign w:val="bottom"/>
          </w:tcPr>
          <w:p>
            <w:pPr>
              <w:spacing w:after="0"/>
              <w:rPr>
                <w:sz w:val="20"/>
                <w:szCs w:val="20"/>
                <w:color w:val="auto"/>
              </w:rPr>
            </w:pPr>
            <w:r>
              <w:rPr>
                <w:rFonts w:ascii="Arial" w:cs="Arial" w:eastAsia="Arial" w:hAnsi="Arial"/>
                <w:sz w:val="18"/>
                <w:szCs w:val="18"/>
                <w:color w:val="auto"/>
              </w:rPr>
              <w:t>Integration and acquisition</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r>
      <w:tr>
        <w:trPr>
          <w:trHeight w:val="264"/>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0"/>
        </w:trPr>
        <w:tc>
          <w:tcPr>
            <w:tcW w:w="4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affiliate agreement expansion discussed above is based on changes to the amended affiliate agreement that include:</w:t>
      </w:r>
    </w:p>
    <w:p>
      <w:pPr>
        <w:spacing w:after="0" w:line="14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price to be paid by Sprint from 80% to 90% of the entire business value if the affiliate agreement is not renewed;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extension of the affiliate agreement with Sprint by five years to 2029;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expanded territory in the nTelos service area;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rights to serve all future Sprint customers in the affiliate service territory;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commitment to upgrade certain coverage and capacity in its newly acquired service area;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660" w:right="10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reduction of the management fee charged by Sprint under the amended affiliate agreement; not to exceed $4.2 million in an individual month until the total waived fee equals $251.8 million, as well as an additional waiver of the management fee charged with respect to the former nTelos customers until the earlier of migration to the Sprint back-office billing and related systems or six months following the acquisition; not to exceed $5.0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resulting from the acquisition of nTelos and the Sprint exchange, both described above, are noted below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840" w:type="dxa"/>
            <w:vAlign w:val="bottom"/>
            <w:gridSpan w:val="2"/>
          </w:tcPr>
          <w:p>
            <w:pPr>
              <w:ind w:left="440"/>
              <w:spacing w:after="0"/>
              <w:rPr>
                <w:sz w:val="20"/>
                <w:szCs w:val="20"/>
                <w:color w:val="auto"/>
              </w:rPr>
            </w:pPr>
            <w:r>
              <w:rPr>
                <w:rFonts w:ascii="Arial" w:cs="Arial" w:eastAsia="Arial" w:hAnsi="Arial"/>
                <w:sz w:val="18"/>
                <w:szCs w:val="18"/>
                <w:color w:val="auto"/>
              </w:rPr>
              <w:t>Useful Life</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Basis</w:t>
            </w:r>
          </w:p>
        </w:tc>
      </w:tr>
      <w:tr>
        <w:trPr>
          <w:trHeight w:val="27"/>
        </w:trPr>
        <w:tc>
          <w:tcPr>
            <w:tcW w:w="35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r>
              <w:rPr>
                <w:rFonts w:ascii="Arial" w:cs="Arial" w:eastAsia="Arial" w:hAnsi="Arial"/>
                <w:sz w:val="18"/>
                <w:szCs w:val="18"/>
                <w:color w:val="auto"/>
              </w:rPr>
              <w:t>Affiliate contract expansion</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14 years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283,302</w:t>
            </w:r>
          </w:p>
        </w:tc>
      </w:tr>
      <w:tr>
        <w:trPr>
          <w:trHeight w:val="270"/>
        </w:trPr>
        <w:tc>
          <w:tcPr>
            <w:tcW w:w="3540" w:type="dxa"/>
            <w:vAlign w:val="bottom"/>
          </w:tcPr>
          <w:p>
            <w:pPr>
              <w:spacing w:after="0"/>
              <w:rPr>
                <w:sz w:val="20"/>
                <w:szCs w:val="20"/>
                <w:color w:val="auto"/>
              </w:rPr>
            </w:pPr>
            <w:r>
              <w:rPr>
                <w:rFonts w:ascii="Arial" w:cs="Arial" w:eastAsia="Arial" w:hAnsi="Arial"/>
                <w:sz w:val="18"/>
                <w:szCs w:val="18"/>
                <w:color w:val="auto"/>
              </w:rPr>
              <w:t>Acquired subscribers - wireless</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4-10 years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120,855</w:t>
            </w:r>
          </w:p>
        </w:tc>
      </w:tr>
      <w:tr>
        <w:trPr>
          <w:trHeight w:val="270"/>
        </w:trPr>
        <w:tc>
          <w:tcPr>
            <w:tcW w:w="3540" w:type="dxa"/>
            <w:vAlign w:val="bottom"/>
          </w:tcPr>
          <w:p>
            <w:pPr>
              <w:spacing w:after="0"/>
              <w:rPr>
                <w:sz w:val="20"/>
                <w:szCs w:val="20"/>
                <w:color w:val="auto"/>
              </w:rPr>
            </w:pPr>
            <w:r>
              <w:rPr>
                <w:rFonts w:ascii="Arial" w:cs="Arial" w:eastAsia="Arial" w:hAnsi="Arial"/>
                <w:sz w:val="18"/>
                <w:szCs w:val="18"/>
                <w:color w:val="auto"/>
              </w:rPr>
              <w:t>Favorable lease intangible assets</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10 years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17,029</w:t>
            </w:r>
          </w:p>
        </w:tc>
      </w:tr>
    </w:tbl>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affiliate contract expansion intangible asset is amortized on a straight-line basis and recorded as a contra-revenue over the remaining 14 year initial contract term. The Acquired subscribers rights - wireless intangible is amortized over the life of the customers, gradually decreasing over the expected life of this asset, and recorded through amortization expense. The favorable lease intangible assets are amortized on a straight-line basis and recorded through rent expense. The value of these intangible assets includes measurement period adjustments.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Expansion Area</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April 6, 2017, the Company expanded its affiliate service territory, under its agreements with Sprint, to include certain areas in North Carolina, Kentucky, Maryland, Ohio and West Virginia. The expanded territory includes the Parkersburg, WV, Huntington, WV, and Cumberland, MD, basic trading</w:t>
      </w:r>
    </w:p>
    <w:p>
      <w:pPr>
        <w:ind w:right="180"/>
        <w:spacing w:after="0" w:line="261" w:lineRule="auto"/>
        <w:rPr>
          <w:sz w:val="20"/>
          <w:szCs w:val="20"/>
          <w:color w:val="auto"/>
        </w:rPr>
      </w:pPr>
      <w:r>
        <w:rPr>
          <w:rFonts w:ascii="Arial" w:cs="Arial" w:eastAsia="Arial" w:hAnsi="Arial"/>
          <w:sz w:val="18"/>
          <w:szCs w:val="18"/>
          <w:color w:val="auto"/>
        </w:rPr>
        <w:t>areas. Approximately 25,000 Sprint retail and former nTelos postpaid and prepaid subscribers in the new basic trading areas became Sprint-branded affiliate customers managed by the Company.</w:t>
      </w:r>
    </w:p>
    <w:p>
      <w:pPr>
        <w:spacing w:after="0" w:line="2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8120" w:type="dxa"/>
            <w:vAlign w:val="bottom"/>
            <w:gridSpan w:val="2"/>
            <w:vMerge w:val="restart"/>
          </w:tcPr>
          <w:p>
            <w:pPr>
              <w:ind w:left="40"/>
              <w:spacing w:after="0"/>
              <w:rPr>
                <w:sz w:val="20"/>
                <w:szCs w:val="20"/>
                <w:color w:val="auto"/>
              </w:rPr>
            </w:pPr>
            <w:r>
              <w:rPr>
                <w:rFonts w:ascii="Arial" w:cs="Arial" w:eastAsia="Arial" w:hAnsi="Arial"/>
                <w:sz w:val="18"/>
                <w:szCs w:val="18"/>
                <w:color w:val="auto"/>
              </w:rPr>
              <w:t>Plant in service</w:t>
            </w: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20" w:type="dxa"/>
            <w:vAlign w:val="bottom"/>
            <w:gridSpan w:val="2"/>
            <w:vMerge w:val="continue"/>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1,187,799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1,085,318</w:t>
            </w:r>
          </w:p>
        </w:tc>
        <w:tc>
          <w:tcPr>
            <w:tcW w:w="0" w:type="dxa"/>
            <w:vAlign w:val="bottom"/>
          </w:tcPr>
          <w:p>
            <w:pPr>
              <w:spacing w:after="0"/>
              <w:rPr>
                <w:sz w:val="1"/>
                <w:szCs w:val="1"/>
                <w:color w:val="auto"/>
              </w:rPr>
            </w:pP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Plant under construction</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67,099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73,759</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1,254,898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1,159,077</w:t>
            </w:r>
          </w:p>
        </w:tc>
        <w:tc>
          <w:tcPr>
            <w:tcW w:w="0" w:type="dxa"/>
            <w:vAlign w:val="bottom"/>
          </w:tcPr>
          <w:p>
            <w:pPr>
              <w:spacing w:after="0"/>
              <w:rPr>
                <w:sz w:val="1"/>
                <w:szCs w:val="1"/>
                <w:color w:val="auto"/>
              </w:rPr>
            </w:pP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Less accumulated amortization and depreciation</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571,543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460,955</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7960" w:type="dxa"/>
            <w:vAlign w:val="bottom"/>
            <w:vMerge w:val="restart"/>
          </w:tcPr>
          <w:p>
            <w:pPr>
              <w:ind w:left="20"/>
              <w:spacing w:after="0"/>
              <w:rPr>
                <w:sz w:val="20"/>
                <w:szCs w:val="20"/>
                <w:color w:val="auto"/>
              </w:rPr>
            </w:pPr>
            <w:r>
              <w:rPr>
                <w:rFonts w:ascii="Arial" w:cs="Arial" w:eastAsia="Arial" w:hAnsi="Arial"/>
                <w:sz w:val="18"/>
                <w:szCs w:val="18"/>
                <w:color w:val="auto"/>
              </w:rPr>
              <w:t>Net property, plant and equipment</w:t>
            </w: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7960" w:type="dxa"/>
            <w:vAlign w:val="bottom"/>
            <w:vMerge w:val="continue"/>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683,355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698,122</w:t>
            </w:r>
          </w:p>
        </w:tc>
        <w:tc>
          <w:tcPr>
            <w:tcW w:w="0" w:type="dxa"/>
            <w:vAlign w:val="bottom"/>
          </w:tcPr>
          <w:p>
            <w:pPr>
              <w:spacing w:after="0"/>
              <w:rPr>
                <w:sz w:val="1"/>
                <w:szCs w:val="1"/>
                <w:color w:val="auto"/>
              </w:rPr>
            </w:pPr>
          </w:p>
        </w:tc>
      </w:tr>
      <w:tr>
        <w:trPr>
          <w:trHeight w:val="27"/>
        </w:trPr>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4.</w:t>
            </w:r>
          </w:p>
        </w:tc>
        <w:tc>
          <w:tcPr>
            <w:tcW w:w="79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Earnings (loss) per share ("EPS")</w:t>
            </w: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vMerge w:val="continue"/>
          </w:tcPr>
          <w:p>
            <w:pPr>
              <w:spacing w:after="0" w:line="20" w:lineRule="exact"/>
              <w:rPr>
                <w:sz w:val="1"/>
                <w:szCs w:val="1"/>
                <w:color w:val="auto"/>
              </w:rPr>
            </w:pPr>
          </w:p>
        </w:tc>
        <w:tc>
          <w:tcPr>
            <w:tcW w:w="79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vMerge w:val="continue"/>
          </w:tcPr>
          <w:p>
            <w:pPr>
              <w:spacing w:after="0"/>
              <w:rPr>
                <w:sz w:val="24"/>
                <w:szCs w:val="24"/>
                <w:color w:val="auto"/>
              </w:rPr>
            </w:pPr>
          </w:p>
        </w:tc>
        <w:tc>
          <w:tcPr>
            <w:tcW w:w="7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Basic net income (loss) per share was computed by dividing net income or loss by the weighted average number of shares of common stock outstanding during the period. Diluted net income (loss) per share was computed under the treasury stock method, assuming the conversion as of the beginning of the period, for all dilutive stock options. Diluted EPS was computed by dividing net income by the sum of the weighted average number of shares of common stock outstanding and potentially dilutive securities outstanding during the period under the treasury stock method. Potentially dilutive securities include stock options and restricted stock units and shares that the Company is contractually obligated to issue in the future.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1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2000" w:type="dxa"/>
            <w:vAlign w:val="bottom"/>
            <w:gridSpan w:val="4"/>
          </w:tcPr>
          <w:p>
            <w:pPr>
              <w:jc w:val="right"/>
              <w:ind w:right="2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000" w:type="dxa"/>
            <w:vAlign w:val="bottom"/>
            <w:gridSpan w:val="4"/>
          </w:tcPr>
          <w:p>
            <w:pPr>
              <w:jc w:val="right"/>
              <w:ind w:right="49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34"/>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5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7"/>
        </w:trPr>
        <w:tc>
          <w:tcPr>
            <w:tcW w:w="4560" w:type="dxa"/>
            <w:vAlign w:val="bottom"/>
          </w:tcPr>
          <w:p>
            <w:pPr>
              <w:spacing w:after="0"/>
              <w:rPr>
                <w:sz w:val="20"/>
                <w:szCs w:val="20"/>
                <w:color w:val="auto"/>
              </w:rPr>
            </w:pPr>
            <w:r>
              <w:rPr>
                <w:rFonts w:ascii="Arial" w:cs="Arial" w:eastAsia="Arial" w:hAnsi="Arial"/>
                <w:sz w:val="18"/>
                <w:szCs w:val="18"/>
                <w:color w:val="auto"/>
              </w:rPr>
              <w:t>Basic income (loss) per share</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56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(7,596)</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7"/>
        </w:trPr>
        <w:tc>
          <w:tcPr>
            <w:tcW w:w="4560" w:type="dxa"/>
            <w:vAlign w:val="bottom"/>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48,909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48,768</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0"/>
                <w:szCs w:val="20"/>
                <w:color w:val="auto"/>
              </w:rPr>
            </w:pPr>
            <w:r>
              <w:rPr>
                <w:rFonts w:ascii="Arial" w:cs="Arial" w:eastAsia="Arial" w:hAnsi="Arial"/>
                <w:sz w:val="18"/>
                <w:szCs w:val="18"/>
                <w:color w:val="auto"/>
              </w:rPr>
              <w:t>Basic income (loss) per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Effect of stock options and awards outstanding:</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49,133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48,909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48,768</w:t>
            </w:r>
          </w:p>
        </w:tc>
        <w:tc>
          <w:tcPr>
            <w:tcW w:w="0" w:type="dxa"/>
            <w:vAlign w:val="bottom"/>
          </w:tcPr>
          <w:p>
            <w:pPr>
              <w:spacing w:after="0"/>
              <w:rPr>
                <w:sz w:val="1"/>
                <w:szCs w:val="1"/>
                <w:color w:val="auto"/>
              </w:rPr>
            </w:pPr>
          </w:p>
        </w:tc>
      </w:tr>
      <w:tr>
        <w:trPr>
          <w:trHeight w:val="304"/>
        </w:trPr>
        <w:tc>
          <w:tcPr>
            <w:tcW w:w="4560" w:type="dxa"/>
            <w:vAlign w:val="bottom"/>
          </w:tcPr>
          <w:p>
            <w:pPr>
              <w:ind w:left="140"/>
              <w:spacing w:after="0"/>
              <w:rPr>
                <w:sz w:val="20"/>
                <w:szCs w:val="20"/>
                <w:color w:val="auto"/>
              </w:rPr>
            </w:pPr>
            <w:r>
              <w:rPr>
                <w:rFonts w:ascii="Arial" w:cs="Arial" w:eastAsia="Arial" w:hAnsi="Arial"/>
                <w:sz w:val="18"/>
                <w:szCs w:val="18"/>
                <w:color w:val="auto"/>
              </w:rPr>
              <w:t>Effect from dilutive shares and options outstanding</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56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49,959</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48,909</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49,869</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48,768</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Due to the net loss for the three and nine months ended September 30, 2016, no adjustment was made to basic shares, as such an adjustment would have been anti-dilutive.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computation of diluted EPS does not include certain unvested awards, on a weighted average basis, because their inclusion would have an anti-dilutive effect on EPS. The awards excluded because of their anti-dilutive effect are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7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2600" w:type="dxa"/>
            <w:vAlign w:val="bottom"/>
            <w:gridSpan w:val="3"/>
          </w:tcPr>
          <w:p>
            <w:pPr>
              <w:jc w:val="center"/>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p>
        </w:tc>
        <w:tc>
          <w:tcPr>
            <w:tcW w:w="27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September 30,</w:t>
            </w:r>
          </w:p>
        </w:tc>
        <w:tc>
          <w:tcPr>
            <w:tcW w:w="260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040" w:type="dxa"/>
            <w:vAlign w:val="bottom"/>
            <w:vMerge w:val="restart"/>
          </w:tcPr>
          <w:p>
            <w:pPr>
              <w:spacing w:after="0"/>
              <w:rPr>
                <w:sz w:val="20"/>
                <w:szCs w:val="20"/>
                <w:color w:val="auto"/>
              </w:rPr>
            </w:pPr>
            <w:r>
              <w:rPr>
                <w:rFonts w:ascii="Arial" w:cs="Arial" w:eastAsia="Arial" w:hAnsi="Arial"/>
                <w:sz w:val="18"/>
                <w:szCs w:val="18"/>
                <w:color w:val="auto"/>
                <w:w w:val="94"/>
              </w:rPr>
              <w:t>Awards excluded from the computation of diluted net income per share because</w:t>
            </w: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1380" w:type="dxa"/>
            <w:vAlign w:val="bottom"/>
            <w:gridSpan w:val="2"/>
            <w:vMerge w:val="restart"/>
          </w:tcPr>
          <w:p>
            <w:pPr>
              <w:ind w:left="96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r>
              <w:rPr>
                <w:rFonts w:ascii="Arial" w:cs="Arial" w:eastAsia="Arial" w:hAnsi="Arial"/>
                <w:sz w:val="18"/>
                <w:szCs w:val="18"/>
                <w:color w:val="auto"/>
              </w:rPr>
              <w:t>their inclusion would have been anti-dilutive</w:t>
            </w:r>
          </w:p>
        </w:tc>
        <w:tc>
          <w:tcPr>
            <w:tcW w:w="138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Investments include $3.3 million and $2.9 million of investments carried at fair value as of September 30, 2017 and December 31, 2016, respectively, consisting of equity, bond and money market mutual funds. Investments carried at fair value were acquired under a rabbi trust arrangement related to the Company’s nonqualified Supplemental Executive Retirement Plan (the “SERP”). The Company purchases investments in the trust to mirror the investment elections of participants in the SERP; gains and losses on the investments in the trust are reflected as increases or decreases in the liability owed to the participants. During the nine months ended September 30, 2017, the Company recognized $59 thousand in dividend and interest income from investments, and recorded net unrealized gains of $308 thousand on these investments. Fair values for these investments held under the rabbi trust were determined by Level 1 quoted market prices for the underlying mutual funds. Changes in carrying value of investments are recorded within gain on investments, net on the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September 30, 2017 and December 31, 2016, other investments, comprised of equity securities which do not have readily determinable fair values, consist of the following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790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7"/>
        </w:trPr>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rPr>
              <w:t>September 30,</w:t>
            </w:r>
          </w:p>
        </w:tc>
        <w:tc>
          <w:tcPr>
            <w:tcW w:w="22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w w:val="97"/>
              </w:rPr>
              <w:t>December 31,</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7900" w:type="dxa"/>
            <w:vAlign w:val="bottom"/>
            <w:gridSpan w:val="3"/>
            <w:vMerge w:val="restart"/>
          </w:tcPr>
          <w:p>
            <w:pPr>
              <w:ind w:left="40"/>
              <w:spacing w:after="0"/>
              <w:rPr>
                <w:sz w:val="20"/>
                <w:szCs w:val="20"/>
                <w:color w:val="auto"/>
              </w:rPr>
            </w:pPr>
            <w:r>
              <w:rPr>
                <w:rFonts w:ascii="Arial" w:cs="Arial" w:eastAsia="Arial" w:hAnsi="Arial"/>
                <w:sz w:val="18"/>
                <w:szCs w:val="18"/>
                <w:color w:val="auto"/>
              </w:rPr>
              <w:t>Cost method:</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CoBank</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6,177</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Other – Equity in other telecommunications partners</w:t>
            </w:r>
          </w:p>
        </w:tc>
        <w:tc>
          <w:tcPr>
            <w:tcW w:w="22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7,456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34"/>
        </w:trPr>
        <w:tc>
          <w:tcPr>
            <w:tcW w:w="7900" w:type="dxa"/>
            <w:vAlign w:val="bottom"/>
            <w:gridSpan w:val="3"/>
            <w:vMerge w:val="restart"/>
          </w:tcPr>
          <w:p>
            <w:pPr>
              <w:ind w:left="40"/>
              <w:spacing w:after="0"/>
              <w:rPr>
                <w:sz w:val="20"/>
                <w:szCs w:val="20"/>
                <w:color w:val="auto"/>
              </w:rPr>
            </w:pPr>
            <w:r>
              <w:rPr>
                <w:rFonts w:ascii="Arial" w:cs="Arial" w:eastAsia="Arial" w:hAnsi="Arial"/>
                <w:sz w:val="18"/>
                <w:szCs w:val="18"/>
                <w:color w:val="auto"/>
              </w:rPr>
              <w:t>Equity method:</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4"/>
                <w:szCs w:val="24"/>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34"/>
        </w:trPr>
        <w:tc>
          <w:tcPr>
            <w:tcW w:w="79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Total other investments</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00" w:type="dxa"/>
            <w:vAlign w:val="bottom"/>
            <w:gridSpan w:val="3"/>
            <w:vMerge w:val="continue"/>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8,048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7,369</w:t>
            </w:r>
          </w:p>
        </w:tc>
        <w:tc>
          <w:tcPr>
            <w:tcW w:w="0" w:type="dxa"/>
            <w:vAlign w:val="bottom"/>
          </w:tcPr>
          <w:p>
            <w:pPr>
              <w:spacing w:after="0"/>
              <w:rPr>
                <w:sz w:val="1"/>
                <w:szCs w:val="1"/>
                <w:color w:val="auto"/>
              </w:rPr>
            </w:pPr>
          </w:p>
        </w:tc>
      </w:tr>
      <w:tr>
        <w:trPr>
          <w:trHeight w:val="27"/>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6.</w:t>
            </w:r>
          </w:p>
        </w:tc>
        <w:tc>
          <w:tcPr>
            <w:tcW w:w="240" w:type="dxa"/>
            <w:vAlign w:val="bottom"/>
          </w:tcPr>
          <w:p>
            <w:pPr>
              <w:spacing w:after="0"/>
              <w:rPr>
                <w:sz w:val="2"/>
                <w:szCs w:val="2"/>
                <w:color w:val="auto"/>
              </w:rPr>
            </w:pPr>
          </w:p>
        </w:tc>
        <w:tc>
          <w:tcPr>
            <w:tcW w:w="75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Financial Instruments</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Financial instruments on the condensed consolidated balance sheets that approximate fair value include: cash and cash equivalents, receivables, investments carried at fair value, payables, accrued liabilities, interest rate swaps and variable rate long-term debt.</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has certain non-marketable long-term investments for which it is not practicable to estimate fair value with a total carrying value of $8.0 million and $7.4 million as of September 30, 2017 and December 31, 2016, respectively, of which $6.6 million and $6.2 million, respectively, represents the Company’s investment in CoBank. This investment is primarily related to patronage distributions of restricted equity and is a required investment related to the portion of the Credit Facility held by CoBank. This investment is carried under the cost method.</w:t>
      </w:r>
    </w:p>
    <w:p>
      <w:pPr>
        <w:spacing w:after="0" w:line="167"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Hedging Activities and Accumulated Other Comprehensive Income</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objectives in using interest rate derivatives are to add stability to cash flows and to manage its exposure to interest rate movements. To accomplish these objectives,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entered into a pay-fixed, receive-variable interest rate swap of $174.6 million of notional principal in September 2012. This interest rate swap was designated as a cash flow hedge. The outstanding notional amount of this cash flow hedge was $122.2 million as of September 30, 2017. The outstanding notional amount decreases based upon scheduled principal payments on the 2012 debt.</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May 2016, the Company entered into a pay-fixed, receive-variable interest rate swap of $256.6 million of notional principal with three counterparties. This interest rate swap was designated as a cash flow hedge. The outstanding notional amount of this cash flow hedge was $303.8 million as of September 30, 2017. The outstanding notional amount increases based upon draws expected to be made under a portion of the Company's Term Loan A-2 debt and as the 2012 interest rate swap's notional principal decreases, and the outstanding notional amount will decrease as the Company makes scheduled principal payments on the 2016 debt. In combination with the swap entered into in 2012 described above, the Company is hedging approximately 50% of the outstanding debt.</w:t>
      </w:r>
    </w:p>
    <w:p>
      <w:pPr>
        <w:spacing w:after="0" w:line="19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15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Amounts reported in accumulated other comprehensive income related to the interest rate swaps designated and qualified as a cash flow hedge, are reclassified to interest expense as interest payments are made on the Company’s variable-rate debt. As of September 30, 2017, the Company estimates that $1.1 million will be reclassified as a reduction of interest expense during the next twelve months.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8"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 as well as its classification on the condensed consolidated balance sheet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September 30,</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right"/>
              <w:ind w:right="8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6600" w:type="dxa"/>
            <w:vAlign w:val="bottom"/>
            <w:vMerge w:val="restart"/>
          </w:tcPr>
          <w:p>
            <w:pPr>
              <w:spacing w:after="0"/>
              <w:rPr>
                <w:sz w:val="20"/>
                <w:szCs w:val="20"/>
                <w:color w:val="auto"/>
              </w:rPr>
            </w:pPr>
            <w:r>
              <w:rPr>
                <w:rFonts w:ascii="Arial" w:cs="Arial" w:eastAsia="Arial" w:hAnsi="Arial"/>
                <w:sz w:val="18"/>
                <w:szCs w:val="18"/>
                <w:color w:val="auto"/>
              </w:rPr>
              <w:t>Balance Sheet Location:</w:t>
            </w: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vMerge w:val="continue"/>
          </w:tcPr>
          <w:p>
            <w:pPr>
              <w:spacing w:after="0"/>
              <w:rPr>
                <w:sz w:val="21"/>
                <w:szCs w:val="21"/>
                <w:color w:val="auto"/>
              </w:rPr>
            </w:pPr>
          </w:p>
        </w:tc>
        <w:tc>
          <w:tcPr>
            <w:tcW w:w="1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340"/>
              <w:spacing w:after="0"/>
              <w:rPr>
                <w:sz w:val="20"/>
                <w:szCs w:val="20"/>
                <w:color w:val="auto"/>
              </w:rPr>
            </w:pPr>
            <w:r>
              <w:rPr>
                <w:rFonts w:ascii="Arial" w:cs="Arial" w:eastAsia="Arial" w:hAnsi="Arial"/>
                <w:sz w:val="18"/>
                <w:szCs w:val="18"/>
                <w:color w:val="auto"/>
              </w:rPr>
              <w:t>Prepaid expenses and other</w:t>
            </w:r>
          </w:p>
        </w:tc>
        <w:tc>
          <w:tcPr>
            <w:tcW w:w="1720" w:type="dxa"/>
            <w:vAlign w:val="bottom"/>
          </w:tcPr>
          <w:p>
            <w:pPr>
              <w:jc w:val="right"/>
              <w:ind w:right="15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1,124</w:t>
            </w:r>
          </w:p>
        </w:tc>
        <w:tc>
          <w:tcPr>
            <w:tcW w:w="2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00" w:type="dxa"/>
            <w:vAlign w:val="bottom"/>
          </w:tcPr>
          <w:p>
            <w:pPr>
              <w:ind w:left="340"/>
              <w:spacing w:after="0"/>
              <w:rPr>
                <w:sz w:val="20"/>
                <w:szCs w:val="20"/>
                <w:color w:val="auto"/>
              </w:rPr>
            </w:pPr>
            <w:r>
              <w:rPr>
                <w:rFonts w:ascii="Arial" w:cs="Arial" w:eastAsia="Arial" w:hAnsi="Arial"/>
                <w:sz w:val="18"/>
                <w:szCs w:val="18"/>
                <w:color w:val="auto"/>
              </w:rPr>
              <w:t>Deferred charges and other assets, net</w:t>
            </w:r>
          </w:p>
        </w:tc>
        <w:tc>
          <w:tcPr>
            <w:tcW w:w="172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8,848</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12,118</w:t>
            </w:r>
          </w:p>
        </w:tc>
        <w:tc>
          <w:tcPr>
            <w:tcW w:w="0" w:type="dxa"/>
            <w:vAlign w:val="bottom"/>
          </w:tcPr>
          <w:p>
            <w:pPr>
              <w:spacing w:after="0"/>
              <w:rPr>
                <w:sz w:val="1"/>
                <w:szCs w:val="1"/>
                <w:color w:val="auto"/>
              </w:rPr>
            </w:pPr>
          </w:p>
        </w:tc>
      </w:tr>
      <w:tr>
        <w:trPr>
          <w:trHeight w:val="304"/>
        </w:trPr>
        <w:tc>
          <w:tcPr>
            <w:tcW w:w="6600" w:type="dxa"/>
            <w:vAlign w:val="bottom"/>
          </w:tcPr>
          <w:p>
            <w:pPr>
              <w:ind w:left="340"/>
              <w:spacing w:after="0"/>
              <w:rPr>
                <w:sz w:val="20"/>
                <w:szCs w:val="20"/>
                <w:color w:val="auto"/>
              </w:rPr>
            </w:pPr>
            <w:r>
              <w:rPr>
                <w:rFonts w:ascii="Arial" w:cs="Arial" w:eastAsia="Arial" w:hAnsi="Arial"/>
                <w:sz w:val="18"/>
                <w:szCs w:val="18"/>
                <w:color w:val="auto"/>
              </w:rPr>
              <w:t>Accrued liabilities and other</w:t>
            </w:r>
          </w:p>
        </w:tc>
        <w:tc>
          <w:tcPr>
            <w:tcW w:w="172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64"/>
        </w:trPr>
        <w:tc>
          <w:tcPr>
            <w:tcW w:w="6600" w:type="dxa"/>
            <w:vAlign w:val="bottom"/>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720" w:type="dxa"/>
            <w:vAlign w:val="bottom"/>
            <w:tcBorders>
              <w:top w:val="single" w:sz="8" w:color="auto"/>
              <w:bottom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9,972</w:t>
            </w:r>
          </w:p>
        </w:tc>
        <w:tc>
          <w:tcPr>
            <w:tcW w:w="2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interest rate swaps is determined using a pricing model with inputs that are observable in the market (level 2 fair value inputs).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table below presents change in accumulated other comprehensive income (loss) by component for the nine months ended September 30, 2017 (in thousands):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as of December 31, 2016</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change in unrealized gain (loss)</w:t>
      </w:r>
    </w:p>
    <w:p>
      <w:pPr>
        <w:spacing w:after="0" w:line="63"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Amounts reclassified from accumulated other comprehensive income (loss) to interest expense</w:t>
      </w:r>
    </w:p>
    <w:p>
      <w:pPr>
        <w:spacing w:after="0" w:line="35" w:lineRule="exact"/>
        <w:rPr>
          <w:sz w:val="20"/>
          <w:szCs w:val="20"/>
          <w:color w:val="auto"/>
        </w:rPr>
      </w:pPr>
    </w:p>
    <w:p>
      <w:pPr>
        <w:ind w:left="40" w:right="800" w:firstLine="351"/>
        <w:spacing w:after="0" w:line="371" w:lineRule="auto"/>
        <w:rPr>
          <w:sz w:val="20"/>
          <w:szCs w:val="20"/>
          <w:color w:val="auto"/>
        </w:rPr>
      </w:pPr>
      <w:r>
        <w:rPr>
          <w:rFonts w:ascii="Arial" w:cs="Arial" w:eastAsia="Arial" w:hAnsi="Arial"/>
          <w:sz w:val="18"/>
          <w:szCs w:val="18"/>
          <w:color w:val="auto"/>
        </w:rPr>
        <w:t>Net current period accumulated other comprehensive income (loss) Balance as of September 30, 2017</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92"/>
              </w:rPr>
              <w:t>Accumulated</w:t>
            </w:r>
          </w:p>
        </w:tc>
      </w:tr>
      <w:tr>
        <w:trPr>
          <w:trHeight w:val="216"/>
        </w:trPr>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8"/>
              </w:rPr>
              <w:t>Other</w:t>
            </w:r>
          </w:p>
        </w:tc>
      </w:tr>
      <w:tr>
        <w:trPr>
          <w:trHeight w:val="216"/>
        </w:trPr>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8"/>
              </w:rPr>
              <w:t>Comprehensive</w:t>
            </w:r>
          </w:p>
        </w:tc>
      </w:tr>
      <w:tr>
        <w:trPr>
          <w:trHeight w:val="216"/>
        </w:trPr>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Gains (Losses) on</w:t>
            </w:r>
          </w:p>
        </w:tc>
        <w:tc>
          <w:tcPr>
            <w:tcW w:w="300" w:type="dxa"/>
            <w:vAlign w:val="bottom"/>
          </w:tcPr>
          <w:p>
            <w:pPr>
              <w:spacing w:after="0"/>
              <w:rPr>
                <w:sz w:val="18"/>
                <w:szCs w:val="18"/>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Tax</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1"/>
              </w:rPr>
              <w:t>Income (Loss), net</w:t>
            </w:r>
          </w:p>
        </w:tc>
      </w:tr>
      <w:tr>
        <w:trPr>
          <w:trHeight w:val="230"/>
        </w:trPr>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Cash Flow Hedges</w:t>
            </w: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8"/>
              </w:rPr>
              <w:t>of taxes</w:t>
            </w:r>
          </w:p>
        </w:tc>
      </w:tr>
      <w:tr>
        <w:trPr>
          <w:trHeight w:val="34"/>
        </w:trPr>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11,223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6,788</w:t>
            </w:r>
          </w:p>
        </w:tc>
      </w:tr>
      <w:tr>
        <w:trPr>
          <w:trHeight w:val="270"/>
        </w:trPr>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473"/>
        </w:trPr>
        <w:tc>
          <w:tcPr>
            <w:tcW w:w="1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34"/>
        </w:trPr>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34"/>
        </w:trPr>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9,972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6,018</w:t>
            </w:r>
          </w:p>
        </w:tc>
      </w:tr>
      <w:tr>
        <w:trPr>
          <w:trHeight w:val="27"/>
        </w:trPr>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6020" w:space="340"/>
            <w:col w:w="506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during the nine months ended September 30, 2017 are shown below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ind w:left="20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Measurement Period</w:t>
            </w:r>
          </w:p>
        </w:tc>
        <w:tc>
          <w:tcPr>
            <w:tcW w:w="340" w:type="dxa"/>
            <w:vAlign w:val="bottom"/>
          </w:tcPr>
          <w:p>
            <w:pPr>
              <w:spacing w:after="0"/>
              <w:rPr>
                <w:sz w:val="18"/>
                <w:szCs w:val="18"/>
                <w:color w:val="auto"/>
              </w:rPr>
            </w:pP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ind w:right="7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Adjustments</w:t>
            </w:r>
          </w:p>
        </w:tc>
        <w:tc>
          <w:tcPr>
            <w:tcW w:w="340" w:type="dxa"/>
            <w:vAlign w:val="bottom"/>
          </w:tcPr>
          <w:p>
            <w:pPr>
              <w:spacing w:after="0"/>
              <w:rPr>
                <w:sz w:val="20"/>
                <w:szCs w:val="20"/>
                <w:color w:val="auto"/>
              </w:rPr>
            </w:pPr>
          </w:p>
        </w:tc>
        <w:tc>
          <w:tcPr>
            <w:tcW w:w="1780" w:type="dxa"/>
            <w:vAlign w:val="bottom"/>
          </w:tcPr>
          <w:p>
            <w:pPr>
              <w:jc w:val="right"/>
              <w:ind w:right="7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34"/>
        </w:trPr>
        <w:tc>
          <w:tcPr>
            <w:tcW w:w="4000" w:type="dxa"/>
            <w:vAlign w:val="bottom"/>
            <w:vMerge w:val="restart"/>
          </w:tcPr>
          <w:p>
            <w:pPr>
              <w:spacing w:after="0"/>
              <w:rPr>
                <w:sz w:val="20"/>
                <w:szCs w:val="20"/>
                <w:color w:val="auto"/>
              </w:rPr>
            </w:pPr>
            <w:r>
              <w:rPr>
                <w:rFonts w:ascii="Arial" w:cs="Arial" w:eastAsia="Arial" w:hAnsi="Arial"/>
                <w:sz w:val="18"/>
                <w:szCs w:val="18"/>
                <w:color w:val="auto"/>
              </w:rPr>
              <w:t>Goodwill - Wireline segment</w:t>
            </w: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vMerge w:val="continue"/>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Goodwill - Cable segment</w:t>
            </w:r>
          </w:p>
        </w:tc>
        <w:tc>
          <w:tcPr>
            <w:tcW w:w="32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Goodwill - Wireless segment</w:t>
            </w:r>
          </w:p>
        </w:tc>
        <w:tc>
          <w:tcPr>
            <w:tcW w:w="32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145,142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146,383</w:t>
            </w:r>
          </w:p>
        </w:tc>
        <w:tc>
          <w:tcPr>
            <w:tcW w:w="0" w:type="dxa"/>
            <w:vAlign w:val="bottom"/>
          </w:tcPr>
          <w:p>
            <w:pPr>
              <w:spacing w:after="0"/>
              <w:rPr>
                <w:sz w:val="1"/>
                <w:szCs w:val="1"/>
                <w:color w:val="auto"/>
              </w:rPr>
            </w:pPr>
          </w:p>
        </w:tc>
      </w:tr>
      <w:tr>
        <w:trPr>
          <w:trHeight w:val="34"/>
        </w:trPr>
        <w:tc>
          <w:tcPr>
            <w:tcW w:w="4000" w:type="dxa"/>
            <w:vAlign w:val="bottom"/>
            <w:vMerge w:val="restart"/>
          </w:tcPr>
          <w:p>
            <w:pPr>
              <w:spacing w:after="0"/>
              <w:rPr>
                <w:sz w:val="20"/>
                <w:szCs w:val="20"/>
                <w:color w:val="auto"/>
              </w:rPr>
            </w:pPr>
            <w:r>
              <w:rPr>
                <w:rFonts w:ascii="Arial" w:cs="Arial" w:eastAsia="Arial" w:hAnsi="Arial"/>
                <w:sz w:val="18"/>
                <w:szCs w:val="18"/>
                <w:color w:val="auto"/>
              </w:rPr>
              <w:t>Goodwill as of September 30, 2017</w:t>
            </w: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vMerge w:val="continue"/>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145,256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146,497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jc w:val="right"/>
              <w:ind w:right="27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8"/>
          </w:tcPr>
          <w:p>
            <w:pPr>
              <w:spacing w:after="0"/>
              <w:rPr>
                <w:sz w:val="20"/>
                <w:szCs w:val="20"/>
                <w:color w:val="auto"/>
              </w:rPr>
            </w:pPr>
            <w:r>
              <w:rPr>
                <w:rFonts w:ascii="Arial" w:cs="Arial" w:eastAsia="Arial" w:hAnsi="Arial"/>
                <w:sz w:val="18"/>
                <w:szCs w:val="18"/>
                <w:color w:val="auto"/>
                <w:w w:val="91"/>
              </w:rPr>
              <w:t>Intangible assets consist of the following at September 30, 2017 and December 31, 2016:</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September 30, 2017</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color w:val="auto"/>
                <w:w w:val="89"/>
              </w:rPr>
              <w:t>December 31, 2016</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color w:val="auto"/>
                <w:w w:val="88"/>
              </w:rPr>
              <w:t>Gross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152"/>
              <w:spacing w:after="0"/>
              <w:rPr>
                <w:sz w:val="20"/>
                <w:szCs w:val="20"/>
                <w:color w:val="auto"/>
              </w:rPr>
            </w:pPr>
            <w:r>
              <w:rPr>
                <w:rFonts w:ascii="Arial" w:cs="Arial" w:eastAsia="Arial" w:hAnsi="Arial"/>
                <w:sz w:val="16"/>
                <w:szCs w:val="16"/>
                <w:color w:val="auto"/>
                <w:w w:val="88"/>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color w:val="auto"/>
                <w:w w:val="95"/>
              </w:rPr>
              <w:t>Carrying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Accumulated</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center"/>
              <w:ind w:right="152"/>
              <w:spacing w:after="0"/>
              <w:rPr>
                <w:sz w:val="20"/>
                <w:szCs w:val="20"/>
                <w:color w:val="auto"/>
              </w:rPr>
            </w:pPr>
            <w:r>
              <w:rPr>
                <w:rFonts w:ascii="Arial" w:cs="Arial" w:eastAsia="Arial" w:hAnsi="Arial"/>
                <w:sz w:val="16"/>
                <w:szCs w:val="16"/>
                <w:color w:val="auto"/>
                <w:w w:val="95"/>
              </w:rPr>
              <w:t>Carrying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Accumulated</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color w:val="auto"/>
                <w:w w:val="97"/>
              </w:rPr>
              <w:t>Amount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color w:val="auto"/>
                <w:w w:val="96"/>
              </w:rPr>
              <w:t>Amortization</w:t>
            </w:r>
          </w:p>
        </w:tc>
        <w:tc>
          <w:tcPr>
            <w:tcW w:w="42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color w:val="auto"/>
              </w:rPr>
              <w:t>Net</w:t>
            </w:r>
          </w:p>
        </w:tc>
        <w:tc>
          <w:tcPr>
            <w:tcW w:w="240" w:type="dxa"/>
            <w:vAlign w:val="bottom"/>
          </w:tcPr>
          <w:p>
            <w:pPr>
              <w:spacing w:after="0"/>
              <w:rPr>
                <w:sz w:val="17"/>
                <w:szCs w:val="17"/>
                <w:color w:val="auto"/>
              </w:rPr>
            </w:pPr>
          </w:p>
        </w:tc>
        <w:tc>
          <w:tcPr>
            <w:tcW w:w="1020" w:type="dxa"/>
            <w:vAlign w:val="bottom"/>
          </w:tcPr>
          <w:p>
            <w:pPr>
              <w:jc w:val="center"/>
              <w:ind w:right="152"/>
              <w:spacing w:after="0"/>
              <w:rPr>
                <w:sz w:val="20"/>
                <w:szCs w:val="20"/>
                <w:color w:val="auto"/>
              </w:rPr>
            </w:pPr>
            <w:r>
              <w:rPr>
                <w:rFonts w:ascii="Arial" w:cs="Arial" w:eastAsia="Arial" w:hAnsi="Arial"/>
                <w:sz w:val="16"/>
                <w:szCs w:val="16"/>
                <w:color w:val="auto"/>
                <w:w w:val="97"/>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Amortization</w:t>
            </w:r>
          </w:p>
        </w:tc>
        <w:tc>
          <w:tcPr>
            <w:tcW w:w="300" w:type="dxa"/>
            <w:vAlign w:val="bottom"/>
          </w:tcPr>
          <w:p>
            <w:pPr>
              <w:spacing w:after="0"/>
              <w:rPr>
                <w:sz w:val="17"/>
                <w:szCs w:val="17"/>
                <w:color w:val="auto"/>
              </w:rPr>
            </w:pPr>
          </w:p>
        </w:tc>
        <w:tc>
          <w:tcPr>
            <w:tcW w:w="940" w:type="dxa"/>
            <w:vAlign w:val="bottom"/>
          </w:tcPr>
          <w:p>
            <w:pPr>
              <w:jc w:val="right"/>
              <w:ind w:right="431"/>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40"/>
        </w:trPr>
        <w:tc>
          <w:tcPr>
            <w:tcW w:w="3340" w:type="dxa"/>
            <w:vAlign w:val="bottom"/>
            <w:vMerge w:val="restart"/>
          </w:tcPr>
          <w:p>
            <w:pPr>
              <w:ind w:left="60"/>
              <w:spacing w:after="0"/>
              <w:rPr>
                <w:sz w:val="20"/>
                <w:szCs w:val="20"/>
                <w:color w:val="auto"/>
              </w:rPr>
            </w:pPr>
            <w:r>
              <w:rPr>
                <w:rFonts w:ascii="Arial" w:cs="Arial" w:eastAsia="Arial" w:hAnsi="Arial"/>
                <w:sz w:val="18"/>
                <w:szCs w:val="18"/>
                <w:color w:val="auto"/>
              </w:rPr>
              <w:t>Non-amortizing intangibles:</w:t>
            </w: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00"/>
              <w:spacing w:after="0"/>
              <w:rPr>
                <w:sz w:val="20"/>
                <w:szCs w:val="20"/>
                <w:color w:val="auto"/>
              </w:rPr>
            </w:pPr>
            <w:r>
              <w:rPr>
                <w:rFonts w:ascii="Arial" w:cs="Arial" w:eastAsia="Arial" w:hAnsi="Arial"/>
                <w:sz w:val="18"/>
                <w:szCs w:val="18"/>
                <w:color w:val="auto"/>
              </w:rPr>
              <w:t>Cable franchise rights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64,335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64,335</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64,334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304"/>
        </w:trPr>
        <w:tc>
          <w:tcPr>
            <w:tcW w:w="3340" w:type="dxa"/>
            <w:vAlign w:val="bottom"/>
          </w:tcPr>
          <w:p>
            <w:pPr>
              <w:ind w:left="200"/>
              <w:spacing w:after="0"/>
              <w:rPr>
                <w:sz w:val="20"/>
                <w:szCs w:val="20"/>
                <w:color w:val="auto"/>
              </w:rPr>
            </w:pPr>
            <w:r>
              <w:rPr>
                <w:rFonts w:ascii="Arial" w:cs="Arial" w:eastAsia="Arial" w:hAnsi="Arial"/>
                <w:sz w:val="18"/>
                <w:szCs w:val="18"/>
                <w:color w:val="auto"/>
              </w:rPr>
              <w:t>Railroad crossing rights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64,475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64,431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64,431</w:t>
            </w:r>
          </w:p>
        </w:tc>
        <w:tc>
          <w:tcPr>
            <w:tcW w:w="0" w:type="dxa"/>
            <w:vAlign w:val="bottom"/>
          </w:tcPr>
          <w:p>
            <w:pPr>
              <w:spacing w:after="0"/>
              <w:rPr>
                <w:sz w:val="1"/>
                <w:szCs w:val="1"/>
                <w:color w:val="auto"/>
              </w:rPr>
            </w:pPr>
          </w:p>
        </w:tc>
      </w:tr>
      <w:tr>
        <w:trPr>
          <w:trHeight w:val="34"/>
        </w:trPr>
        <w:tc>
          <w:tcPr>
            <w:tcW w:w="3340" w:type="dxa"/>
            <w:vAlign w:val="bottom"/>
            <w:vMerge w:val="restart"/>
          </w:tcPr>
          <w:p>
            <w:pPr>
              <w:ind w:left="60"/>
              <w:spacing w:after="0"/>
              <w:rPr>
                <w:sz w:val="20"/>
                <w:szCs w:val="20"/>
                <w:color w:val="auto"/>
              </w:rPr>
            </w:pPr>
            <w:r>
              <w:rPr>
                <w:rFonts w:ascii="Arial" w:cs="Arial" w:eastAsia="Arial" w:hAnsi="Arial"/>
                <w:sz w:val="18"/>
                <w:szCs w:val="18"/>
                <w:color w:val="auto"/>
              </w:rPr>
              <w:t>Finite-lived intangibles: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7"/>
        </w:trPr>
        <w:tc>
          <w:tcPr>
            <w:tcW w:w="3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00"/>
              <w:spacing w:after="0"/>
              <w:rPr>
                <w:sz w:val="20"/>
                <w:szCs w:val="20"/>
                <w:color w:val="auto"/>
              </w:rPr>
            </w:pPr>
            <w:r>
              <w:rPr>
                <w:rFonts w:ascii="Arial" w:cs="Arial" w:eastAsia="Arial" w:hAnsi="Arial"/>
                <w:sz w:val="18"/>
                <w:szCs w:val="18"/>
                <w:color w:val="auto"/>
              </w:rPr>
              <w:t>Affiliate contract expansion</w:t>
            </w:r>
          </w:p>
        </w:tc>
        <w:tc>
          <w:tcPr>
            <w:tcW w:w="2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287,052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(29,593)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257,459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284,102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270,072</w:t>
            </w:r>
          </w:p>
        </w:tc>
        <w:tc>
          <w:tcPr>
            <w:tcW w:w="0" w:type="dxa"/>
            <w:vAlign w:val="bottom"/>
          </w:tcPr>
          <w:p>
            <w:pPr>
              <w:spacing w:after="0"/>
              <w:rPr>
                <w:sz w:val="1"/>
                <w:szCs w:val="1"/>
                <w:color w:val="auto"/>
              </w:rPr>
            </w:pPr>
          </w:p>
        </w:tc>
      </w:tr>
      <w:tr>
        <w:trPr>
          <w:trHeight w:val="270"/>
        </w:trPr>
        <w:tc>
          <w:tcPr>
            <w:tcW w:w="3340" w:type="dxa"/>
            <w:vAlign w:val="bottom"/>
          </w:tcPr>
          <w:p>
            <w:pPr>
              <w:ind w:left="200"/>
              <w:spacing w:after="0"/>
              <w:rPr>
                <w:sz w:val="20"/>
                <w:szCs w:val="20"/>
                <w:color w:val="auto"/>
              </w:rPr>
            </w:pPr>
            <w:r>
              <w:rPr>
                <w:rFonts w:ascii="Arial" w:cs="Arial" w:eastAsia="Arial" w:hAnsi="Arial"/>
                <w:sz w:val="18"/>
                <w:szCs w:val="18"/>
                <w:color w:val="auto"/>
              </w:rPr>
              <w:t>Acquired subscribers – wireless</w:t>
            </w:r>
          </w:p>
        </w:tc>
        <w:tc>
          <w:tcPr>
            <w:tcW w:w="2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123,105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(36,871)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86,234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120,855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102,117</w:t>
            </w:r>
          </w:p>
        </w:tc>
        <w:tc>
          <w:tcPr>
            <w:tcW w:w="0" w:type="dxa"/>
            <w:vAlign w:val="bottom"/>
          </w:tcPr>
          <w:p>
            <w:pPr>
              <w:spacing w:after="0"/>
              <w:rPr>
                <w:sz w:val="1"/>
                <w:szCs w:val="1"/>
                <w:color w:val="auto"/>
              </w:rPr>
            </w:pPr>
          </w:p>
        </w:tc>
      </w:tr>
      <w:tr>
        <w:trPr>
          <w:trHeight w:val="270"/>
        </w:trPr>
        <w:tc>
          <w:tcPr>
            <w:tcW w:w="3340" w:type="dxa"/>
            <w:vAlign w:val="bottom"/>
          </w:tcPr>
          <w:p>
            <w:pPr>
              <w:ind w:left="200"/>
              <w:spacing w:after="0"/>
              <w:rPr>
                <w:sz w:val="20"/>
                <w:szCs w:val="20"/>
                <w:color w:val="auto"/>
              </w:rPr>
            </w:pPr>
            <w:r>
              <w:rPr>
                <w:rFonts w:ascii="Arial" w:cs="Arial" w:eastAsia="Arial" w:hAnsi="Arial"/>
                <w:sz w:val="18"/>
                <w:szCs w:val="18"/>
                <w:color w:val="auto"/>
              </w:rPr>
              <w:t>Favorable leases - wireless</w:t>
            </w:r>
          </w:p>
        </w:tc>
        <w:tc>
          <w:tcPr>
            <w:tcW w:w="2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16,950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12,965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16,950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15,820</w:t>
            </w:r>
          </w:p>
        </w:tc>
        <w:tc>
          <w:tcPr>
            <w:tcW w:w="0" w:type="dxa"/>
            <w:vAlign w:val="bottom"/>
          </w:tcPr>
          <w:p>
            <w:pPr>
              <w:spacing w:after="0"/>
              <w:rPr>
                <w:sz w:val="1"/>
                <w:szCs w:val="1"/>
                <w:color w:val="auto"/>
              </w:rPr>
            </w:pPr>
          </w:p>
        </w:tc>
      </w:tr>
      <w:tr>
        <w:trPr>
          <w:trHeight w:val="270"/>
        </w:trPr>
        <w:tc>
          <w:tcPr>
            <w:tcW w:w="3340" w:type="dxa"/>
            <w:vAlign w:val="bottom"/>
          </w:tcPr>
          <w:p>
            <w:pPr>
              <w:ind w:left="200"/>
              <w:spacing w:after="0"/>
              <w:rPr>
                <w:sz w:val="20"/>
                <w:szCs w:val="20"/>
                <w:color w:val="auto"/>
              </w:rPr>
            </w:pPr>
            <w:r>
              <w:rPr>
                <w:rFonts w:ascii="Arial" w:cs="Arial" w:eastAsia="Arial" w:hAnsi="Arial"/>
                <w:sz w:val="18"/>
                <w:szCs w:val="18"/>
                <w:color w:val="auto"/>
              </w:rPr>
              <w:t>Acquired subscribers – cable</w:t>
            </w:r>
          </w:p>
        </w:tc>
        <w:tc>
          <w:tcPr>
            <w:tcW w:w="2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25,265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(25,059)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25,265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304"/>
        </w:trPr>
        <w:tc>
          <w:tcPr>
            <w:tcW w:w="3340" w:type="dxa"/>
            <w:vAlign w:val="bottom"/>
          </w:tcPr>
          <w:p>
            <w:pPr>
              <w:ind w:left="200"/>
              <w:spacing w:after="0"/>
              <w:rPr>
                <w:sz w:val="20"/>
                <w:szCs w:val="20"/>
                <w:color w:val="auto"/>
              </w:rPr>
            </w:pPr>
            <w:r>
              <w:rPr>
                <w:rFonts w:ascii="Arial" w:cs="Arial" w:eastAsia="Arial" w:hAnsi="Arial"/>
                <w:sz w:val="18"/>
                <w:szCs w:val="18"/>
                <w:color w:val="auto"/>
              </w:rPr>
              <w:t>Other intangibles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77"/>
        </w:trPr>
        <w:tc>
          <w:tcPr>
            <w:tcW w:w="3340" w:type="dxa"/>
            <w:vAlign w:val="bottom"/>
          </w:tcPr>
          <w:p>
            <w:pPr>
              <w:ind w:left="60"/>
              <w:spacing w:after="0"/>
              <w:rPr>
                <w:sz w:val="20"/>
                <w:szCs w:val="20"/>
                <w:color w:val="auto"/>
              </w:rPr>
            </w:pPr>
            <w:r>
              <w:rPr>
                <w:rFonts w:ascii="Arial" w:cs="Arial" w:eastAsia="Arial" w:hAnsi="Arial"/>
                <w:sz w:val="18"/>
                <w:szCs w:val="18"/>
                <w:color w:val="auto"/>
              </w:rPr>
              <w:t>Total finite-lived intangibles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452,935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(95,738)</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357,197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449,384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(59,283)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390,101</w:t>
            </w:r>
          </w:p>
        </w:tc>
        <w:tc>
          <w:tcPr>
            <w:tcW w:w="0" w:type="dxa"/>
            <w:vAlign w:val="bottom"/>
          </w:tcPr>
          <w:p>
            <w:pPr>
              <w:spacing w:after="0"/>
              <w:rPr>
                <w:sz w:val="1"/>
                <w:szCs w:val="1"/>
                <w:color w:val="auto"/>
              </w:rPr>
            </w:pPr>
          </w:p>
        </w:tc>
      </w:tr>
      <w:tr>
        <w:trPr>
          <w:trHeight w:val="264"/>
        </w:trPr>
        <w:tc>
          <w:tcPr>
            <w:tcW w:w="3340" w:type="dxa"/>
            <w:vAlign w:val="bottom"/>
          </w:tcPr>
          <w:p>
            <w:pPr>
              <w:ind w:left="200"/>
              <w:spacing w:after="0"/>
              <w:rPr>
                <w:sz w:val="20"/>
                <w:szCs w:val="20"/>
                <w:color w:val="auto"/>
              </w:rPr>
            </w:pPr>
            <w:r>
              <w:rPr>
                <w:rFonts w:ascii="Arial" w:cs="Arial" w:eastAsia="Arial" w:hAnsi="Arial"/>
                <w:sz w:val="18"/>
                <w:szCs w:val="18"/>
                <w:color w:val="auto"/>
              </w:rPr>
              <w:t>Total intangible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517,410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(95,738)</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421,672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513,815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(59,283)</w:t>
            </w:r>
          </w:p>
        </w:tc>
        <w:tc>
          <w:tcPr>
            <w:tcW w:w="1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454,532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9.</w:t>
            </w:r>
          </w:p>
        </w:tc>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Accrued and Other liabilities</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Accrued liabilities and other include the following (in thousands):</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September 30, 2017</w:t>
            </w:r>
          </w:p>
        </w:tc>
        <w:tc>
          <w:tcPr>
            <w:tcW w:w="220" w:type="dxa"/>
            <w:vAlign w:val="bottom"/>
          </w:tcPr>
          <w:p>
            <w:pPr>
              <w:spacing w:after="0"/>
              <w:rPr>
                <w:sz w:val="24"/>
                <w:szCs w:val="24"/>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34"/>
        </w:trPr>
        <w:tc>
          <w:tcPr>
            <w:tcW w:w="52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Sales and property taxes payable</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70"/>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Severance accrual</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70"/>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Asset retirement obligations, current portion</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70"/>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Accrued programming costs</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304"/>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5,300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9,410</w:t>
            </w:r>
          </w:p>
        </w:tc>
        <w:tc>
          <w:tcPr>
            <w:tcW w:w="0" w:type="dxa"/>
            <w:vAlign w:val="bottom"/>
          </w:tcPr>
          <w:p>
            <w:pPr>
              <w:spacing w:after="0"/>
              <w:rPr>
                <w:sz w:val="1"/>
                <w:szCs w:val="1"/>
                <w:color w:val="auto"/>
              </w:rPr>
            </w:pPr>
          </w:p>
        </w:tc>
      </w:tr>
      <w:tr>
        <w:trPr>
          <w:trHeight w:val="264"/>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Accrued liabilities and other</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15,277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Other liabilities include the following (in thousands):</w:t>
            </w: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2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September 30, 2017</w:t>
            </w:r>
          </w:p>
        </w:tc>
        <w:tc>
          <w:tcPr>
            <w:tcW w:w="220" w:type="dxa"/>
            <w:vAlign w:val="bottom"/>
          </w:tcPr>
          <w:p>
            <w:pPr>
              <w:spacing w:after="0"/>
              <w:rPr>
                <w:sz w:val="24"/>
                <w:szCs w:val="24"/>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34"/>
        </w:trPr>
        <w:tc>
          <w:tcPr>
            <w:tcW w:w="52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Non-current portion of deferred revenues</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14,111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70"/>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Straight-line management fee waiver</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24,934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11,974</w:t>
            </w:r>
          </w:p>
        </w:tc>
        <w:tc>
          <w:tcPr>
            <w:tcW w:w="0" w:type="dxa"/>
            <w:vAlign w:val="bottom"/>
          </w:tcPr>
          <w:p>
            <w:pPr>
              <w:spacing w:after="0"/>
              <w:rPr>
                <w:sz w:val="1"/>
                <w:szCs w:val="1"/>
                <w:color w:val="auto"/>
              </w:rPr>
            </w:pPr>
          </w:p>
        </w:tc>
      </w:tr>
      <w:tr>
        <w:trPr>
          <w:trHeight w:val="304"/>
        </w:trPr>
        <w:tc>
          <w:tcPr>
            <w:tcW w:w="460" w:type="dxa"/>
            <w:vAlign w:val="bottom"/>
          </w:tcPr>
          <w:p>
            <w:pPr>
              <w:ind w:left="40"/>
              <w:spacing w:after="0"/>
              <w:rPr>
                <w:sz w:val="20"/>
                <w:szCs w:val="20"/>
                <w:color w:val="auto"/>
              </w:rPr>
            </w:pPr>
            <w:r>
              <w:rPr>
                <w:rFonts w:ascii="Arial" w:cs="Arial" w:eastAsia="Arial" w:hAnsi="Arial"/>
                <w:sz w:val="18"/>
                <w:szCs w:val="18"/>
                <w:color w:val="auto"/>
                <w:w w:val="88"/>
              </w:rPr>
              <w:t>Other</w:t>
            </w:r>
          </w:p>
        </w:tc>
        <w:tc>
          <w:tcPr>
            <w:tcW w:w="4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64"/>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40,180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23,743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20" w:type="dxa"/>
            <w:vAlign w:val="bottom"/>
            <w:vMerge w:val="restart"/>
          </w:tcPr>
          <w:p>
            <w:pPr>
              <w:jc w:val="right"/>
              <w:ind w:right="13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80"/>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10. Long-Term Debt and Revolving Lines of Credit</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color w:val="auto"/>
              </w:rPr>
              <w:t>Total debt at September 30, 2017 and December 31, 2016 consists of the following:</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6900" w:type="dxa"/>
            <w:vAlign w:val="bottom"/>
            <w:gridSpan w:val="2"/>
          </w:tcPr>
          <w:p>
            <w:pPr>
              <w:ind w:left="30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September 30, 2017</w:t>
            </w:r>
          </w:p>
        </w:tc>
        <w:tc>
          <w:tcPr>
            <w:tcW w:w="220" w:type="dxa"/>
            <w:vAlign w:val="bottom"/>
          </w:tcPr>
          <w:p>
            <w:pPr>
              <w:spacing w:after="0"/>
              <w:rPr>
                <w:sz w:val="24"/>
                <w:szCs w:val="24"/>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2016</w:t>
            </w:r>
          </w:p>
        </w:tc>
      </w:tr>
      <w:tr>
        <w:trPr>
          <w:trHeight w:val="34"/>
        </w:trPr>
        <w:tc>
          <w:tcPr>
            <w:tcW w:w="4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6900" w:type="dxa"/>
            <w:vAlign w:val="bottom"/>
            <w:gridSpan w:val="2"/>
          </w:tcPr>
          <w:p>
            <w:pPr>
              <w:ind w:left="300"/>
              <w:spacing w:after="0"/>
              <w:rPr>
                <w:sz w:val="20"/>
                <w:szCs w:val="20"/>
                <w:color w:val="auto"/>
              </w:rPr>
            </w:pPr>
            <w:r>
              <w:rPr>
                <w:rFonts w:ascii="Arial" w:cs="Arial" w:eastAsia="Arial" w:hAnsi="Arial"/>
                <w:sz w:val="18"/>
                <w:szCs w:val="18"/>
                <w:color w:val="auto"/>
              </w:rPr>
              <w:t>Term loan A-1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448,625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472,875</w:t>
            </w:r>
          </w:p>
        </w:tc>
      </w:tr>
      <w:tr>
        <w:trPr>
          <w:trHeight w:val="304"/>
        </w:trPr>
        <w:tc>
          <w:tcPr>
            <w:tcW w:w="6900" w:type="dxa"/>
            <w:vAlign w:val="bottom"/>
            <w:gridSpan w:val="2"/>
          </w:tcPr>
          <w:p>
            <w:pPr>
              <w:ind w:left="300"/>
              <w:spacing w:after="0"/>
              <w:rPr>
                <w:sz w:val="20"/>
                <w:szCs w:val="20"/>
                <w:color w:val="auto"/>
              </w:rPr>
            </w:pPr>
            <w:r>
              <w:rPr>
                <w:rFonts w:ascii="Arial" w:cs="Arial" w:eastAsia="Arial" w:hAnsi="Arial"/>
                <w:sz w:val="18"/>
                <w:szCs w:val="18"/>
                <w:color w:val="auto"/>
              </w:rPr>
              <w:t>Term loan A-2</w:t>
            </w: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375,000</w:t>
            </w:r>
          </w:p>
        </w:tc>
      </w:tr>
      <w:tr>
        <w:trPr>
          <w:trHeight w:val="243"/>
        </w:trPr>
        <w:tc>
          <w:tcPr>
            <w:tcW w:w="4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848,625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847,875</w:t>
            </w:r>
          </w:p>
        </w:tc>
      </w:tr>
      <w:tr>
        <w:trPr>
          <w:trHeight w:val="304"/>
        </w:trPr>
        <w:tc>
          <w:tcPr>
            <w:tcW w:w="6900" w:type="dxa"/>
            <w:vAlign w:val="bottom"/>
            <w:gridSpan w:val="2"/>
          </w:tcPr>
          <w:p>
            <w:pPr>
              <w:ind w:left="300"/>
              <w:spacing w:after="0"/>
              <w:rPr>
                <w:sz w:val="20"/>
                <w:szCs w:val="20"/>
                <w:color w:val="auto"/>
              </w:rPr>
            </w:pPr>
            <w:r>
              <w:rPr>
                <w:rFonts w:ascii="Arial" w:cs="Arial" w:eastAsia="Arial" w:hAnsi="Arial"/>
                <w:sz w:val="18"/>
                <w:szCs w:val="18"/>
                <w:color w:val="auto"/>
              </w:rPr>
              <w:t>Less: unamortized loan fees</w:t>
            </w: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15,623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18,610</w:t>
            </w:r>
          </w:p>
        </w:tc>
      </w:tr>
      <w:tr>
        <w:trPr>
          <w:trHeight w:val="264"/>
        </w:trPr>
        <w:tc>
          <w:tcPr>
            <w:tcW w:w="6900" w:type="dxa"/>
            <w:vAlign w:val="bottom"/>
            <w:gridSpan w:val="2"/>
          </w:tcPr>
          <w:p>
            <w:pPr>
              <w:ind w:left="300"/>
              <w:spacing w:after="0"/>
              <w:rPr>
                <w:sz w:val="20"/>
                <w:szCs w:val="20"/>
                <w:color w:val="auto"/>
              </w:rPr>
            </w:pPr>
            <w:r>
              <w:rPr>
                <w:rFonts w:ascii="Arial" w:cs="Arial" w:eastAsia="Arial" w:hAnsi="Arial"/>
                <w:sz w:val="18"/>
                <w:szCs w:val="18"/>
                <w:color w:val="auto"/>
              </w:rPr>
              <w:t>Total debt, net of unamortized loan fees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833,002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829,265</w:t>
            </w:r>
          </w:p>
        </w:tc>
      </w:tr>
      <w:tr>
        <w:trPr>
          <w:trHeight w:val="20"/>
        </w:trPr>
        <w:tc>
          <w:tcPr>
            <w:tcW w:w="4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554"/>
        </w:trPr>
        <w:tc>
          <w:tcPr>
            <w:tcW w:w="6900" w:type="dxa"/>
            <w:vAlign w:val="bottom"/>
            <w:gridSpan w:val="2"/>
          </w:tcPr>
          <w:p>
            <w:pPr>
              <w:ind w:left="300"/>
              <w:spacing w:after="0"/>
              <w:rPr>
                <w:sz w:val="20"/>
                <w:szCs w:val="20"/>
                <w:color w:val="auto"/>
              </w:rPr>
            </w:pPr>
            <w:r>
              <w:rPr>
                <w:rFonts w:ascii="Arial" w:cs="Arial" w:eastAsia="Arial" w:hAnsi="Arial"/>
                <w:sz w:val="18"/>
                <w:szCs w:val="18"/>
                <w:color w:val="auto"/>
              </w:rPr>
              <w:t>Current maturities of long term debt, net of unamortized loan fees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54,316</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32,041</w:t>
            </w:r>
          </w:p>
        </w:tc>
      </w:tr>
      <w:tr>
        <w:trPr>
          <w:trHeight w:val="270"/>
        </w:trPr>
        <w:tc>
          <w:tcPr>
            <w:tcW w:w="6900" w:type="dxa"/>
            <w:vAlign w:val="bottom"/>
            <w:gridSpan w:val="2"/>
          </w:tcPr>
          <w:p>
            <w:pPr>
              <w:ind w:left="30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778,686</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797,224</w:t>
            </w: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September 30, 2017, our indebtedness totaled $848.6 million in term loans with an annualized effective interest rate of approximately 4.07% after considering the impact of the interest rate swap contract and unamortized loan costs. The balance consists of the $448.6 million Term Loan A-1 at a variable rate (3.99% as of September 30, 2017) that resets monthly based on one month LIBOR plus a margin of 2.75%, and the $400.0 million Term Loan A-2 at a variable rate (4.24% as of September 30, 2017) that resets monthly based on one month LIBOR plus a margin of 3.00%. The Term Loan A-1 requires quarterly principal repayments of $12.1 million through June 30, 2020, with further increases at that time through maturity in June 30, 2021. The Term Loan A-2 requires quarterly principal repayments of $10.0 million beginning on September 30, 2018 through March 31, 2023, with the remaining balance due June 30, 2023.</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is subject to certain covenants to be measured on a trailing twelve month basis each calendar quarter unless otherwise specified. These covenants include:</w:t>
      </w:r>
    </w:p>
    <w:p>
      <w:pPr>
        <w:spacing w:after="0" w:line="170" w:lineRule="exact"/>
        <w:rPr>
          <w:sz w:val="20"/>
          <w:szCs w:val="20"/>
          <w:color w:val="auto"/>
        </w:rPr>
      </w:pPr>
    </w:p>
    <w:p>
      <w:pPr>
        <w:ind w:left="660" w:right="4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3.75 to 1.00 from the closing date through December 30, 2018, then 3.25 to 1.00 through December 30, 2019, and 3.00 to 1.00 thereafter;</w:t>
      </w:r>
    </w:p>
    <w:p>
      <w:pPr>
        <w:ind w:left="660" w:right="6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minimum debt service coverage ratio, defined as EBITDA minus certain cash taxes divided by the sum of all scheduled principal payments on the Term Loans and scheduled principal payments on other indebtedness plus cash interest expense, greater than 2.00 to 1.00;</w:t>
      </w:r>
    </w:p>
    <w:p>
      <w:pPr>
        <w:ind w:left="660" w:right="48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must maintain a minimum liquidity balance, defined as availability under the revolver facility plus unrestricted cash and cash equivalents on deposit in a deposit account for which a control agreement has been delivered to the administrative agent under the 2016 credit agreement, of greater than $25 million at all times.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As shown below, as of September 30, 2017, the Company was in compliance with the covenants in its credit agreements.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Actual</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Covenant Requirement</w:t>
            </w:r>
          </w:p>
        </w:tc>
        <w:tc>
          <w:tcPr>
            <w:tcW w:w="0" w:type="dxa"/>
            <w:vAlign w:val="bottom"/>
          </w:tcPr>
          <w:p>
            <w:pPr>
              <w:spacing w:after="0"/>
              <w:rPr>
                <w:sz w:val="1"/>
                <w:szCs w:val="1"/>
                <w:color w:val="auto"/>
              </w:rPr>
            </w:pPr>
          </w:p>
        </w:tc>
      </w:tr>
      <w:tr>
        <w:trPr>
          <w:trHeight w:val="34"/>
        </w:trPr>
        <w:tc>
          <w:tcPr>
            <w:tcW w:w="562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3.75 or Lower</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2.00 or Higher</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Minimum Liquidity Balance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149,228</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$25 million or Higher</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Wireless segment provides digital wireless service as a PCS affiliate to a portion of a four-state area covering the region from Harrisburg, York and Altoona, Pennsylvania, along Interstate 81 to Harrisonburg, Virginia, south-central and western Virginia, West Virginia, and small portions of North Carolina, Kentucky, Maryland and Ohio. The Wireless segment also owns cell site towers built on leased land, and leases space on these towers to both affiliates and non-affiliated service providers.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08" w:right="29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Cable segment provides video, internet and voice services in Virginia, West Virginia and Maryland, and leases fiber optic facilities throughout southern Virginia and West Virginia. It does not include video, internet and voice services provided to customers in Shenandoah County, Virginia.</w:t>
      </w:r>
    </w:p>
    <w:p>
      <w:pPr>
        <w:spacing w:after="0" w:line="14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Wireless</w:t>
            </w: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Cable</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Totals</w:t>
            </w:r>
          </w:p>
        </w:tc>
        <w:tc>
          <w:tcPr>
            <w:tcW w:w="0" w:type="dxa"/>
            <w:vAlign w:val="bottom"/>
          </w:tcPr>
          <w:p>
            <w:pPr>
              <w:spacing w:after="0"/>
              <w:rPr>
                <w:sz w:val="1"/>
                <w:szCs w:val="1"/>
                <w:color w:val="auto"/>
              </w:rPr>
            </w:pPr>
          </w:p>
        </w:tc>
      </w:tr>
      <w:tr>
        <w:trPr>
          <w:trHeight w:val="34"/>
        </w:trPr>
        <w:tc>
          <w:tcPr>
            <w:tcW w:w="3060" w:type="dxa"/>
            <w:vAlign w:val="bottom"/>
            <w:vMerge w:val="restart"/>
          </w:tcPr>
          <w:p>
            <w:pPr>
              <w:spacing w:after="0"/>
              <w:rPr>
                <w:sz w:val="20"/>
                <w:szCs w:val="20"/>
                <w:color w:val="auto"/>
              </w:rPr>
            </w:pPr>
            <w:r>
              <w:rPr>
                <w:rFonts w:ascii="Arial" w:cs="Arial" w:eastAsia="Arial" w:hAnsi="Arial"/>
                <w:sz w:val="18"/>
                <w:szCs w:val="18"/>
                <w:color w:val="auto"/>
              </w:rPr>
              <w:t>External revenues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0"/>
                <w:szCs w:val="20"/>
                <w:color w:val="auto"/>
              </w:rPr>
            </w:pPr>
            <w:r>
              <w:rPr>
                <w:rFonts w:ascii="Arial" w:cs="Arial" w:eastAsia="Arial" w:hAnsi="Arial"/>
                <w:sz w:val="18"/>
                <w:szCs w:val="18"/>
                <w:color w:val="auto"/>
              </w:rPr>
              <w:t>Service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107,395</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26,934</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139,455</w:t>
            </w:r>
          </w:p>
        </w:tc>
        <w:tc>
          <w:tcPr>
            <w:tcW w:w="0" w:type="dxa"/>
            <w:vAlign w:val="bottom"/>
          </w:tcPr>
          <w:p>
            <w:pPr>
              <w:spacing w:after="0"/>
              <w:rPr>
                <w:sz w:val="1"/>
                <w:szCs w:val="1"/>
                <w:color w:val="auto"/>
              </w:rPr>
            </w:pPr>
          </w:p>
        </w:tc>
      </w:tr>
      <w:tr>
        <w:trPr>
          <w:trHeight w:val="304"/>
        </w:trPr>
        <w:tc>
          <w:tcPr>
            <w:tcW w:w="30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Total external revenues</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111,266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11,426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151,782</w:t>
            </w:r>
          </w:p>
        </w:tc>
        <w:tc>
          <w:tcPr>
            <w:tcW w:w="0" w:type="dxa"/>
            <w:vAlign w:val="bottom"/>
          </w:tcPr>
          <w:p>
            <w:pPr>
              <w:spacing w:after="0"/>
              <w:rPr>
                <w:sz w:val="1"/>
                <w:szCs w:val="1"/>
                <w:color w:val="auto"/>
              </w:rPr>
            </w:pPr>
          </w:p>
        </w:tc>
      </w:tr>
      <w:tr>
        <w:trPr>
          <w:trHeight w:val="304"/>
        </w:trPr>
        <w:tc>
          <w:tcPr>
            <w:tcW w:w="3060" w:type="dxa"/>
            <w:vAlign w:val="bottom"/>
          </w:tcPr>
          <w:p>
            <w:pPr>
              <w:spacing w:after="0"/>
              <w:rPr>
                <w:sz w:val="20"/>
                <w:szCs w:val="20"/>
                <w:color w:val="auto"/>
              </w:rPr>
            </w:pPr>
            <w:r>
              <w:rPr>
                <w:rFonts w:ascii="Arial" w:cs="Arial" w:eastAsia="Arial" w:hAnsi="Arial"/>
                <w:sz w:val="18"/>
                <w:szCs w:val="18"/>
                <w:color w:val="auto"/>
              </w:rPr>
              <w:t>Internal revenues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8,425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060" w:type="dxa"/>
            <w:vAlign w:val="bottom"/>
          </w:tcPr>
          <w:p>
            <w:pPr>
              <w:spacing w:after="0"/>
              <w:rPr>
                <w:sz w:val="20"/>
                <w:szCs w:val="20"/>
                <w:color w:val="auto"/>
              </w:rPr>
            </w:pPr>
            <w:r>
              <w:rPr>
                <w:rFonts w:ascii="Arial" w:cs="Arial" w:eastAsia="Arial" w:hAnsi="Arial"/>
                <w:sz w:val="18"/>
                <w:szCs w:val="18"/>
                <w:color w:val="auto"/>
              </w:rPr>
              <w:t>Total operating revenues</w:t>
            </w:r>
          </w:p>
        </w:tc>
        <w:tc>
          <w:tcPr>
            <w:tcW w:w="2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112,505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30,089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19,851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(10,663)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151,782</w:t>
            </w:r>
          </w:p>
        </w:tc>
        <w:tc>
          <w:tcPr>
            <w:tcW w:w="0" w:type="dxa"/>
            <w:vAlign w:val="bottom"/>
          </w:tcPr>
          <w:p>
            <w:pPr>
              <w:spacing w:after="0"/>
              <w:rPr>
                <w:sz w:val="1"/>
                <w:szCs w:val="1"/>
                <w:color w:val="auto"/>
              </w:rPr>
            </w:pPr>
          </w:p>
        </w:tc>
      </w:tr>
      <w:tr>
        <w:trPr>
          <w:trHeight w:val="419"/>
        </w:trPr>
        <w:tc>
          <w:tcPr>
            <w:tcW w:w="30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060" w:type="dxa"/>
            <w:vAlign w:val="bottom"/>
          </w:tcPr>
          <w:p>
            <w:pPr>
              <w:spacing w:after="0"/>
              <w:rPr>
                <w:sz w:val="20"/>
                <w:szCs w:val="20"/>
                <w:color w:val="auto"/>
              </w:rPr>
            </w:pPr>
            <w:r>
              <w:rPr>
                <w:rFonts w:ascii="Arial" w:cs="Arial" w:eastAsia="Arial" w:hAnsi="Arial"/>
                <w:sz w:val="18"/>
                <w:szCs w:val="18"/>
                <w:color w:val="auto"/>
                <w:w w:val="98"/>
              </w:rPr>
              <w:t>Costs of goods and services, exclusive</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60"/>
              <w:spacing w:after="0"/>
              <w:rPr>
                <w:sz w:val="20"/>
                <w:szCs w:val="20"/>
                <w:color w:val="auto"/>
              </w:rPr>
            </w:pPr>
            <w:r>
              <w:rPr>
                <w:rFonts w:ascii="Arial" w:cs="Arial" w:eastAsia="Arial" w:hAnsi="Arial"/>
                <w:sz w:val="18"/>
                <w:szCs w:val="18"/>
                <w:color w:val="auto"/>
              </w:rPr>
              <w:t>of depreciation and amortization</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60"/>
              <w:spacing w:after="0"/>
              <w:rPr>
                <w:sz w:val="20"/>
                <w:szCs w:val="20"/>
                <w:color w:val="auto"/>
              </w:rPr>
            </w:pPr>
            <w:r>
              <w:rPr>
                <w:rFonts w:ascii="Arial" w:cs="Arial" w:eastAsia="Arial" w:hAnsi="Arial"/>
                <w:sz w:val="18"/>
                <w:szCs w:val="18"/>
                <w:color w:val="auto"/>
              </w:rPr>
              <w:t>shown separately below</w:t>
            </w:r>
          </w:p>
        </w:tc>
        <w:tc>
          <w:tcPr>
            <w:tcW w:w="2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41,041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9,807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55,834</w:t>
            </w:r>
          </w:p>
        </w:tc>
        <w:tc>
          <w:tcPr>
            <w:tcW w:w="0" w:type="dxa"/>
            <w:vAlign w:val="bottom"/>
          </w:tcPr>
          <w:p>
            <w:pPr>
              <w:spacing w:after="0"/>
              <w:rPr>
                <w:sz w:val="1"/>
                <w:szCs w:val="1"/>
                <w:color w:val="auto"/>
              </w:rPr>
            </w:pPr>
          </w:p>
        </w:tc>
      </w:tr>
      <w:tr>
        <w:trPr>
          <w:trHeight w:val="256"/>
        </w:trPr>
        <w:tc>
          <w:tcPr>
            <w:tcW w:w="30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60"/>
              <w:spacing w:after="0"/>
              <w:rPr>
                <w:sz w:val="20"/>
                <w:szCs w:val="20"/>
                <w:color w:val="auto"/>
              </w:rPr>
            </w:pPr>
            <w:r>
              <w:rPr>
                <w:rFonts w:ascii="Arial" w:cs="Arial" w:eastAsia="Arial" w:hAnsi="Arial"/>
                <w:sz w:val="18"/>
                <w:szCs w:val="18"/>
                <w:color w:val="auto"/>
              </w:rPr>
              <w:t>exclusive of depreciation and</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60"/>
              <w:spacing w:after="0"/>
              <w:rPr>
                <w:sz w:val="20"/>
                <w:szCs w:val="20"/>
                <w:color w:val="auto"/>
              </w:rPr>
            </w:pPr>
            <w:r>
              <w:rPr>
                <w:rFonts w:ascii="Arial" w:cs="Arial" w:eastAsia="Arial" w:hAnsi="Arial"/>
                <w:sz w:val="18"/>
                <w:szCs w:val="18"/>
                <w:color w:val="auto"/>
                <w:w w:val="97"/>
              </w:rPr>
              <w:t>amortization shown separately below</w:t>
            </w:r>
          </w:p>
        </w:tc>
        <w:tc>
          <w:tcPr>
            <w:tcW w:w="2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42,199</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0"/>
                <w:szCs w:val="20"/>
                <w:color w:val="auto"/>
              </w:rPr>
            </w:pPr>
            <w:r>
              <w:rPr>
                <w:rFonts w:ascii="Arial" w:cs="Arial" w:eastAsia="Arial" w:hAnsi="Arial"/>
                <w:sz w:val="18"/>
                <w:szCs w:val="18"/>
                <w:color w:val="auto"/>
              </w:rPr>
              <w:t>Integration and acquisition expenses</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304"/>
        </w:trPr>
        <w:tc>
          <w:tcPr>
            <w:tcW w:w="3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32,929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6,192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42,568</w:t>
            </w:r>
          </w:p>
        </w:tc>
        <w:tc>
          <w:tcPr>
            <w:tcW w:w="0" w:type="dxa"/>
            <w:vAlign w:val="bottom"/>
          </w:tcPr>
          <w:p>
            <w:pPr>
              <w:spacing w:after="0"/>
              <w:rPr>
                <w:sz w:val="1"/>
                <w:szCs w:val="1"/>
                <w:color w:val="auto"/>
              </w:rPr>
            </w:pPr>
          </w:p>
        </w:tc>
      </w:tr>
      <w:tr>
        <w:trPr>
          <w:trHeight w:val="277"/>
        </w:trPr>
        <w:tc>
          <w:tcPr>
            <w:tcW w:w="30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105,760</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26,463</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14,762</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5,985</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(10,663)</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142,307</w:t>
            </w:r>
          </w:p>
        </w:tc>
        <w:tc>
          <w:tcPr>
            <w:tcW w:w="0" w:type="dxa"/>
            <w:vAlign w:val="bottom"/>
          </w:tcPr>
          <w:p>
            <w:pPr>
              <w:spacing w:after="0"/>
              <w:rPr>
                <w:sz w:val="1"/>
                <w:szCs w:val="1"/>
                <w:color w:val="auto"/>
              </w:rPr>
            </w:pPr>
          </w:p>
        </w:tc>
      </w:tr>
      <w:tr>
        <w:trPr>
          <w:trHeight w:val="264"/>
        </w:trPr>
        <w:tc>
          <w:tcPr>
            <w:tcW w:w="30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6,745</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3,626</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(5,985)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100" w:type="dxa"/>
            <w:vAlign w:val="bottom"/>
            <w:gridSpan w:val="2"/>
          </w:tcPr>
          <w:p>
            <w:pPr>
              <w:spacing w:after="0"/>
              <w:rPr>
                <w:sz w:val="20"/>
                <w:szCs w:val="20"/>
                <w:color w:val="auto"/>
              </w:rPr>
            </w:pPr>
            <w:r>
              <w:rPr>
                <w:rFonts w:ascii="Arial" w:cs="Arial" w:eastAsia="Arial" w:hAnsi="Arial"/>
                <w:sz w:val="18"/>
                <w:szCs w:val="18"/>
                <w:color w:val="auto"/>
                <w:w w:val="91"/>
              </w:rPr>
              <w:t>Three Months Ended September 30, 2016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ind w:left="100"/>
              <w:spacing w:after="0"/>
              <w:rPr>
                <w:sz w:val="20"/>
                <w:szCs w:val="20"/>
                <w:color w:val="auto"/>
              </w:rPr>
            </w:pPr>
            <w:r>
              <w:rPr>
                <w:rFonts w:ascii="Arial" w:cs="Arial" w:eastAsia="Arial" w:hAnsi="Arial"/>
                <w:sz w:val="18"/>
                <w:szCs w:val="18"/>
                <w:color w:val="auto"/>
              </w:rPr>
              <w:t>Wireless</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Cable</w:t>
            </w:r>
          </w:p>
        </w:tc>
        <w:tc>
          <w:tcPr>
            <w:tcW w:w="200" w:type="dxa"/>
            <w:vAlign w:val="bottom"/>
          </w:tcPr>
          <w:p>
            <w:pPr>
              <w:spacing w:after="0"/>
              <w:rPr>
                <w:sz w:val="20"/>
                <w:szCs w:val="20"/>
                <w:color w:val="auto"/>
              </w:rPr>
            </w:pPr>
          </w:p>
        </w:tc>
        <w:tc>
          <w:tcPr>
            <w:tcW w:w="1160" w:type="dxa"/>
            <w:vAlign w:val="bottom"/>
            <w:gridSpan w:val="4"/>
          </w:tcPr>
          <w:p>
            <w:pPr>
              <w:ind w:left="120"/>
              <w:spacing w:after="0"/>
              <w:rPr>
                <w:sz w:val="20"/>
                <w:szCs w:val="20"/>
                <w:color w:val="auto"/>
              </w:rPr>
            </w:pPr>
            <w:r>
              <w:rPr>
                <w:rFonts w:ascii="Arial" w:cs="Arial" w:eastAsia="Arial" w:hAnsi="Arial"/>
                <w:sz w:val="18"/>
                <w:szCs w:val="18"/>
                <w:color w:val="auto"/>
              </w:rPr>
              <w:t>Wireline</w:t>
            </w:r>
          </w:p>
        </w:tc>
        <w:tc>
          <w:tcPr>
            <w:tcW w:w="26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4"/>
          </w:tcPr>
          <w:p>
            <w:pPr>
              <w:ind w:left="60"/>
              <w:spacing w:after="0"/>
              <w:rPr>
                <w:sz w:val="20"/>
                <w:szCs w:val="20"/>
                <w:color w:val="auto"/>
              </w:rPr>
            </w:pPr>
            <w:r>
              <w:rPr>
                <w:rFonts w:ascii="Arial" w:cs="Arial" w:eastAsia="Arial" w:hAnsi="Arial"/>
                <w:sz w:val="18"/>
                <w:szCs w:val="18"/>
                <w:color w:val="auto"/>
              </w:rPr>
              <w:t>Eliminations</w:t>
            </w:r>
          </w:p>
        </w:tc>
        <w:tc>
          <w:tcPr>
            <w:tcW w:w="140" w:type="dxa"/>
            <w:vAlign w:val="bottom"/>
          </w:tcPr>
          <w:p>
            <w:pPr>
              <w:spacing w:after="0"/>
              <w:rPr>
                <w:sz w:val="20"/>
                <w:szCs w:val="20"/>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34"/>
        </w:trPr>
        <w:tc>
          <w:tcPr>
            <w:tcW w:w="3100" w:type="dxa"/>
            <w:vAlign w:val="bottom"/>
            <w:gridSpan w:val="2"/>
            <w:vMerge w:val="restart"/>
          </w:tcPr>
          <w:p>
            <w:pPr>
              <w:ind w:left="40"/>
              <w:spacing w:after="0"/>
              <w:rPr>
                <w:sz w:val="20"/>
                <w:szCs w:val="20"/>
                <w:color w:val="auto"/>
              </w:rPr>
            </w:pPr>
            <w:r>
              <w:rPr>
                <w:rFonts w:ascii="Arial" w:cs="Arial" w:eastAsia="Arial" w:hAnsi="Arial"/>
                <w:sz w:val="18"/>
                <w:szCs w:val="18"/>
                <w:color w:val="auto"/>
              </w:rPr>
              <w:t>External revenues</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Service revenues</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111,001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24,948</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140,897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7,978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5,930</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Total external revenues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118,979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26,979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10,878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156,836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Internal revenues</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7,854</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Total operating revenues</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120,119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27,566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18,732</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156,836</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ind w:left="40"/>
              <w:spacing w:after="0"/>
              <w:rPr>
                <w:sz w:val="20"/>
                <w:szCs w:val="20"/>
                <w:color w:val="auto"/>
              </w:rPr>
            </w:pPr>
            <w:r>
              <w:rPr>
                <w:rFonts w:ascii="Arial" w:cs="Arial" w:eastAsia="Arial" w:hAnsi="Arial"/>
                <w:sz w:val="18"/>
                <w:szCs w:val="18"/>
                <w:color w:val="auto"/>
                <w:w w:val="98"/>
              </w:rPr>
              <w:t>Costs of goods and services, exclusive</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of depreciation and 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shown separately below</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43,097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9,442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58,317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exclusive of depreciation and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w w:val="97"/>
              </w:rPr>
              <w:t>amortization shown separately below</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29,892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40,369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Integration and acquisition expenses</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14,499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15,272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38,038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5,860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125,526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25,284</w:t>
            </w: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13,940</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5,596</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(9,581)</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160,765</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(5,407)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4,792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(5,596)</w:t>
            </w:r>
          </w:p>
        </w:tc>
        <w:tc>
          <w:tcPr>
            <w:tcW w:w="40" w:type="dxa"/>
            <w:vAlign w:val="bottom"/>
          </w:tcPr>
          <w:p>
            <w:pPr>
              <w:spacing w:after="0"/>
              <w:rPr>
                <w:sz w:val="22"/>
                <w:szCs w:val="22"/>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w w:val="94"/>
              </w:rPr>
              <w:t>Nine Months Ended September 30, 2017</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31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Consolidated</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ind w:left="100"/>
              <w:spacing w:after="0"/>
              <w:rPr>
                <w:sz w:val="20"/>
                <w:szCs w:val="20"/>
                <w:color w:val="auto"/>
              </w:rPr>
            </w:pPr>
            <w:r>
              <w:rPr>
                <w:rFonts w:ascii="Arial" w:cs="Arial" w:eastAsia="Arial" w:hAnsi="Arial"/>
                <w:sz w:val="18"/>
                <w:szCs w:val="18"/>
                <w:color w:val="auto"/>
              </w:rPr>
              <w:t>Wireless</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Cable</w:t>
            </w:r>
          </w:p>
        </w:tc>
        <w:tc>
          <w:tcPr>
            <w:tcW w:w="200" w:type="dxa"/>
            <w:vAlign w:val="bottom"/>
          </w:tcPr>
          <w:p>
            <w:pPr>
              <w:spacing w:after="0"/>
              <w:rPr>
                <w:sz w:val="20"/>
                <w:szCs w:val="20"/>
                <w:color w:val="auto"/>
              </w:rPr>
            </w:pPr>
          </w:p>
        </w:tc>
        <w:tc>
          <w:tcPr>
            <w:tcW w:w="1160" w:type="dxa"/>
            <w:vAlign w:val="bottom"/>
            <w:gridSpan w:val="4"/>
          </w:tcPr>
          <w:p>
            <w:pPr>
              <w:ind w:left="100"/>
              <w:spacing w:after="0"/>
              <w:rPr>
                <w:sz w:val="20"/>
                <w:szCs w:val="20"/>
                <w:color w:val="auto"/>
              </w:rPr>
            </w:pPr>
            <w:r>
              <w:rPr>
                <w:rFonts w:ascii="Arial" w:cs="Arial" w:eastAsia="Arial" w:hAnsi="Arial"/>
                <w:sz w:val="18"/>
                <w:szCs w:val="18"/>
                <w:color w:val="auto"/>
              </w:rPr>
              <w:t>Wireline</w:t>
            </w:r>
          </w:p>
        </w:tc>
        <w:tc>
          <w:tcPr>
            <w:tcW w:w="2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color w:val="auto"/>
              </w:rPr>
              <w:t>Eliminations</w:t>
            </w:r>
          </w:p>
        </w:tc>
        <w:tc>
          <w:tcPr>
            <w:tcW w:w="14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Totals</w:t>
            </w:r>
          </w:p>
        </w:tc>
        <w:tc>
          <w:tcPr>
            <w:tcW w:w="0" w:type="dxa"/>
            <w:vAlign w:val="bottom"/>
          </w:tcPr>
          <w:p>
            <w:pPr>
              <w:spacing w:after="0"/>
              <w:rPr>
                <w:sz w:val="1"/>
                <w:szCs w:val="1"/>
                <w:color w:val="auto"/>
              </w:rPr>
            </w:pPr>
          </w:p>
        </w:tc>
      </w:tr>
      <w:tr>
        <w:trPr>
          <w:trHeight w:val="34"/>
        </w:trPr>
        <w:tc>
          <w:tcPr>
            <w:tcW w:w="3100" w:type="dxa"/>
            <w:vAlign w:val="bottom"/>
            <w:gridSpan w:val="2"/>
            <w:vMerge w:val="restart"/>
          </w:tcPr>
          <w:p>
            <w:pPr>
              <w:ind w:left="60"/>
              <w:spacing w:after="0"/>
              <w:rPr>
                <w:sz w:val="20"/>
                <w:szCs w:val="20"/>
                <w:color w:val="auto"/>
              </w:rPr>
            </w:pPr>
            <w:r>
              <w:rPr>
                <w:rFonts w:ascii="Arial" w:cs="Arial" w:eastAsia="Arial" w:hAnsi="Arial"/>
                <w:sz w:val="18"/>
                <w:szCs w:val="18"/>
                <w:color w:val="auto"/>
              </w:rPr>
              <w:t>External revenues</w:t>
            </w: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Service revenues</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323,262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80,229</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418,792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15,133</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6,283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40,128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Total external revenues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338,395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86,512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34,013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458,920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Internal revenues</w:t>
            </w: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3,707</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24,568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Total operating revenues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342,102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88,665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58,581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458,920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ind w:left="60"/>
              <w:spacing w:after="0"/>
              <w:rPr>
                <w:sz w:val="20"/>
                <w:szCs w:val="20"/>
                <w:color w:val="auto"/>
              </w:rPr>
            </w:pPr>
            <w:r>
              <w:rPr>
                <w:rFonts w:ascii="Arial" w:cs="Arial" w:eastAsia="Arial" w:hAnsi="Arial"/>
                <w:sz w:val="18"/>
                <w:szCs w:val="18"/>
                <w:color w:val="auto"/>
                <w:w w:val="97"/>
              </w:rPr>
              <w:t>Costs of goods and services, exclusive</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20"/>
              <w:spacing w:after="0"/>
              <w:rPr>
                <w:sz w:val="20"/>
                <w:szCs w:val="20"/>
                <w:color w:val="auto"/>
              </w:rPr>
            </w:pPr>
            <w:r>
              <w:rPr>
                <w:rFonts w:ascii="Arial" w:cs="Arial" w:eastAsia="Arial" w:hAnsi="Arial"/>
                <w:sz w:val="18"/>
                <w:szCs w:val="18"/>
                <w:color w:val="auto"/>
              </w:rPr>
              <w:t>of depreciation and 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20"/>
              <w:spacing w:after="0"/>
              <w:rPr>
                <w:sz w:val="20"/>
                <w:szCs w:val="20"/>
                <w:color w:val="auto"/>
              </w:rPr>
            </w:pPr>
            <w:r>
              <w:rPr>
                <w:rFonts w:ascii="Arial" w:cs="Arial" w:eastAsia="Arial" w:hAnsi="Arial"/>
                <w:sz w:val="18"/>
                <w:szCs w:val="18"/>
                <w:color w:val="auto"/>
              </w:rPr>
              <w:t>shown separately below</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117,829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45,052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28,409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162,976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20"/>
              <w:spacing w:after="0"/>
              <w:rPr>
                <w:sz w:val="20"/>
                <w:szCs w:val="20"/>
                <w:color w:val="auto"/>
              </w:rPr>
            </w:pPr>
            <w:r>
              <w:rPr>
                <w:rFonts w:ascii="Arial" w:cs="Arial" w:eastAsia="Arial" w:hAnsi="Arial"/>
                <w:sz w:val="18"/>
                <w:szCs w:val="18"/>
                <w:color w:val="auto"/>
              </w:rPr>
              <w:t>exclusive of depreciation and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20"/>
              <w:spacing w:after="0"/>
              <w:rPr>
                <w:sz w:val="20"/>
                <w:szCs w:val="20"/>
                <w:color w:val="auto"/>
              </w:rPr>
            </w:pPr>
            <w:r>
              <w:rPr>
                <w:rFonts w:ascii="Arial" w:cs="Arial" w:eastAsia="Arial" w:hAnsi="Arial"/>
                <w:sz w:val="18"/>
                <w:szCs w:val="18"/>
                <w:color w:val="auto"/>
                <w:w w:val="96"/>
              </w:rPr>
              <w:t>amortization shown separately below</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88,201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19,139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125,374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Integration and acquisition expenses</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9,607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9,873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104,231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18,070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9,536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132,297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319,868</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78,205</w:t>
            </w: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43,010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19,865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430,520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22,234</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10,460</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15,571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28,400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3120" w:type="dxa"/>
            <w:vAlign w:val="bottom"/>
            <w:gridSpan w:val="2"/>
          </w:tcPr>
          <w:p>
            <w:pPr>
              <w:spacing w:after="0"/>
              <w:rPr>
                <w:sz w:val="20"/>
                <w:szCs w:val="20"/>
                <w:color w:val="auto"/>
              </w:rPr>
            </w:pPr>
            <w:r>
              <w:rPr>
                <w:rFonts w:ascii="Arial" w:cs="Arial" w:eastAsia="Arial" w:hAnsi="Arial"/>
                <w:sz w:val="18"/>
                <w:szCs w:val="18"/>
                <w:color w:val="auto"/>
                <w:w w:val="95"/>
              </w:rPr>
              <w:t>Nine Months Ended September 30, 2016</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Wireless</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Cable</w:t>
            </w: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Wireline</w:t>
            </w: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Eliminations</w:t>
            </w:r>
          </w:p>
        </w:tc>
        <w:tc>
          <w:tcPr>
            <w:tcW w:w="1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Totals</w:t>
            </w:r>
          </w:p>
        </w:tc>
        <w:tc>
          <w:tcPr>
            <w:tcW w:w="0" w:type="dxa"/>
            <w:vAlign w:val="bottom"/>
          </w:tcPr>
          <w:p>
            <w:pPr>
              <w:spacing w:after="0"/>
              <w:rPr>
                <w:sz w:val="1"/>
                <w:szCs w:val="1"/>
                <w:color w:val="auto"/>
              </w:rPr>
            </w:pPr>
          </w:p>
        </w:tc>
      </w:tr>
      <w:tr>
        <w:trPr>
          <w:trHeight w:val="34"/>
        </w:trPr>
        <w:tc>
          <w:tcPr>
            <w:tcW w:w="3120" w:type="dxa"/>
            <w:vAlign w:val="bottom"/>
            <w:gridSpan w:val="2"/>
            <w:vMerge w:val="restart"/>
          </w:tcPr>
          <w:p>
            <w:pPr>
              <w:ind w:left="60"/>
              <w:spacing w:after="0"/>
              <w:rPr>
                <w:sz w:val="20"/>
                <w:szCs w:val="20"/>
                <w:color w:val="auto"/>
              </w:rPr>
            </w:pPr>
            <w:r>
              <w:rPr>
                <w:rFonts w:ascii="Arial" w:cs="Arial" w:eastAsia="Arial" w:hAnsi="Arial"/>
                <w:sz w:val="18"/>
                <w:szCs w:val="18"/>
                <w:color w:val="auto"/>
              </w:rPr>
              <w:t>External revenues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60"/>
              <w:spacing w:after="0"/>
              <w:rPr>
                <w:sz w:val="20"/>
                <w:szCs w:val="20"/>
                <w:color w:val="auto"/>
              </w:rPr>
            </w:pPr>
            <w:r>
              <w:rPr>
                <w:rFonts w:ascii="Arial" w:cs="Arial" w:eastAsia="Arial" w:hAnsi="Arial"/>
                <w:sz w:val="18"/>
                <w:szCs w:val="18"/>
                <w:color w:val="auto"/>
              </w:rPr>
              <w:t>Service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250,053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73,455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14,727</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338,235</w:t>
            </w:r>
          </w:p>
        </w:tc>
        <w:tc>
          <w:tcPr>
            <w:tcW w:w="0" w:type="dxa"/>
            <w:vAlign w:val="bottom"/>
          </w:tcPr>
          <w:p>
            <w:pPr>
              <w:spacing w:after="0"/>
              <w:rPr>
                <w:sz w:val="1"/>
                <w:szCs w:val="1"/>
                <w:color w:val="auto"/>
              </w:rPr>
            </w:pPr>
          </w:p>
        </w:tc>
      </w:tr>
      <w:tr>
        <w:trPr>
          <w:trHeight w:val="304"/>
        </w:trPr>
        <w:tc>
          <w:tcPr>
            <w:tcW w:w="3120" w:type="dxa"/>
            <w:vAlign w:val="bottom"/>
            <w:gridSpan w:val="2"/>
          </w:tcPr>
          <w:p>
            <w:pPr>
              <w:ind w:left="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17,461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5,799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18,221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41,481</w:t>
            </w:r>
          </w:p>
        </w:tc>
        <w:tc>
          <w:tcPr>
            <w:tcW w:w="0" w:type="dxa"/>
            <w:vAlign w:val="bottom"/>
          </w:tcPr>
          <w:p>
            <w:pPr>
              <w:spacing w:after="0"/>
              <w:rPr>
                <w:sz w:val="1"/>
                <w:szCs w:val="1"/>
                <w:color w:val="auto"/>
              </w:rPr>
            </w:pPr>
          </w:p>
        </w:tc>
      </w:tr>
      <w:tr>
        <w:trPr>
          <w:trHeight w:val="243"/>
        </w:trPr>
        <w:tc>
          <w:tcPr>
            <w:tcW w:w="3120" w:type="dxa"/>
            <w:vAlign w:val="bottom"/>
            <w:gridSpan w:val="2"/>
          </w:tcPr>
          <w:p>
            <w:pPr>
              <w:ind w:left="60"/>
              <w:spacing w:after="0"/>
              <w:rPr>
                <w:sz w:val="20"/>
                <w:szCs w:val="20"/>
                <w:color w:val="auto"/>
              </w:rPr>
            </w:pPr>
            <w:r>
              <w:rPr>
                <w:rFonts w:ascii="Arial" w:cs="Arial" w:eastAsia="Arial" w:hAnsi="Arial"/>
                <w:sz w:val="18"/>
                <w:szCs w:val="18"/>
                <w:color w:val="auto"/>
              </w:rPr>
              <w:t>Total external revenues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267,514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79,254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32,948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379,716</w:t>
            </w:r>
          </w:p>
        </w:tc>
        <w:tc>
          <w:tcPr>
            <w:tcW w:w="0" w:type="dxa"/>
            <w:vAlign w:val="bottom"/>
          </w:tcPr>
          <w:p>
            <w:pPr>
              <w:spacing w:after="0"/>
              <w:rPr>
                <w:sz w:val="1"/>
                <w:szCs w:val="1"/>
                <w:color w:val="auto"/>
              </w:rPr>
            </w:pPr>
          </w:p>
        </w:tc>
      </w:tr>
      <w:tr>
        <w:trPr>
          <w:trHeight w:val="304"/>
        </w:trPr>
        <w:tc>
          <w:tcPr>
            <w:tcW w:w="3120" w:type="dxa"/>
            <w:vAlign w:val="bottom"/>
            <w:gridSpan w:val="2"/>
          </w:tcPr>
          <w:p>
            <w:pPr>
              <w:ind w:left="60"/>
              <w:spacing w:after="0"/>
              <w:rPr>
                <w:sz w:val="20"/>
                <w:szCs w:val="20"/>
                <w:color w:val="auto"/>
              </w:rPr>
            </w:pPr>
            <w:r>
              <w:rPr>
                <w:rFonts w:ascii="Arial" w:cs="Arial" w:eastAsia="Arial" w:hAnsi="Arial"/>
                <w:sz w:val="18"/>
                <w:szCs w:val="18"/>
                <w:color w:val="auto"/>
              </w:rPr>
              <w:t>Internal revenues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22,754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120" w:type="dxa"/>
            <w:vAlign w:val="bottom"/>
            <w:gridSpan w:val="2"/>
          </w:tcPr>
          <w:p>
            <w:pPr>
              <w:ind w:left="60"/>
              <w:spacing w:after="0"/>
              <w:rPr>
                <w:sz w:val="20"/>
                <w:szCs w:val="20"/>
                <w:color w:val="auto"/>
              </w:rPr>
            </w:pPr>
            <w:r>
              <w:rPr>
                <w:rFonts w:ascii="Arial" w:cs="Arial" w:eastAsia="Arial" w:hAnsi="Arial"/>
                <w:sz w:val="18"/>
                <w:szCs w:val="18"/>
                <w:color w:val="auto"/>
              </w:rPr>
              <w:t>Total operating revenues</w:t>
            </w:r>
          </w:p>
        </w:tc>
        <w:tc>
          <w:tcPr>
            <w:tcW w:w="22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270,931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80,413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55,702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379,716</w:t>
            </w:r>
          </w:p>
        </w:tc>
        <w:tc>
          <w:tcPr>
            <w:tcW w:w="0" w:type="dxa"/>
            <w:vAlign w:val="bottom"/>
          </w:tcPr>
          <w:p>
            <w:pPr>
              <w:spacing w:after="0"/>
              <w:rPr>
                <w:sz w:val="1"/>
                <w:szCs w:val="1"/>
                <w:color w:val="auto"/>
              </w:rPr>
            </w:pPr>
          </w:p>
        </w:tc>
      </w:tr>
      <w:tr>
        <w:trPr>
          <w:trHeight w:val="419"/>
        </w:trPr>
        <w:tc>
          <w:tcPr>
            <w:tcW w:w="3120" w:type="dxa"/>
            <w:vAlign w:val="bottom"/>
            <w:gridSpan w:val="2"/>
          </w:tcPr>
          <w:p>
            <w:pPr>
              <w:ind w:left="6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20" w:type="dxa"/>
            <w:vAlign w:val="bottom"/>
            <w:gridSpan w:val="2"/>
          </w:tcPr>
          <w:p>
            <w:pPr>
              <w:ind w:left="60"/>
              <w:spacing w:after="0"/>
              <w:rPr>
                <w:sz w:val="20"/>
                <w:szCs w:val="20"/>
                <w:color w:val="auto"/>
              </w:rPr>
            </w:pPr>
            <w:r>
              <w:rPr>
                <w:rFonts w:ascii="Arial" w:cs="Arial" w:eastAsia="Arial" w:hAnsi="Arial"/>
                <w:sz w:val="18"/>
                <w:szCs w:val="18"/>
                <w:color w:val="auto"/>
                <w:w w:val="98"/>
              </w:rPr>
              <w:t>Costs of goods and services, exclusive</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220"/>
              <w:spacing w:after="0"/>
              <w:rPr>
                <w:sz w:val="20"/>
                <w:szCs w:val="20"/>
                <w:color w:val="auto"/>
              </w:rPr>
            </w:pPr>
            <w:r>
              <w:rPr>
                <w:rFonts w:ascii="Arial" w:cs="Arial" w:eastAsia="Arial" w:hAnsi="Arial"/>
                <w:sz w:val="18"/>
                <w:szCs w:val="18"/>
                <w:color w:val="auto"/>
              </w:rPr>
              <w:t>of depreciation and amortization</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20"/>
              <w:spacing w:after="0"/>
              <w:rPr>
                <w:sz w:val="20"/>
                <w:szCs w:val="20"/>
                <w:color w:val="auto"/>
              </w:rPr>
            </w:pPr>
            <w:r>
              <w:rPr>
                <w:rFonts w:ascii="Arial" w:cs="Arial" w:eastAsia="Arial" w:hAnsi="Arial"/>
                <w:sz w:val="18"/>
                <w:szCs w:val="18"/>
                <w:color w:val="auto"/>
              </w:rPr>
              <w:t>shown separately below</w:t>
            </w:r>
          </w:p>
        </w:tc>
        <w:tc>
          <w:tcPr>
            <w:tcW w:w="2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94,892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43,864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26,892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140,354</w:t>
            </w:r>
          </w:p>
        </w:tc>
        <w:tc>
          <w:tcPr>
            <w:tcW w:w="0" w:type="dxa"/>
            <w:vAlign w:val="bottom"/>
          </w:tcPr>
          <w:p>
            <w:pPr>
              <w:spacing w:after="0"/>
              <w:rPr>
                <w:sz w:val="1"/>
                <w:szCs w:val="1"/>
                <w:color w:val="auto"/>
              </w:rPr>
            </w:pPr>
          </w:p>
        </w:tc>
      </w:tr>
      <w:tr>
        <w:trPr>
          <w:trHeight w:val="256"/>
        </w:trPr>
        <w:tc>
          <w:tcPr>
            <w:tcW w:w="3120" w:type="dxa"/>
            <w:vAlign w:val="bottom"/>
            <w:gridSpan w:val="2"/>
          </w:tcPr>
          <w:p>
            <w:pPr>
              <w:ind w:left="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220"/>
              <w:spacing w:after="0"/>
              <w:rPr>
                <w:sz w:val="20"/>
                <w:szCs w:val="20"/>
                <w:color w:val="auto"/>
              </w:rPr>
            </w:pPr>
            <w:r>
              <w:rPr>
                <w:rFonts w:ascii="Arial" w:cs="Arial" w:eastAsia="Arial" w:hAnsi="Arial"/>
                <w:sz w:val="18"/>
                <w:szCs w:val="18"/>
                <w:color w:val="auto"/>
              </w:rPr>
              <w:t>exclusive of depreciation and</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20"/>
              <w:spacing w:after="0"/>
              <w:rPr>
                <w:sz w:val="20"/>
                <w:szCs w:val="20"/>
                <w:color w:val="auto"/>
              </w:rPr>
            </w:pPr>
            <w:r>
              <w:rPr>
                <w:rFonts w:ascii="Arial" w:cs="Arial" w:eastAsia="Arial" w:hAnsi="Arial"/>
                <w:sz w:val="18"/>
                <w:szCs w:val="18"/>
                <w:color w:val="auto"/>
                <w:w w:val="97"/>
              </w:rPr>
              <w:t>amortization shown separately below</w:t>
            </w:r>
          </w:p>
        </w:tc>
        <w:tc>
          <w:tcPr>
            <w:tcW w:w="2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65,219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96,263</w:t>
            </w:r>
          </w:p>
        </w:tc>
        <w:tc>
          <w:tcPr>
            <w:tcW w:w="0" w:type="dxa"/>
            <w:vAlign w:val="bottom"/>
          </w:tcPr>
          <w:p>
            <w:pPr>
              <w:spacing w:after="0"/>
              <w:rPr>
                <w:sz w:val="1"/>
                <w:szCs w:val="1"/>
                <w:color w:val="auto"/>
              </w:rPr>
            </w:pPr>
          </w:p>
        </w:tc>
      </w:tr>
      <w:tr>
        <w:trPr>
          <w:trHeight w:val="270"/>
        </w:trPr>
        <w:tc>
          <w:tcPr>
            <w:tcW w:w="3120" w:type="dxa"/>
            <w:vAlign w:val="bottom"/>
            <w:gridSpan w:val="2"/>
          </w:tcPr>
          <w:p>
            <w:pPr>
              <w:ind w:left="60"/>
              <w:spacing w:after="0"/>
              <w:rPr>
                <w:sz w:val="20"/>
                <w:szCs w:val="20"/>
                <w:color w:val="auto"/>
              </w:rPr>
            </w:pPr>
            <w:r>
              <w:rPr>
                <w:rFonts w:ascii="Arial" w:cs="Arial" w:eastAsia="Arial" w:hAnsi="Arial"/>
                <w:sz w:val="18"/>
                <w:szCs w:val="18"/>
                <w:color w:val="auto"/>
              </w:rPr>
              <w:t>Integration and acquisition expenses</w:t>
            </w:r>
          </w:p>
        </w:tc>
        <w:tc>
          <w:tcPr>
            <w:tcW w:w="2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19,889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35,801</w:t>
            </w:r>
          </w:p>
        </w:tc>
        <w:tc>
          <w:tcPr>
            <w:tcW w:w="0" w:type="dxa"/>
            <w:vAlign w:val="bottom"/>
          </w:tcPr>
          <w:p>
            <w:pPr>
              <w:spacing w:after="0"/>
              <w:rPr>
                <w:sz w:val="1"/>
                <w:szCs w:val="1"/>
                <w:color w:val="auto"/>
              </w:rPr>
            </w:pPr>
          </w:p>
        </w:tc>
      </w:tr>
      <w:tr>
        <w:trPr>
          <w:trHeight w:val="304"/>
        </w:trPr>
        <w:tc>
          <w:tcPr>
            <w:tcW w:w="3120" w:type="dxa"/>
            <w:vAlign w:val="bottom"/>
            <w:gridSpan w:val="2"/>
          </w:tcPr>
          <w:p>
            <w:pPr>
              <w:ind w:left="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70,026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17,834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8,789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96,961</w:t>
            </w:r>
          </w:p>
        </w:tc>
        <w:tc>
          <w:tcPr>
            <w:tcW w:w="0" w:type="dxa"/>
            <w:vAlign w:val="bottom"/>
          </w:tcPr>
          <w:p>
            <w:pPr>
              <w:spacing w:after="0"/>
              <w:rPr>
                <w:sz w:val="1"/>
                <w:szCs w:val="1"/>
                <w:color w:val="auto"/>
              </w:rPr>
            </w:pPr>
          </w:p>
        </w:tc>
      </w:tr>
      <w:tr>
        <w:trPr>
          <w:trHeight w:val="277"/>
        </w:trPr>
        <w:tc>
          <w:tcPr>
            <w:tcW w:w="3120" w:type="dxa"/>
            <w:vAlign w:val="bottom"/>
            <w:gridSpan w:val="2"/>
          </w:tcPr>
          <w:p>
            <w:pPr>
              <w:ind w:left="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250,026</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76,370</w:t>
            </w: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40,632</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29,681</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369,379</w:t>
            </w:r>
          </w:p>
        </w:tc>
        <w:tc>
          <w:tcPr>
            <w:tcW w:w="0" w:type="dxa"/>
            <w:vAlign w:val="bottom"/>
          </w:tcPr>
          <w:p>
            <w:pPr>
              <w:spacing w:after="0"/>
              <w:rPr>
                <w:sz w:val="1"/>
                <w:szCs w:val="1"/>
                <w:color w:val="auto"/>
              </w:rPr>
            </w:pPr>
          </w:p>
        </w:tc>
      </w:tr>
      <w:tr>
        <w:trPr>
          <w:trHeight w:val="264"/>
        </w:trPr>
        <w:tc>
          <w:tcPr>
            <w:tcW w:w="3120" w:type="dxa"/>
            <w:vAlign w:val="bottom"/>
            <w:gridSpan w:val="2"/>
          </w:tcPr>
          <w:p>
            <w:pPr>
              <w:ind w:left="6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20,905</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4,043</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15,070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(29,681)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total of the reportable segments’ operating income (loss) to consolidated income (loss) before taxes is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8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590"/>
              <w:spacing w:after="0"/>
              <w:rPr>
                <w:sz w:val="20"/>
                <w:szCs w:val="20"/>
                <w:color w:val="auto"/>
              </w:rPr>
            </w:pPr>
            <w:r>
              <w:rPr>
                <w:rFonts w:ascii="Arial" w:cs="Arial" w:eastAsia="Arial" w:hAnsi="Arial"/>
                <w:sz w:val="18"/>
                <w:szCs w:val="18"/>
                <w:color w:val="auto"/>
              </w:rPr>
              <w:t>Nine Months Ended</w:t>
            </w:r>
          </w:p>
        </w:tc>
      </w:tr>
      <w:tr>
        <w:trPr>
          <w:trHeight w:val="230"/>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880" w:type="dxa"/>
            <w:vAlign w:val="bottom"/>
          </w:tcPr>
          <w:p>
            <w:pPr>
              <w:spacing w:after="0"/>
              <w:rPr>
                <w:sz w:val="20"/>
                <w:szCs w:val="20"/>
                <w:color w:val="auto"/>
              </w:rPr>
            </w:pPr>
          </w:p>
        </w:tc>
      </w:tr>
      <w:tr>
        <w:trPr>
          <w:trHeight w:val="34"/>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5580" w:type="dxa"/>
            <w:vAlign w:val="bottom"/>
          </w:tcPr>
          <w:p>
            <w:pPr>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9"/>
              </w:rPr>
              <w:t>2016</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Total consolidated operating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28,400</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10,337</w:t>
            </w:r>
          </w:p>
        </w:tc>
      </w:tr>
      <w:tr>
        <w:trPr>
          <w:trHeight w:val="270"/>
        </w:trPr>
        <w:tc>
          <w:tcPr>
            <w:tcW w:w="55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(9,823)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(28,312)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(16,369)</w:t>
            </w:r>
          </w:p>
        </w:tc>
      </w:tr>
      <w:tr>
        <w:trPr>
          <w:trHeight w:val="270"/>
        </w:trPr>
        <w:tc>
          <w:tcPr>
            <w:tcW w:w="5580" w:type="dxa"/>
            <w:vAlign w:val="bottom"/>
          </w:tcPr>
          <w:p>
            <w:pPr>
              <w:ind w:left="140"/>
              <w:spacing w:after="0"/>
              <w:rPr>
                <w:sz w:val="20"/>
                <w:szCs w:val="20"/>
                <w:color w:val="auto"/>
              </w:rPr>
            </w:pPr>
            <w:r>
              <w:rPr>
                <w:rFonts w:ascii="Arial" w:cs="Arial" w:eastAsia="Arial" w:hAnsi="Arial"/>
                <w:sz w:val="18"/>
                <w:szCs w:val="18"/>
                <w:color w:val="auto"/>
              </w:rPr>
              <w:t>Non-operating income, net</w:t>
            </w: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3,147</w:t>
            </w:r>
          </w:p>
        </w:tc>
      </w:tr>
      <w:tr>
        <w:trPr>
          <w:trHeight w:val="27"/>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files U.S. federal income tax returns and various state and local income tax returns. With few exceptions, years prior to 2013 are no longer subject to examination; net operating losses acquired in the nTelos acquisition are open to examination from 2002 forward. The Company is not subject to any state or federal income tax audits as of September 30, 2017.</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effective tax rate has fluctuated in recent periods due to the minimal base of pre-tax earnings or losses and has been further impacted by the impact of share based compensation tax benefits which are recognized as incurred under the provisions of ASC 740, "Income Taxes".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8"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ValleyNet, an equity method investee of the Company, resells capacity on the Company’s fiber network under an operating lease agreement. Additionally, the Company's PCS operating subsidiary leases capacity through ValleyNet.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financial statement impact from related party transactions with ValleyNet (in thousands):</w:t>
      </w:r>
    </w:p>
    <w:p>
      <w:pPr>
        <w:spacing w:after="0" w:line="306"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w w:val="92"/>
              </w:rPr>
              <w:t>Three Months Ended September 30,</w:t>
            </w:r>
          </w:p>
        </w:tc>
        <w:tc>
          <w:tcPr>
            <w:tcW w:w="120" w:type="dxa"/>
            <w:vAlign w:val="bottom"/>
          </w:tcPr>
          <w:p>
            <w:pPr>
              <w:spacing w:after="0"/>
              <w:rPr>
                <w:sz w:val="20"/>
                <w:szCs w:val="20"/>
                <w:color w:val="auto"/>
              </w:rPr>
            </w:pPr>
          </w:p>
        </w:tc>
        <w:tc>
          <w:tcPr>
            <w:tcW w:w="2680" w:type="dxa"/>
            <w:vAlign w:val="bottom"/>
            <w:gridSpan w:val="5"/>
          </w:tcPr>
          <w:p>
            <w:pPr>
              <w:jc w:val="center"/>
              <w:spacing w:after="0"/>
              <w:rPr>
                <w:sz w:val="20"/>
                <w:szCs w:val="20"/>
                <w:color w:val="auto"/>
              </w:rPr>
            </w:pPr>
            <w:r>
              <w:rPr>
                <w:rFonts w:ascii="Arial" w:cs="Arial" w:eastAsia="Arial" w:hAnsi="Arial"/>
                <w:sz w:val="18"/>
                <w:szCs w:val="18"/>
                <w:color w:val="auto"/>
                <w:w w:val="90"/>
              </w:rPr>
              <w:t>Nine Months Ended September 30,</w:t>
            </w:r>
          </w:p>
        </w:tc>
        <w:tc>
          <w:tcPr>
            <w:tcW w:w="0" w:type="dxa"/>
            <w:vAlign w:val="bottom"/>
          </w:tcPr>
          <w:p>
            <w:pPr>
              <w:spacing w:after="0"/>
              <w:rPr>
                <w:sz w:val="1"/>
                <w:szCs w:val="1"/>
                <w:color w:val="auto"/>
              </w:rPr>
            </w:pPr>
          </w:p>
        </w:tc>
      </w:tr>
      <w:tr>
        <w:trPr>
          <w:trHeight w:val="34"/>
        </w:trPr>
        <w:tc>
          <w:tcPr>
            <w:tcW w:w="3580" w:type="dxa"/>
            <w:vAlign w:val="bottom"/>
            <w:vMerge w:val="restart"/>
          </w:tcPr>
          <w:p>
            <w:pPr>
              <w:spacing w:after="0"/>
              <w:rPr>
                <w:sz w:val="20"/>
                <w:szCs w:val="20"/>
                <w:color w:val="auto"/>
              </w:rPr>
            </w:pPr>
            <w:r>
              <w:rPr>
                <w:rFonts w:ascii="Arial" w:cs="Arial" w:eastAsia="Arial" w:hAnsi="Arial"/>
                <w:sz w:val="18"/>
                <w:szCs w:val="18"/>
                <w:color w:val="auto"/>
                <w:w w:val="98"/>
              </w:rPr>
              <w:t>Statement of Operations and Comprehensive</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restart"/>
          </w:tcPr>
          <w:p>
            <w:pPr>
              <w:jc w:val="right"/>
              <w:ind w:right="4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restart"/>
          </w:tcPr>
          <w:p>
            <w:pPr>
              <w:jc w:val="right"/>
              <w:ind w:right="4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51"/>
        </w:trPr>
        <w:tc>
          <w:tcPr>
            <w:tcW w:w="3580" w:type="dxa"/>
            <w:vAlign w:val="bottom"/>
          </w:tcPr>
          <w:p>
            <w:pPr>
              <w:spacing w:after="0"/>
              <w:rPr>
                <w:sz w:val="20"/>
                <w:szCs w:val="20"/>
                <w:color w:val="auto"/>
              </w:rPr>
            </w:pPr>
            <w:r>
              <w:rPr>
                <w:rFonts w:ascii="Arial" w:cs="Arial" w:eastAsia="Arial" w:hAnsi="Arial"/>
                <w:sz w:val="18"/>
                <w:szCs w:val="18"/>
                <w:color w:val="auto"/>
              </w:rPr>
              <w:t>Income (Loss)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40"/>
              <w:spacing w:after="0"/>
              <w:rPr>
                <w:sz w:val="20"/>
                <w:szCs w:val="20"/>
                <w:color w:val="auto"/>
              </w:rPr>
            </w:pPr>
            <w:r>
              <w:rPr>
                <w:rFonts w:ascii="Arial" w:cs="Arial" w:eastAsia="Arial" w:hAnsi="Arial"/>
                <w:sz w:val="18"/>
                <w:szCs w:val="18"/>
                <w:color w:val="auto"/>
              </w:rPr>
              <w:t>Facility Lease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Costs of Goods and Services</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580"/>
        </w:trPr>
        <w:tc>
          <w:tcPr>
            <w:tcW w:w="3580" w:type="dxa"/>
            <w:vAlign w:val="bottom"/>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4"/>
                <w:szCs w:val="24"/>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580" w:type="dxa"/>
            <w:vAlign w:val="bottom"/>
            <w:vMerge w:val="restart"/>
          </w:tcPr>
          <w:p>
            <w:pPr>
              <w:spacing w:after="0"/>
              <w:rPr>
                <w:sz w:val="20"/>
                <w:szCs w:val="20"/>
                <w:color w:val="auto"/>
              </w:rPr>
            </w:pPr>
            <w:r>
              <w:rPr>
                <w:rFonts w:ascii="Arial" w:cs="Arial" w:eastAsia="Arial" w:hAnsi="Arial"/>
                <w:sz w:val="18"/>
                <w:szCs w:val="18"/>
                <w:color w:val="auto"/>
              </w:rPr>
              <w:t>Consolidated Balance Sheet</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Accounts Receivable related to ValleyNet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140"/>
              <w:spacing w:after="0"/>
              <w:rPr>
                <w:sz w:val="20"/>
                <w:szCs w:val="20"/>
                <w:color w:val="auto"/>
              </w:rPr>
            </w:pPr>
            <w:r>
              <w:rPr>
                <w:rFonts w:ascii="Arial" w:cs="Arial" w:eastAsia="Arial" w:hAnsi="Arial"/>
                <w:sz w:val="18"/>
                <w:szCs w:val="18"/>
                <w:color w:val="auto"/>
              </w:rPr>
              <w:t>Accounts Payable related to ValleyNet</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On October 24. 2017, the Company’s Board of Directors approved a dividend of $0.26 per common share to be paid December 1, 2017 to shareholders of record as of the close of business on November 3, 2017. Before dividend reinvestments, the total payout is expected to be approximately $12.8 million.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2016. The following management’s discussion and analysis should be read in conjunction with the Company’s Annual Report on Form 10-K for its fiscal year ended December 31, 2016, including the financial statements and related notes included therein.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Shenandoah Telecommunications Company is a diversified telecommunications company providing both regulated and unregulated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services through its wholly owned subsidiaries. These subsidiaries provide wireless personal communications services (as a Sprint PCS affiliate), local exchange telephone services, video, internet and data services, long distance services, fiber optics facilities, and leased tower facilities. We have three reportable segments, which we operate and manage as strategic business units organized by lines of business: (1) Wireless, (2) Cable, and (3) Wireline.</w:t>
      </w:r>
    </w:p>
    <w:p>
      <w:pPr>
        <w:spacing w:after="0" w:line="188" w:lineRule="exact"/>
        <w:rPr>
          <w:sz w:val="20"/>
          <w:szCs w:val="20"/>
          <w:color w:val="auto"/>
        </w:rPr>
      </w:pPr>
    </w:p>
    <w:p>
      <w:pPr>
        <w:ind w:left="660" w:right="40" w:hanging="328"/>
        <w:spacing w:after="0" w:line="27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Wireless segment provides digital wireless service as a Sprint PCS affiliate to a portion of a four-state area covering the region from Harrisburg, York and Altoona, Pennsylvania, along Interstate 81 to Harrisonburg, Virginia, south-central and western Virginia, West Virginia, and small portions of North Carolina, Kentucky, Maryland and Ohio. In these areas, we are the exclusive provider of Sprint-branded wireless mobility communications network products and services on the 800 MHz, 1900 MHz and 2.5 GHz bands. This segment also owns cell site towers built on leased land, and leases space on these towers to both affiliates and non-affiliated service providers.</w:t>
      </w:r>
    </w:p>
    <w:p>
      <w:pPr>
        <w:spacing w:after="0" w:line="64" w:lineRule="exact"/>
        <w:rPr>
          <w:rFonts w:ascii="Arial" w:cs="Arial" w:eastAsia="Arial" w:hAnsi="Arial"/>
          <w:sz w:val="17"/>
          <w:szCs w:val="17"/>
          <w:color w:val="auto"/>
        </w:rPr>
      </w:pPr>
    </w:p>
    <w:p>
      <w:pPr>
        <w:ind w:left="660" w:right="2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73"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 fourth segment, Other, primarily includes Shenandoah Telecommunications Company, the parent holding company, and includes corporate costs of executive management, information technology, legal, finance, and human resources and investor relations. This segment also includes certain acquisition and integration costs primarily consisting of severance accruals for short-term nTelos employees to be separated as integration activities wind down and transaction related expenses such as investment advisor, legal and other professional fees. The segment results provided below are presented without giving effect to the elimination of transactions between segments to provide a view of our results without inter-segment eliminations and corporate items.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Recent Developments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Acquisition of nTelos and Exchange with Sprint: </w:t>
      </w:r>
      <w:r>
        <w:rPr>
          <w:rFonts w:ascii="Arial" w:cs="Arial" w:eastAsia="Arial" w:hAnsi="Arial"/>
          <w:sz w:val="18"/>
          <w:szCs w:val="18"/>
          <w:color w:val="auto"/>
        </w:rPr>
        <w:t>On May 6, 2016, we completed our previously announced acquisition of NTELOS Holdings Corp.</w:t>
      </w:r>
      <w:r>
        <w:rPr>
          <w:rFonts w:ascii="Arial" w:cs="Arial" w:eastAsia="Arial" w:hAnsi="Arial"/>
          <w:sz w:val="18"/>
          <w:szCs w:val="18"/>
          <w:i w:val="1"/>
          <w:iCs w:val="1"/>
          <w:color w:val="auto"/>
        </w:rPr>
        <w:t xml:space="preserve"> </w:t>
      </w:r>
      <w:r>
        <w:rPr>
          <w:rFonts w:ascii="Arial" w:cs="Arial" w:eastAsia="Arial" w:hAnsi="Arial"/>
          <w:sz w:val="18"/>
          <w:szCs w:val="18"/>
          <w:color w:val="auto"/>
        </w:rPr>
        <w:t>(“nTelos”) for $667.8 million, net of cash acquired. The purchase price was financed by a credit facility arranged by CoBank, ACB. We have included the operations of nTelos for financial reporting purposes for periods subsequent to the acquisition.</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expect to incur approximately $16.7 million of integration and acquisition expenses associated with this transaction in 2017, in addition to the $54.7 million of such costs incurred during 2016. We have incurred $2.9 million and $15.4 million of these costs in the three and nine months ended September 30, 2017, respectively. These costs include $0.1 million reflected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cost of goods and services, $1.1 million reflected in selling, general and administrative costs and $1.7 million reflected in integration and acquisition in the three month period ended September 30, 2017. These costs include $0.3 million reflected in cost of goods and services, $5.2 million reflected in selling, general and administrative and $9.9 million reflected in integration and acquisition costs in the nine month period ended September 30, 2017. In addition to the approximately $71.4 million of incurred and expected expenses described above, we also incurred approximately $28 million of debt issuance, legal and other costs in 2015 and 2016 relating to this transaction, for a total expected cost of $100 million.</w:t>
      </w:r>
    </w:p>
    <w:p>
      <w:pPr>
        <w:spacing w:after="0" w:line="17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i w:val="1"/>
          <w:iCs w:val="1"/>
          <w:color w:val="auto"/>
        </w:rPr>
        <w:t xml:space="preserve">Acquisition of Expansion Area: </w:t>
      </w:r>
      <w:r>
        <w:rPr>
          <w:rFonts w:ascii="Arial" w:cs="Arial" w:eastAsia="Arial" w:hAnsi="Arial"/>
          <w:sz w:val="16"/>
          <w:szCs w:val="16"/>
          <w:color w:val="auto"/>
        </w:rPr>
        <w:t>On April 6, 2017, we expanded our affiliate service territory, under our agreements with Sprint, to include certain areas in</w:t>
      </w:r>
      <w:r>
        <w:rPr>
          <w:rFonts w:ascii="Arial" w:cs="Arial" w:eastAsia="Arial" w:hAnsi="Arial"/>
          <w:sz w:val="16"/>
          <w:szCs w:val="16"/>
          <w:i w:val="1"/>
          <w:iCs w:val="1"/>
          <w:color w:val="auto"/>
        </w:rPr>
        <w:t xml:space="preserve"> </w:t>
      </w:r>
      <w:r>
        <w:rPr>
          <w:rFonts w:ascii="Arial" w:cs="Arial" w:eastAsia="Arial" w:hAnsi="Arial"/>
          <w:sz w:val="16"/>
          <w:szCs w:val="16"/>
          <w:color w:val="auto"/>
        </w:rPr>
        <w:t>North Carolina, Kentucky, Maryland, Ohio and West Virginia. The expanded territory covers the Parkersburg, WV, Huntington, WV and Cumberland, MD basic trading areas. Approximately 25,000 Sprint retail and former nTelos postpaid and prepaid subscribers in the new basic trading areas will become Sprint-branded affiliate customers managed by us. We have authorization to serve over 6 million POPs in the mid-Atlantic region as a Sprint PCS Affiliate following this expansion. We plan to invest approximately $32 million over the next three years to upgrade and expand the existing wireless network coverage in those regions. Once the network expansion is complete, our plan is to open multiple Sprint-branded retail locations in the new area.</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2017 Compared with the Three Months Ended September 30,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for the third quarter of 2017 and 2016 are summarized as follows: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gridSpan w:val="5"/>
          </w:tcPr>
          <w:p>
            <w:pPr>
              <w:ind w:left="54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gridSpan w:val="3"/>
          </w:tcPr>
          <w:p>
            <w:pPr>
              <w:ind w:left="940"/>
              <w:spacing w:after="0"/>
              <w:rPr>
                <w:sz w:val="20"/>
                <w:szCs w:val="20"/>
                <w:color w:val="auto"/>
              </w:rPr>
            </w:pPr>
            <w:r>
              <w:rPr>
                <w:rFonts w:ascii="Arial" w:cs="Arial" w:eastAsia="Arial" w:hAnsi="Arial"/>
                <w:sz w:val="18"/>
                <w:szCs w:val="18"/>
                <w:color w:val="auto"/>
              </w:rPr>
              <w:t>Change</w:t>
            </w:r>
          </w:p>
        </w:tc>
        <w:tc>
          <w:tcPr>
            <w:tcW w:w="1100" w:type="dxa"/>
            <w:vAlign w:val="bottom"/>
          </w:tcPr>
          <w:p>
            <w:pPr>
              <w:spacing w:after="0"/>
              <w:rPr>
                <w:sz w:val="20"/>
                <w:szCs w:val="20"/>
                <w:color w:val="auto"/>
              </w:rPr>
            </w:pPr>
          </w:p>
        </w:tc>
      </w:tr>
      <w:tr>
        <w:trPr>
          <w:trHeight w:val="34"/>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4660" w:type="dxa"/>
            <w:vAlign w:val="bottom"/>
          </w:tcPr>
          <w:p>
            <w:pPr>
              <w:spacing w:after="0"/>
              <w:rPr>
                <w:sz w:val="20"/>
                <w:szCs w:val="20"/>
                <w:color w:val="auto"/>
              </w:rPr>
            </w:pPr>
            <w:r>
              <w:rPr>
                <w:rFonts w:ascii="Arial" w:cs="Arial" w:eastAsia="Arial" w:hAnsi="Arial"/>
                <w:sz w:val="18"/>
                <w:szCs w:val="18"/>
                <w:color w:val="auto"/>
              </w:rPr>
              <w:t>(in thousands)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Operating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151,782</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156,836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66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142,307</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160,765</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13,404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(341.2)</w:t>
            </w:r>
          </w:p>
        </w:tc>
      </w:tr>
      <w:tr>
        <w:trPr>
          <w:trHeight w:val="594"/>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(9,823)</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(8,845)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304"/>
        </w:trPr>
        <w:tc>
          <w:tcPr>
            <w:tcW w:w="46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12,104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304"/>
        </w:trPr>
        <w:tc>
          <w:tcPr>
            <w:tcW w:w="46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64"/>
        </w:trPr>
        <w:tc>
          <w:tcPr>
            <w:tcW w:w="466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3,534</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(7,596)</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11,130</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three months ended September 30, 2017, operating revenues decreased $5.1 million, or 3.2% to $151.8 million. Wireless segment revenues decreased $7.6 million compared with the third quarter of 2016, primarily driven by lower service revenue and the reduction of subsidized handset sales. Cable segment revenues grew $2.5 million primarily as a result of 0.8% growth in average subscriber counts and an increase in revenue per subscriber. Wireline segment revenues increased $1.1 million, primarily due to increases in fiber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Total operating expenses decreased $18.5 million or 11.5% to $142.3 million in the three months ended September 30, 2017 compared with $160.8 million in the prior year period. The decrease in operating expenses was primarily driven by a reduction of approximately $17.3 million of integration and acquisition costs related to the completion of the transformation of the nTelos network during 2017 and the remainder is primarily attributable to improved operating efficiencies in network operations.</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Integration and acquisition costs incurred in the Wireless segment and Other segment primarily consist of handsets provided to nTelos subscribers who required a new phone to transition to the Sprint billing platform, and personnel costs associated with nTelos employees retained on a short-term basis who were necessary in the efforts required to migrate former nTelos customers to the Sprint back-office billing platform. Acquisition and integration costs were $2.9 million for the three months ended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September 30, 2017, and were comprised of $0.1 million classified as cost of goods and services, $1.1 million classified as selling, general and administrative, and $1.7 million classified as integration and acquisition; whereas acquisition and integration costs for the three months ended September 30, 2016 were $20.2 million, and were comprised of $0.7 million classified as cost of goods and services, $4.2 million classified as selling, general and administrative, and $15.3 million classified as integration and acquisition. We expect integration and acquisition costs related to the nTelos acquisition to continue to decrease as integration activities wind down.</w:t>
      </w:r>
    </w:p>
    <w:p>
      <w:pPr>
        <w:spacing w:after="0" w:line="18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For the three months ended September 30, 2017 compared with the three months ended September 30, 2016, excluding integration and acquisition costs, operating expenses decreased $1.2 million primarily related to the completion of the transformation of the nTelos network during 2017 and improved operating efficiencies in network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Interest expense has increased primarily as a result of the incremental borrowings associated with closing the nTelos acquisition and the effect of increases in the London Interbank Offered Rate ("LIBOR") in late 2016 and during 2017. The impact of the interest rate increases has been partially offset by an interest rate swap, which is classified as a cash flow hedge that covers approximately 50% of the outstanding principal under the Credit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has decreased $0.3 million primarily as a result of lower interest income derived from our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months ended September 30, 2017, income tax benefits were approximately $2.7 million, compared with benefits of $3.7 million for the three months ended September 30, 2016. Excluding approximately $2.8 million of excess tax benefits recognized during 2017 that are derived from exercises of stock options and vesting of restricted stock, our income tax expense increased $3.8 million consistent with the growth that we have experienced in our increase in income before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2017 Compared with the Nine Months Ended September 30,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for the first nine months of 2017 and 2016 are summarized as follows:</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5"/>
          </w:tcPr>
          <w:p>
            <w:pPr>
              <w:ind w:left="580"/>
              <w:spacing w:after="0"/>
              <w:rPr>
                <w:sz w:val="20"/>
                <w:szCs w:val="20"/>
                <w:color w:val="auto"/>
              </w:rPr>
            </w:pPr>
            <w:r>
              <w:rPr>
                <w:rFonts w:ascii="Arial" w:cs="Arial" w:eastAsia="Arial" w:hAnsi="Arial"/>
                <w:sz w:val="18"/>
                <w:szCs w:val="18"/>
                <w:color w:val="auto"/>
              </w:rPr>
              <w:t>Nine Months Ended</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4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gridSpan w:val="3"/>
          </w:tcPr>
          <w:p>
            <w:pPr>
              <w:ind w:left="940"/>
              <w:spacing w:after="0"/>
              <w:rPr>
                <w:sz w:val="20"/>
                <w:szCs w:val="20"/>
                <w:color w:val="auto"/>
              </w:rPr>
            </w:pPr>
            <w:r>
              <w:rPr>
                <w:rFonts w:ascii="Arial" w:cs="Arial" w:eastAsia="Arial" w:hAnsi="Arial"/>
                <w:sz w:val="18"/>
                <w:szCs w:val="18"/>
                <w:color w:val="auto"/>
              </w:rPr>
              <w:t>Change</w:t>
            </w:r>
          </w:p>
        </w:tc>
        <w:tc>
          <w:tcPr>
            <w:tcW w:w="1120" w:type="dxa"/>
            <w:vAlign w:val="bottom"/>
          </w:tcPr>
          <w:p>
            <w:pPr>
              <w:spacing w:after="0"/>
              <w:rPr>
                <w:sz w:val="20"/>
                <w:szCs w:val="20"/>
                <w:color w:val="auto"/>
              </w:rPr>
            </w:pPr>
          </w:p>
        </w:tc>
      </w:tr>
      <w:tr>
        <w:trPr>
          <w:trHeight w:val="34"/>
        </w:trPr>
        <w:tc>
          <w:tcPr>
            <w:tcW w:w="4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4640" w:type="dxa"/>
            <w:vAlign w:val="bottom"/>
          </w:tcPr>
          <w:p>
            <w:pPr>
              <w:spacing w:after="0"/>
              <w:rPr>
                <w:sz w:val="20"/>
                <w:szCs w:val="20"/>
                <w:color w:val="auto"/>
              </w:rPr>
            </w:pPr>
            <w:r>
              <w:rPr>
                <w:rFonts w:ascii="Arial" w:cs="Arial" w:eastAsia="Arial" w:hAnsi="Arial"/>
                <w:sz w:val="18"/>
                <w:szCs w:val="18"/>
                <w:color w:val="auto"/>
              </w:rPr>
              <w:t>(in thousands)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2016</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Operating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458,920</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379,716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79,204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20.9</w:t>
            </w:r>
          </w:p>
        </w:tc>
      </w:tr>
      <w:tr>
        <w:trPr>
          <w:trHeight w:val="304"/>
        </w:trPr>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430,520</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369,379</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61,141</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28,400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10,337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18,063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174.7</w:t>
            </w:r>
          </w:p>
        </w:tc>
      </w:tr>
      <w:tr>
        <w:trPr>
          <w:trHeight w:val="594"/>
        </w:trPr>
        <w:tc>
          <w:tcPr>
            <w:tcW w:w="464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(28,312)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(16,369)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(11,943)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73.0</w:t>
            </w:r>
          </w:p>
        </w:tc>
      </w:tr>
      <w:tr>
        <w:trPr>
          <w:trHeight w:val="304"/>
        </w:trPr>
        <w:tc>
          <w:tcPr>
            <w:tcW w:w="46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(237.4)</w:t>
            </w:r>
          </w:p>
        </w:tc>
      </w:tr>
      <w:tr>
        <w:trPr>
          <w:trHeight w:val="270"/>
        </w:trPr>
        <w:tc>
          <w:tcPr>
            <w:tcW w:w="46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4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64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5,795</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6,506</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w:t>
            </w:r>
          </w:p>
        </w:tc>
      </w:tr>
      <w:tr>
        <w:trPr>
          <w:trHeight w:val="20"/>
        </w:trPr>
        <w:tc>
          <w:tcPr>
            <w:tcW w:w="4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nine months ended September 30, 2017, operating revenues increased $79.2 million, or 20.9%. Wireless segment revenues increased $71.2 million compared to the first nine months of 2016. Nearly all of this increase was a result of the acquisition of nTelos on May 6, 2016 as 2017 included nine months of nTelos revenue whereas the comparable 2016 period included approximately five months of nTelos revenue. Cable segment revenues grew $8.3 million primarily as a result of 0.8% growth in high speed data and voice subscribers and an increase in average revenue per subscriber. Wireline segment revenues increased $2.9 million primarily due to increases in fiber sales.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Total operating expenses increased $61.1 million or 16.6% to $430.5 million in the nine months ended September 30, 2017 compared with $369.4 million in the prior year period. Nearly all of this increase was a result of the acquisition of nTelos on May 6, 2016 as 2017 included nine months of nTelos operating expenses whereas the comparable 2016 period included approximately five months of nTelos operating expenses. The increase in operating expenses was consistent with the growth that occurred in operating revenues, and was partially offset by a decrease of approximately $28.5 million in integration and acquisition costs related to the transformation of nTelos.</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Integration and acquisition costs were $15.4 million for the nine months ended September 30, 2017, and were primarily comprised of $0.3 million classified as cost of goods and services, $5.2 million classified as selling, general and administrative, and $9.9 million classified as integration and acquisition; whereas acquisition and integration costs for the nine months ended September 30, 2016 were $43.9 million, and were comprised of $1.0 million classified as cost of goods and services, $7.1 million classified as selling, general and administrative, and $35.8 million classified as integration and acquisition. We expect integration and acquisition costs related to the nTelos acquisition to decrease as integration activities wind down.</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Excluding integration and acquisition costs, operating expenses increased $89.6 million, nearly all of this increase was a result of the acquisition of nTelos on May 6, 2016 as 2017 included nine months of nTelos operating expenses whereas the comparable 2016 period included approximately five months of nTelos operating expenses. The increase was consistent with the growth in operating revenues related to the acquisition of nTelos in 2016 and acquisition of the Expansion Area during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Interest expense has increased primarily as a result of the borrowings under our Credit Agreement, associated with closing the nTelos acquisition during May 2016, and the effect of increases in the London Interbank Offered Rate ("LIBOR") that have occurred since. As a result, the nine months ended September 30, 2016 include interest expense under our borrowings for approximately five months, whereas the nine months ended September 30, 2017 include interest expense for nine months. The impact of the interest rate increases has been partially offset by an interest rate swap, which is classified as a cash flow hedge that covers approximately 50% of the outstanding principal under the Credit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has increased $0.7 million primarily as a result of lower interest income derived from our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nine months ended September 30, 2017, income tax expense increased by approximately $0.3 million, compared with the nine months ended September 30, 2016. Excluding approximately $1.8 million of incremental excess tax benefits recognized during 2017 that are derived from exercises of stock options and vesting of restricted stock, our income tax expense increased $2.1 million consistent with the growth that we have experienced in our increase in income before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 Segment</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Wireless segment provides digital wireless service as a Sprint PCS affiliate to a portion of a multi-state area covering the region from Harrisburg, York and Altoona, Pennsylvania, along Interstate 81 to Harrisonburg, Virginia, south-central and western Virginia, West Virginia, and portions of Maryland, North Carolina, Kentucky, Maryland and Ohio. This segment also leases land on which it builds Company-owned cell towers, which it leases to affiliates and non-affiliated wireless service providers, throughout the same multi-state area described above.</w:t>
      </w:r>
    </w:p>
    <w:p>
      <w:pPr>
        <w:spacing w:after="0" w:line="187"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We earn revenues from Sprint for providing access to our network. Postpaid revenues received from Sprint are recorded net of certain fees retained by Sprint. Since January 1, 2016, the fees retained by Sprint are 16.6%, and certain revenue and expense items previously included in these fees became separately settled.</w:t>
      </w:r>
    </w:p>
    <w:p>
      <w:pPr>
        <w:spacing w:after="0" w:line="18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We also offer prepaid wireless products and services in our network coverage area. Sprint retains a Management Fee equal to 6% of prepaid customer billings. Prepaid revenues received from Sprint are reported net of the cost of this fee. Other fees charged on a per unit basis are separately recorded as expenses according to the nature of the expense. We pay handset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subsidies to Sprint for the difference between the selling price of prepaid handsets and their cost, recorded as a net cost in cost of goods sold.</w:t>
      </w:r>
    </w:p>
    <w:p>
      <w:pPr>
        <w:spacing w:after="0" w:line="225"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Lifeline Subscribers: The Company is no longer including Lifeline subscribers in the customer counts to be consistent with Sprint. While the Lifeline subscribers will continue to be supported through the Assurance Wireless prepaid brand, we have excluded these subscribers from the reported prepaid customer base for all periods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operating statistics of the Wireless segment, including Sprint's subscribers: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720" w:type="dxa"/>
            <w:vAlign w:val="bottom"/>
            <w:gridSpan w:val="2"/>
          </w:tcPr>
          <w:p>
            <w:pPr>
              <w:ind w:left="280"/>
              <w:spacing w:after="0"/>
              <w:rPr>
                <w:sz w:val="20"/>
                <w:szCs w:val="20"/>
                <w:color w:val="auto"/>
              </w:rPr>
            </w:pPr>
            <w:r>
              <w:rPr>
                <w:rFonts w:ascii="Arial" w:cs="Arial" w:eastAsia="Arial" w:hAnsi="Arial"/>
                <w:sz w:val="18"/>
                <w:szCs w:val="18"/>
                <w:color w:val="auto"/>
              </w:rPr>
              <w:t>September 30,</w:t>
            </w:r>
          </w:p>
        </w:tc>
        <w:tc>
          <w:tcPr>
            <w:tcW w:w="1700" w:type="dxa"/>
            <w:vAlign w:val="bottom"/>
            <w:gridSpan w:val="2"/>
          </w:tcPr>
          <w:p>
            <w:pPr>
              <w:ind w:left="260"/>
              <w:spacing w:after="0"/>
              <w:rPr>
                <w:sz w:val="20"/>
                <w:szCs w:val="20"/>
                <w:color w:val="auto"/>
              </w:rPr>
            </w:pPr>
            <w:r>
              <w:rPr>
                <w:rFonts w:ascii="Arial" w:cs="Arial" w:eastAsia="Arial" w:hAnsi="Arial"/>
                <w:sz w:val="18"/>
                <w:szCs w:val="18"/>
                <w:color w:val="auto"/>
              </w:rPr>
              <w:t>December 31,</w:t>
            </w:r>
          </w:p>
        </w:tc>
        <w:tc>
          <w:tcPr>
            <w:tcW w:w="1560" w:type="dxa"/>
            <w:vAlign w:val="bottom"/>
            <w:gridSpan w:val="2"/>
          </w:tcPr>
          <w:p>
            <w:pPr>
              <w:ind w:left="200"/>
              <w:spacing w:after="0"/>
              <w:rPr>
                <w:sz w:val="20"/>
                <w:szCs w:val="20"/>
                <w:color w:val="auto"/>
              </w:rPr>
            </w:pPr>
            <w:r>
              <w:rPr>
                <w:rFonts w:ascii="Arial" w:cs="Arial" w:eastAsia="Arial" w:hAnsi="Arial"/>
                <w:sz w:val="18"/>
                <w:szCs w:val="18"/>
                <w:color w:val="auto"/>
              </w:rPr>
              <w:t>September 30,</w:t>
            </w:r>
          </w:p>
        </w:tc>
        <w:tc>
          <w:tcPr>
            <w:tcW w:w="1560" w:type="dxa"/>
            <w:vAlign w:val="bottom"/>
          </w:tcPr>
          <w:p>
            <w:pPr>
              <w:spacing w:after="0"/>
              <w:rPr>
                <w:sz w:val="18"/>
                <w:szCs w:val="18"/>
                <w:color w:val="auto"/>
              </w:rPr>
            </w:pPr>
          </w:p>
        </w:tc>
      </w:tr>
      <w:tr>
        <w:trPr>
          <w:trHeight w:val="230"/>
        </w:trPr>
        <w:tc>
          <w:tcPr>
            <w:tcW w:w="478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w w:val="92"/>
              </w:rPr>
              <w:t>December 31, 2015</w:t>
            </w:r>
          </w:p>
        </w:tc>
      </w:tr>
      <w:tr>
        <w:trPr>
          <w:trHeight w:val="34"/>
        </w:trPr>
        <w:tc>
          <w:tcPr>
            <w:tcW w:w="47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Retail PCS Subscribers – Postpaid</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727,954</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722,562</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718,785</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312,512</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Retail PCS Subscribers – Prepaid (1)</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224,609</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206,672</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245,046</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129,855</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PCS Market POPS (000) (2)</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6,047</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5,536</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2,433</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PCS Covered POPS (000) (2)</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5,157</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4,807</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4,715</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2,224</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CDMA Base Stations (sites)</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1,544</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552</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Towers Owned</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Non-affiliate Cell Site Leases</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142"/>
        </w:trPr>
        <w:tc>
          <w:tcPr>
            <w:tcW w:w="478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r>
    </w:tbl>
    <w:p>
      <w:pPr>
        <w:jc w:val="both"/>
        <w:ind w:left="660" w:right="80" w:hanging="328"/>
        <w:spacing w:after="0" w:line="241"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Prepaid subscribers reported in the December 2016 and subsequent periods include the impact of a change in the Company's policy as to how long an inactive customer is included in the customer counts. This policy change, implemented in December 2016, effectively reduced prepaid customers by approximately 24 thousand. As of September 2017, The Company is no longer including Lifeline subscribers to be consistent with Sprint's policy. Historical customer counts have been adjusted accordingly.</w:t>
      </w:r>
    </w:p>
    <w:p>
      <w:pPr>
        <w:spacing w:after="0" w:line="1" w:lineRule="exact"/>
        <w:rPr>
          <w:rFonts w:ascii="Arial" w:cs="Arial" w:eastAsia="Arial" w:hAnsi="Arial"/>
          <w:sz w:val="14"/>
          <w:szCs w:val="14"/>
          <w:color w:val="auto"/>
        </w:rPr>
      </w:pPr>
    </w:p>
    <w:p>
      <w:pPr>
        <w:ind w:left="660" w:right="160" w:hanging="328"/>
        <w:spacing w:after="0" w:line="255"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POPS refers to the estimated population of a given geographic area and is based on information purchased from third party sources. Market POPS are those within a market area which we are authorized to serve under our Sprint PCS affiliate agreements, and Covered POPS are those covered by our network.</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280" w:type="dxa"/>
            <w:vAlign w:val="bottom"/>
            <w:gridSpan w:val="5"/>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3180" w:type="dxa"/>
            <w:vAlign w:val="bottom"/>
            <w:gridSpan w:val="4"/>
          </w:tcPr>
          <w:p>
            <w:pPr>
              <w:jc w:val="center"/>
              <w:spacing w:after="0"/>
              <w:rPr>
                <w:sz w:val="20"/>
                <w:szCs w:val="20"/>
                <w:color w:val="auto"/>
              </w:rPr>
            </w:pPr>
            <w:r>
              <w:rPr>
                <w:rFonts w:ascii="Arial" w:cs="Arial" w:eastAsia="Arial" w:hAnsi="Arial"/>
                <w:sz w:val="18"/>
                <w:szCs w:val="18"/>
                <w:color w:val="auto"/>
                <w:w w:val="91"/>
              </w:rPr>
              <w:t>Nine Months Ended</w:t>
            </w:r>
          </w:p>
        </w:tc>
      </w:tr>
      <w:tr>
        <w:trPr>
          <w:trHeight w:val="230"/>
        </w:trPr>
        <w:tc>
          <w:tcPr>
            <w:tcW w:w="4960" w:type="dxa"/>
            <w:vAlign w:val="bottom"/>
          </w:tcPr>
          <w:p>
            <w:pPr>
              <w:spacing w:after="0"/>
              <w:rPr>
                <w:sz w:val="20"/>
                <w:szCs w:val="20"/>
                <w:color w:val="auto"/>
              </w:rPr>
            </w:pPr>
          </w:p>
        </w:tc>
        <w:tc>
          <w:tcPr>
            <w:tcW w:w="2160" w:type="dxa"/>
            <w:vAlign w:val="bottom"/>
            <w:gridSpan w:val="3"/>
          </w:tcPr>
          <w:p>
            <w:pPr>
              <w:jc w:val="center"/>
              <w:ind w:left="950"/>
              <w:spacing w:after="0"/>
              <w:rPr>
                <w:sz w:val="20"/>
                <w:szCs w:val="20"/>
                <w:color w:val="auto"/>
              </w:rPr>
            </w:pPr>
            <w:r>
              <w:rPr>
                <w:rFonts w:ascii="Arial" w:cs="Arial" w:eastAsia="Arial" w:hAnsi="Arial"/>
                <w:sz w:val="18"/>
                <w:szCs w:val="18"/>
                <w:color w:val="auto"/>
                <w:w w:val="88"/>
              </w:rPr>
              <w:t>September 30,</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3"/>
          </w:tcPr>
          <w:p>
            <w:pPr>
              <w:jc w:val="center"/>
              <w:ind w:left="930"/>
              <w:spacing w:after="0"/>
              <w:rPr>
                <w:sz w:val="20"/>
                <w:szCs w:val="20"/>
                <w:color w:val="auto"/>
              </w:rPr>
            </w:pPr>
            <w:r>
              <w:rPr>
                <w:rFonts w:ascii="Arial" w:cs="Arial" w:eastAsia="Arial" w:hAnsi="Arial"/>
                <w:sz w:val="18"/>
                <w:szCs w:val="18"/>
                <w:color w:val="auto"/>
                <w:w w:val="88"/>
              </w:rPr>
              <w:t>September 30,</w:t>
            </w:r>
          </w:p>
        </w:tc>
        <w:tc>
          <w:tcPr>
            <w:tcW w:w="1000" w:type="dxa"/>
            <w:vAlign w:val="bottom"/>
          </w:tcPr>
          <w:p>
            <w:pPr>
              <w:spacing w:after="0"/>
              <w:rPr>
                <w:sz w:val="20"/>
                <w:szCs w:val="20"/>
                <w:color w:val="auto"/>
              </w:rPr>
            </w:pPr>
          </w:p>
        </w:tc>
      </w:tr>
      <w:tr>
        <w:trPr>
          <w:trHeight w:val="34"/>
        </w:trPr>
        <w:tc>
          <w:tcPr>
            <w:tcW w:w="49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spacing w:after="0"/>
              <w:rPr>
                <w:sz w:val="21"/>
                <w:szCs w:val="21"/>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color w:val="auto"/>
                <w:w w:val="99"/>
              </w:rPr>
              <w:t>2016</w:t>
            </w:r>
          </w:p>
        </w:tc>
        <w:tc>
          <w:tcPr>
            <w:tcW w:w="120" w:type="dxa"/>
            <w:vAlign w:val="bottom"/>
          </w:tcPr>
          <w:p>
            <w:pPr>
              <w:spacing w:after="0"/>
              <w:rPr>
                <w:sz w:val="21"/>
                <w:szCs w:val="21"/>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color w:val="auto"/>
                <w:w w:val="99"/>
              </w:rPr>
              <w:t>2016</w:t>
            </w:r>
          </w:p>
        </w:tc>
      </w:tr>
      <w:tr>
        <w:trPr>
          <w:trHeight w:val="34"/>
        </w:trPr>
        <w:tc>
          <w:tcPr>
            <w:tcW w:w="49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Gross PCS Subscriber Additions – Postpaid</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43,320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41,563</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122,429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85,104</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Net PCS Subscriber Additions (Losses) – Postpaid</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(4,710)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3"/>
                <w:szCs w:val="23"/>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(13,675)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1,829</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Gross PCS Subscriber Additions – Prepaid (1)</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37,653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32,315</w:t>
            </w:r>
          </w:p>
        </w:tc>
        <w:tc>
          <w:tcPr>
            <w:tcW w:w="120" w:type="dxa"/>
            <w:vAlign w:val="bottom"/>
          </w:tcPr>
          <w:p>
            <w:pPr>
              <w:spacing w:after="0"/>
              <w:rPr>
                <w:sz w:val="23"/>
                <w:szCs w:val="23"/>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112,201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77,010</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Net PCS Subscriber Additions (Losses) – Prepaid (1)</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(13,856)</w:t>
            </w:r>
          </w:p>
        </w:tc>
        <w:tc>
          <w:tcPr>
            <w:tcW w:w="120" w:type="dxa"/>
            <w:vAlign w:val="bottom"/>
          </w:tcPr>
          <w:p>
            <w:pPr>
              <w:spacing w:after="0"/>
              <w:rPr>
                <w:sz w:val="23"/>
                <w:szCs w:val="23"/>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13,259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(21,557)</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PCS Average Monthly Retail Churn % - Postpaid (2)</w:t>
            </w:r>
          </w:p>
        </w:tc>
        <w:tc>
          <w:tcPr>
            <w:tcW w:w="15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PCS Average Monthly Retail Churn % - Prepaid(1) (2)</w:t>
            </w:r>
          </w:p>
        </w:tc>
        <w:tc>
          <w:tcPr>
            <w:tcW w:w="15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142"/>
        </w:trPr>
        <w:tc>
          <w:tcPr>
            <w:tcW w:w="496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r>
    </w:tbl>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is no longer including Lifeline subscribers to be consistent with Sprint's policy. Historical customer counts have been adjusted accordingly.</w:t>
      </w:r>
    </w:p>
    <w:p>
      <w:pPr>
        <w:spacing w:after="0" w:line="1" w:lineRule="exact"/>
        <w:rPr>
          <w:rFonts w:ascii="Arial" w:cs="Arial" w:eastAsia="Arial" w:hAnsi="Arial"/>
          <w:sz w:val="14"/>
          <w:szCs w:val="14"/>
          <w:color w:val="auto"/>
        </w:rPr>
      </w:pPr>
    </w:p>
    <w:p>
      <w:pPr>
        <w:ind w:left="660" w:right="360" w:hanging="328"/>
        <w:spacing w:after="0" w:line="293" w:lineRule="auto"/>
        <w:tabs>
          <w:tab w:leader="none" w:pos="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PCS Average Monthly Retail Churn is the average of the monthly subscriber turnover, or churn, calculations for the period. Excluding losses associated with the migration of nTelos subscribers to the Sprint network and platform, churn for the three months ended September 30, 2017 and 2016, was 1.85% and 1.64%,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43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360" w:type="dxa"/>
            <w:vAlign w:val="bottom"/>
            <w:gridSpan w:val="2"/>
          </w:tcPr>
          <w:p>
            <w:pPr>
              <w:spacing w:after="0"/>
              <w:rPr>
                <w:sz w:val="20"/>
                <w:szCs w:val="20"/>
                <w:color w:val="auto"/>
              </w:rPr>
            </w:pPr>
            <w:r>
              <w:rPr>
                <w:rFonts w:ascii="Arial" w:cs="Arial" w:eastAsia="Arial" w:hAnsi="Arial"/>
                <w:sz w:val="18"/>
                <w:szCs w:val="18"/>
                <w:color w:val="auto"/>
              </w:rPr>
              <w:t>The numbers shown above include the following:</w:t>
            </w: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April 6, 2017</w:t>
            </w:r>
          </w:p>
        </w:tc>
        <w:tc>
          <w:tcPr>
            <w:tcW w:w="2060" w:type="dxa"/>
            <w:vAlign w:val="bottom"/>
          </w:tcPr>
          <w:p>
            <w:pPr>
              <w:jc w:val="right"/>
              <w:ind w:right="490"/>
              <w:spacing w:after="0"/>
              <w:rPr>
                <w:sz w:val="20"/>
                <w:szCs w:val="20"/>
                <w:color w:val="auto"/>
              </w:rPr>
            </w:pPr>
            <w:r>
              <w:rPr>
                <w:rFonts w:ascii="Arial" w:cs="Arial" w:eastAsia="Arial" w:hAnsi="Arial"/>
                <w:sz w:val="18"/>
                <w:szCs w:val="18"/>
                <w:color w:val="auto"/>
              </w:rPr>
              <w:t>May 6, 2016</w:t>
            </w:r>
          </w:p>
        </w:tc>
        <w:tc>
          <w:tcPr>
            <w:tcW w:w="0" w:type="dxa"/>
            <w:vAlign w:val="bottom"/>
          </w:tcPr>
          <w:p>
            <w:pPr>
              <w:spacing w:after="0"/>
              <w:rPr>
                <w:sz w:val="1"/>
                <w:szCs w:val="1"/>
                <w:color w:val="auto"/>
              </w:rPr>
            </w:pPr>
          </w:p>
        </w:tc>
      </w:tr>
      <w:tr>
        <w:trPr>
          <w:trHeight w:val="34"/>
        </w:trPr>
        <w:tc>
          <w:tcPr>
            <w:tcW w:w="4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2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Expansion Area</w:t>
            </w: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nTelos Area</w:t>
            </w:r>
          </w:p>
        </w:tc>
        <w:tc>
          <w:tcPr>
            <w:tcW w:w="0" w:type="dxa"/>
            <w:vAlign w:val="bottom"/>
          </w:tcPr>
          <w:p>
            <w:pPr>
              <w:spacing w:after="0"/>
              <w:rPr>
                <w:sz w:val="1"/>
                <w:szCs w:val="1"/>
                <w:color w:val="auto"/>
              </w:rPr>
            </w:pPr>
          </w:p>
        </w:tc>
      </w:tr>
      <w:tr>
        <w:trPr>
          <w:trHeight w:val="34"/>
        </w:trPr>
        <w:tc>
          <w:tcPr>
            <w:tcW w:w="4360" w:type="dxa"/>
            <w:vAlign w:val="bottom"/>
            <w:gridSpan w:val="2"/>
            <w:vMerge w:val="restart"/>
          </w:tcPr>
          <w:p>
            <w:pPr>
              <w:ind w:left="40"/>
              <w:spacing w:after="0"/>
              <w:rPr>
                <w:sz w:val="20"/>
                <w:szCs w:val="20"/>
                <w:color w:val="auto"/>
              </w:rPr>
            </w:pPr>
            <w:r>
              <w:rPr>
                <w:rFonts w:ascii="Arial" w:cs="Arial" w:eastAsia="Arial" w:hAnsi="Arial"/>
                <w:sz w:val="18"/>
                <w:szCs w:val="18"/>
                <w:color w:val="auto"/>
              </w:rPr>
              <w:t>Acquired PCS Subscribers - Postpaid</w:t>
            </w:r>
          </w:p>
        </w:tc>
        <w:tc>
          <w:tcPr>
            <w:tcW w:w="2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gridSpan w:val="2"/>
            <w:vMerge w:val="continue"/>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19,067</w:t>
            </w:r>
          </w:p>
        </w:tc>
        <w:tc>
          <w:tcPr>
            <w:tcW w:w="1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404,444</w:t>
            </w:r>
          </w:p>
        </w:tc>
        <w:tc>
          <w:tcPr>
            <w:tcW w:w="0" w:type="dxa"/>
            <w:vAlign w:val="bottom"/>
          </w:tcPr>
          <w:p>
            <w:pPr>
              <w:spacing w:after="0"/>
              <w:rPr>
                <w:sz w:val="1"/>
                <w:szCs w:val="1"/>
                <w:color w:val="auto"/>
              </w:rPr>
            </w:pPr>
          </w:p>
        </w:tc>
      </w:tr>
      <w:tr>
        <w:trPr>
          <w:trHeight w:val="270"/>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Acquired PCS Subscribers - Prepaid</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5,962</w:t>
            </w:r>
          </w:p>
        </w:tc>
        <w:tc>
          <w:tcPr>
            <w:tcW w:w="16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154,944</w:t>
            </w:r>
          </w:p>
        </w:tc>
        <w:tc>
          <w:tcPr>
            <w:tcW w:w="0" w:type="dxa"/>
            <w:vAlign w:val="bottom"/>
          </w:tcPr>
          <w:p>
            <w:pPr>
              <w:spacing w:after="0"/>
              <w:rPr>
                <w:sz w:val="1"/>
                <w:szCs w:val="1"/>
                <w:color w:val="auto"/>
              </w:rPr>
            </w:pPr>
          </w:p>
        </w:tc>
      </w:tr>
      <w:tr>
        <w:trPr>
          <w:trHeight w:val="270"/>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Acquired PCS Market POPS (000) (1)</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6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70"/>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Acquired PCS Covered POPS (000) (1)</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70"/>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Acquired CDMA Base Stations (sites) (2)</w:t>
            </w:r>
          </w:p>
        </w:tc>
        <w:tc>
          <w:tcPr>
            <w:tcW w:w="2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0"/>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Towers</w:t>
            </w:r>
          </w:p>
        </w:tc>
        <w:tc>
          <w:tcPr>
            <w:tcW w:w="2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Non-affiliate Cell Site Leases</w:t>
            </w:r>
          </w:p>
        </w:tc>
        <w:tc>
          <w:tcPr>
            <w:tcW w:w="2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42"/>
        </w:trPr>
        <w:tc>
          <w:tcPr>
            <w:tcW w:w="4360" w:type="dxa"/>
            <w:vAlign w:val="bottom"/>
            <w:gridSpan w:val="2"/>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right="160" w:hanging="328"/>
        <w:spacing w:after="0" w:line="24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POPS refers to the estimated population of a given geographic area and is based on information purchased from third party sources. Market POPS are those within a market area which we are authorized to serve under our Sprint PCS affiliate agreements, and Covered POPS are those covered by our network.</w:t>
      </w: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September 30, 2017 we have shut down 107 overlap sites.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7"/>
          </w:tcPr>
          <w:p>
            <w:pPr>
              <w:spacing w:after="0"/>
              <w:rPr>
                <w:sz w:val="20"/>
                <w:szCs w:val="20"/>
                <w:color w:val="auto"/>
              </w:rPr>
            </w:pPr>
            <w:r>
              <w:rPr>
                <w:rFonts w:ascii="Arial" w:cs="Arial" w:eastAsia="Arial" w:hAnsi="Arial"/>
                <w:sz w:val="18"/>
                <w:szCs w:val="18"/>
                <w:b w:val="1"/>
                <w:bCs w:val="1"/>
                <w:color w:val="auto"/>
              </w:rPr>
              <w:t>Three Months Ended September 30, 2017 Compared with the Three Months Ended September 30, 2016</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4"/>
                <w:szCs w:val="24"/>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6080" w:type="dxa"/>
            <w:vAlign w:val="bottom"/>
            <w:vMerge w:val="restart"/>
          </w:tcPr>
          <w:p>
            <w:pPr>
              <w:ind w:left="40"/>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8"/>
                <w:szCs w:val="18"/>
                <w:color w:val="auto"/>
              </w:rPr>
              <w:t>Wireless 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107,395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111,001</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8"/>
                <w:szCs w:val="18"/>
                <w:color w:val="auto"/>
              </w:rPr>
              <w:t>Tower lease revenue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304"/>
        </w:trPr>
        <w:tc>
          <w:tcPr>
            <w:tcW w:w="60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7"/>
        </w:trPr>
        <w:tc>
          <w:tcPr>
            <w:tcW w:w="6080" w:type="dxa"/>
            <w:vAlign w:val="bottom"/>
          </w:tcPr>
          <w:p>
            <w:pPr>
              <w:ind w:left="38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112,505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120,119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80" w:type="dxa"/>
            <w:vAlign w:val="bottom"/>
          </w:tcPr>
          <w:p>
            <w:pPr>
              <w:ind w:left="18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41,041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43,097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6"/>
        </w:trPr>
        <w:tc>
          <w:tcPr>
            <w:tcW w:w="6080" w:type="dxa"/>
            <w:vAlign w:val="bottom"/>
          </w:tcPr>
          <w:p>
            <w:pPr>
              <w:ind w:left="18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29,892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6080" w:type="dxa"/>
            <w:vAlign w:val="bottom"/>
          </w:tcPr>
          <w:p>
            <w:pPr>
              <w:ind w:left="180"/>
              <w:spacing w:after="0"/>
              <w:rPr>
                <w:sz w:val="20"/>
                <w:szCs w:val="20"/>
                <w:color w:val="auto"/>
              </w:rPr>
            </w:pPr>
            <w:r>
              <w:rPr>
                <w:rFonts w:ascii="Arial" w:cs="Arial" w:eastAsia="Arial" w:hAnsi="Arial"/>
                <w:sz w:val="18"/>
                <w:szCs w:val="18"/>
                <w:color w:val="auto"/>
              </w:rPr>
              <w:t>Integration and acquisition expenses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14,499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(12,808)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304"/>
        </w:trPr>
        <w:tc>
          <w:tcPr>
            <w:tcW w:w="60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32,929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38,038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7"/>
        </w:trPr>
        <w:tc>
          <w:tcPr>
            <w:tcW w:w="6080" w:type="dxa"/>
            <w:vAlign w:val="bottom"/>
          </w:tcPr>
          <w:p>
            <w:pPr>
              <w:ind w:left="38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105,760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125,526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Segment operating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12,152</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5620"/>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Wireless service revenue decreased $3.6 million, or 3.2%, for the three months ended September 30, 2017, compared with the September 30, 2016,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additional detail in the settlement with Sprint impacting service revenue.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Service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80" w:type="dxa"/>
            <w:vAlign w:val="bottom"/>
          </w:tcPr>
          <w:p>
            <w:pPr>
              <w:ind w:left="180"/>
              <w:spacing w:after="0" w:line="283" w:lineRule="exact"/>
              <w:rPr>
                <w:sz w:val="20"/>
                <w:szCs w:val="20"/>
                <w:color w:val="auto"/>
              </w:rPr>
            </w:pPr>
            <w:r>
              <w:rPr>
                <w:rFonts w:ascii="Arial" w:cs="Arial" w:eastAsia="Arial" w:hAnsi="Arial"/>
                <w:sz w:val="18"/>
                <w:szCs w:val="18"/>
                <w:color w:val="auto"/>
              </w:rPr>
              <w:t xml:space="preserve">Postpaid net billings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94,013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97,470</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(3,457)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Sprint management fee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6080" w:type="dxa"/>
            <w:vAlign w:val="bottom"/>
          </w:tcPr>
          <w:p>
            <w:pPr>
              <w:ind w:left="500"/>
              <w:spacing w:after="0"/>
              <w:rPr>
                <w:sz w:val="20"/>
                <w:szCs w:val="20"/>
                <w:color w:val="auto"/>
              </w:rPr>
            </w:pPr>
            <w:r>
              <w:rPr>
                <w:rFonts w:ascii="Arial" w:cs="Arial" w:eastAsia="Arial" w:hAnsi="Arial"/>
                <w:sz w:val="18"/>
                <w:szCs w:val="18"/>
                <w:color w:val="auto"/>
              </w:rPr>
              <w:t>Sprint net service fee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(6,745)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304"/>
        </w:trPr>
        <w:tc>
          <w:tcPr>
            <w:tcW w:w="6080" w:type="dxa"/>
            <w:vAlign w:val="bottom"/>
          </w:tcPr>
          <w:p>
            <w:pPr>
              <w:ind w:left="500"/>
              <w:spacing w:after="0"/>
              <w:rPr>
                <w:sz w:val="20"/>
                <w:szCs w:val="20"/>
                <w:color w:val="auto"/>
              </w:rPr>
            </w:pPr>
            <w:r>
              <w:rPr>
                <w:rFonts w:ascii="Arial" w:cs="Arial" w:eastAsia="Arial" w:hAnsi="Arial"/>
                <w:sz w:val="18"/>
                <w:szCs w:val="18"/>
                <w:color w:val="auto"/>
              </w:rPr>
              <w:t>Waiver of management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7,996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90,802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4"/>
        </w:trPr>
        <w:tc>
          <w:tcPr>
            <w:tcW w:w="6080" w:type="dxa"/>
            <w:vAlign w:val="bottom"/>
            <w:vMerge w:val="restart"/>
          </w:tcPr>
          <w:p>
            <w:pPr>
              <w:ind w:left="180"/>
              <w:spacing w:after="0"/>
              <w:rPr>
                <w:sz w:val="20"/>
                <w:szCs w:val="20"/>
                <w:color w:val="auto"/>
              </w:rPr>
            </w:pPr>
            <w:r>
              <w:rPr>
                <w:rFonts w:ascii="Arial" w:cs="Arial" w:eastAsia="Arial" w:hAnsi="Arial"/>
                <w:sz w:val="18"/>
                <w:szCs w:val="18"/>
                <w:color w:val="auto"/>
              </w:rPr>
              <w:t>Prepaid net billings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6080" w:type="dxa"/>
            <w:vAlign w:val="bottom"/>
          </w:tcPr>
          <w:p>
            <w:pPr>
              <w:ind w:left="500"/>
              <w:spacing w:after="0"/>
              <w:rPr>
                <w:sz w:val="20"/>
                <w:szCs w:val="20"/>
                <w:color w:val="auto"/>
              </w:rPr>
            </w:pPr>
            <w:r>
              <w:rPr>
                <w:rFonts w:ascii="Arial" w:cs="Arial" w:eastAsia="Arial" w:hAnsi="Arial"/>
                <w:sz w:val="18"/>
                <w:szCs w:val="18"/>
                <w:color w:val="auto"/>
              </w:rPr>
              <w:t xml:space="preserve">Gross billings </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24,155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24,323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Sprint management fee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6080" w:type="dxa"/>
            <w:vAlign w:val="bottom"/>
          </w:tcPr>
          <w:p>
            <w:pPr>
              <w:ind w:left="500"/>
              <w:spacing w:after="0"/>
              <w:rPr>
                <w:sz w:val="20"/>
                <w:szCs w:val="20"/>
                <w:color w:val="auto"/>
              </w:rPr>
            </w:pPr>
            <w:r>
              <w:rPr>
                <w:rFonts w:ascii="Arial" w:cs="Arial" w:eastAsia="Arial" w:hAnsi="Arial"/>
                <w:sz w:val="18"/>
                <w:szCs w:val="18"/>
                <w:color w:val="auto"/>
              </w:rPr>
              <w:t>Waiver of management fee</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24,174</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24,323</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7"/>
        </w:trPr>
        <w:tc>
          <w:tcPr>
            <w:tcW w:w="6080" w:type="dxa"/>
            <w:vAlign w:val="bottom"/>
          </w:tcPr>
          <w:p>
            <w:pPr>
              <w:ind w:left="180"/>
              <w:spacing w:after="0"/>
              <w:rPr>
                <w:sz w:val="20"/>
                <w:szCs w:val="20"/>
                <w:color w:val="auto"/>
              </w:rPr>
            </w:pPr>
            <w:r>
              <w:rPr>
                <w:rFonts w:ascii="Arial" w:cs="Arial" w:eastAsia="Arial" w:hAnsi="Arial"/>
                <w:sz w:val="18"/>
                <w:szCs w:val="18"/>
                <w:color w:val="auto"/>
              </w:rPr>
              <w:t xml:space="preserve">Travel and other revenues </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6,109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Amortization of expanded affiliate agreement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6080" w:type="dxa"/>
            <w:vAlign w:val="bottom"/>
          </w:tcPr>
          <w:p>
            <w:pPr>
              <w:ind w:left="180"/>
              <w:spacing w:after="0"/>
              <w:rPr>
                <w:sz w:val="20"/>
                <w:szCs w:val="20"/>
                <w:color w:val="auto"/>
              </w:rPr>
            </w:pPr>
            <w:r>
              <w:rPr>
                <w:rFonts w:ascii="Arial" w:cs="Arial" w:eastAsia="Arial" w:hAnsi="Arial"/>
                <w:sz w:val="18"/>
                <w:szCs w:val="18"/>
                <w:color w:val="auto"/>
              </w:rPr>
              <w:t>Straight-line adjustment - management fee waiver</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Total Service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107,395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111,001</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0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660" w:right="120" w:hanging="328"/>
        <w:spacing w:after="0" w:line="258" w:lineRule="auto"/>
        <w:tabs>
          <w:tab w:leader="none" w:pos="511" w:val="left"/>
        </w:tabs>
        <w:numPr>
          <w:ilvl w:val="0"/>
          <w:numId w:val="19"/>
        </w:numPr>
        <w:rPr>
          <w:rFonts w:ascii="Arial" w:cs="Arial" w:eastAsia="Arial" w:hAnsi="Arial"/>
          <w:sz w:val="16"/>
          <w:szCs w:val="16"/>
          <w:color w:val="auto"/>
        </w:rPr>
      </w:pPr>
      <w:r>
        <w:rPr>
          <w:rFonts w:ascii="Arial" w:cs="Arial" w:eastAsia="Arial" w:hAnsi="Arial"/>
          <w:sz w:val="14"/>
          <w:szCs w:val="14"/>
          <w:color w:val="auto"/>
        </w:rPr>
        <w:t>Postpaid net billings are defined under the terms of the affiliate contract with Sprint to be the gross billings to customers within our service territory less billing credits and adjustments and allocated write-offs of uncollectible accounts.</w:t>
      </w:r>
    </w:p>
    <w:p>
      <w:pPr>
        <w:ind w:left="660" w:right="380" w:hanging="328"/>
        <w:spacing w:after="0" w:line="26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is no longer including Lifeline subscribers to be consistent with Sprint. The above table reflects the reclassification of the related Assurance Wireless prepaid revenue within the Wireless segment from Prepaid gross billings to travel and other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Wireless service revenue decreased $3.6 million, or 3.2% in the third quarter of 2017. The decline in postpaid service revenue was the result of a reduction in Sprint's average revenue per postpaid customer as a higher percentage of Sprint's postpaid customer base moved from higher revenue subsidized phone price plans to lower phone price plans associated with leased and installment sales. Additionally, we were impacted by an increase of approximately $1.1 million in net service fees during the third quarter as a result of the migration of former nTelos subscribers to the Sprint platform. This decline was partially offset by an increase in postpaid subscribers of approximately 9 thousand. The decline in prepaid service revenues was the result of the resolution of $1.1 million related to a previously settled prepaid amount with Sprint, which reduced revenue for the three months ended September 30, 2017. This was partially offset by an increase in average revenue per prepaid customer.</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Equipment revenue decreased $1.8 million, or 50.8%, in the third quarter of 2017 driven by a decline in handset sales as more subscribers are leasing their handsets, directly from Sprint, and the reduction of accessory sales in our national retailer channel.</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Other revenue decreased $2.2 million, or 83.7%, in the third quarter of 2017. During the prior year period the Company recognized approximately $2.4 million of revenue related to regulatory and handset insurance billings for subscribers on the nTelos platform. Regulatory and handset insurance billings have steadily declined as former nTelos subscribers migrate to the the Sprint network and platform.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Cost of goods and services decreased $2.1 million, or 4.8%, in the third quarter of 2017 compared with the third quarter of 2016. The decrease results primarily from a decline in handset costs as customers increasingly acquire handsets under Sprint leasing and installment sales programs, the reduction in network line costs as we optimize the network, and the reduction in regulatory fees related to the migration of nTelos customers. These decreases were offset by an increase in rent expense to support our network expansion and accelerated amortization of off-market lease intangibles associated with decommissioned cell sites in our overlap territory.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Selling, general and administrative costs increased $0.2 million, or 0.7%, in the third quarter of 2017 from the comparable 2016 period, primarily due to increases in commissions and subscriber acquisition costs associated with higher gross additions in the current period that were offset by reductions in back office staff and support functions attributable to the completion of the migration of the former nTelos subscribers to the Sprint network.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acquisition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Integration and acquisition expenses of $1.7 million in the third quarter of 2017 were primarily attributable to the cost of replacement handsets provided to former nTelos subscribers related to the completion of the migration of the subscribers to the Sprint platform. Integration and acquisitions expenses have decreased approximately $12.8 million compared with the three months ended September 30, 2016 primarily as a result of the completion of migration and and integration activities related to the acquisition of nTelos.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Depreciation and amortization decreased $5.1 million, or 13.4%, in the third quarter of 2017 over the comparable 2016 period, due primarily to a $5.6 million decline in depreciation resulting from the retirement of certain network related assets that occurred during 2016, which was partially offset by an increase of $0.5 million in amortization of customer based intangibles recorded in the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2017 Compared with the Nine Months Ended September 30, 2016</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Nine Months Ended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6040" w:type="dxa"/>
            <w:vAlign w:val="bottom"/>
            <w:vMerge w:val="restart"/>
          </w:tcPr>
          <w:p>
            <w:pPr>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Wireless 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323,262</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250,053</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73,209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Tower lease revenue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8,471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Equipment revenue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7,771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342,102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270,931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71,171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117,829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94,892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22,937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88,201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65,219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22,982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Integration and acquisition expenses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19,889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(10,282)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104,231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70,026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34,205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319,868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250,026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69,842</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0"/>
                <w:szCs w:val="20"/>
                <w:color w:val="auto"/>
              </w:rPr>
            </w:pPr>
            <w:r>
              <w:rPr>
                <w:rFonts w:ascii="Arial" w:cs="Arial" w:eastAsia="Arial" w:hAnsi="Arial"/>
                <w:sz w:val="18"/>
                <w:szCs w:val="18"/>
                <w:b w:val="1"/>
                <w:bCs w:val="1"/>
                <w:color w:val="auto"/>
              </w:rPr>
              <w:t>Segment operating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22,234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20,905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5580"/>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Wireless service revenue increased $73.2 million, or 29.3%, for the nine months ended September 30, 2017,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detailed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Nine Months Ended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Service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080" w:type="dxa"/>
            <w:vAlign w:val="bottom"/>
          </w:tcPr>
          <w:p>
            <w:pPr>
              <w:ind w:left="180"/>
              <w:spacing w:after="0" w:line="283" w:lineRule="exact"/>
              <w:rPr>
                <w:sz w:val="20"/>
                <w:szCs w:val="20"/>
                <w:color w:val="auto"/>
              </w:rPr>
            </w:pPr>
            <w:r>
              <w:rPr>
                <w:rFonts w:ascii="Arial" w:cs="Arial" w:eastAsia="Arial" w:hAnsi="Arial"/>
                <w:sz w:val="18"/>
                <w:szCs w:val="18"/>
                <w:color w:val="auto"/>
              </w:rPr>
              <w:t xml:space="preserve">Postpaid net billings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280,724</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218,327</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62,397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Sprint management fee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0"/>
        </w:trPr>
        <w:tc>
          <w:tcPr>
            <w:tcW w:w="6080" w:type="dxa"/>
            <w:vAlign w:val="bottom"/>
          </w:tcPr>
          <w:p>
            <w:pPr>
              <w:ind w:left="500"/>
              <w:spacing w:after="0"/>
              <w:rPr>
                <w:sz w:val="20"/>
                <w:szCs w:val="20"/>
                <w:color w:val="auto"/>
              </w:rPr>
            </w:pPr>
            <w:r>
              <w:rPr>
                <w:rFonts w:ascii="Arial" w:cs="Arial" w:eastAsia="Arial" w:hAnsi="Arial"/>
                <w:sz w:val="18"/>
                <w:szCs w:val="18"/>
                <w:color w:val="auto"/>
              </w:rPr>
              <w:t>Sprint net service fee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(22,852)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(15,986)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(6,866)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304"/>
        </w:trPr>
        <w:tc>
          <w:tcPr>
            <w:tcW w:w="6080" w:type="dxa"/>
            <w:vAlign w:val="bottom"/>
          </w:tcPr>
          <w:p>
            <w:pPr>
              <w:ind w:left="500"/>
              <w:spacing w:after="0"/>
              <w:rPr>
                <w:sz w:val="20"/>
                <w:szCs w:val="20"/>
                <w:color w:val="auto"/>
              </w:rPr>
            </w:pPr>
            <w:r>
              <w:rPr>
                <w:rFonts w:ascii="Arial" w:cs="Arial" w:eastAsia="Arial" w:hAnsi="Arial"/>
                <w:sz w:val="18"/>
                <w:szCs w:val="18"/>
                <w:color w:val="auto"/>
              </w:rPr>
              <w:t>Waiver of management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22,426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13,126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9,300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257,833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197,553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60,280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34"/>
        </w:trPr>
        <w:tc>
          <w:tcPr>
            <w:tcW w:w="6080" w:type="dxa"/>
            <w:vAlign w:val="bottom"/>
            <w:vMerge w:val="restart"/>
          </w:tcPr>
          <w:p>
            <w:pPr>
              <w:ind w:left="180"/>
              <w:spacing w:after="0"/>
              <w:rPr>
                <w:sz w:val="20"/>
                <w:szCs w:val="20"/>
                <w:color w:val="auto"/>
              </w:rPr>
            </w:pPr>
            <w:r>
              <w:rPr>
                <w:rFonts w:ascii="Arial" w:cs="Arial" w:eastAsia="Arial" w:hAnsi="Arial"/>
                <w:sz w:val="18"/>
                <w:szCs w:val="18"/>
                <w:color w:val="auto"/>
              </w:rPr>
              <w:t>Prepaid net billings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6080" w:type="dxa"/>
            <w:vAlign w:val="bottom"/>
          </w:tcPr>
          <w:p>
            <w:pPr>
              <w:ind w:left="500"/>
              <w:spacing w:after="0"/>
              <w:rPr>
                <w:sz w:val="20"/>
                <w:szCs w:val="20"/>
                <w:color w:val="auto"/>
              </w:rPr>
            </w:pPr>
            <w:r>
              <w:rPr>
                <w:rFonts w:ascii="Arial" w:cs="Arial" w:eastAsia="Arial" w:hAnsi="Arial"/>
                <w:sz w:val="18"/>
                <w:szCs w:val="18"/>
                <w:color w:val="auto"/>
              </w:rPr>
              <w:t xml:space="preserve">Gross billings </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74,609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56,955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17,654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Sprint management fee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304"/>
        </w:trPr>
        <w:tc>
          <w:tcPr>
            <w:tcW w:w="6080" w:type="dxa"/>
            <w:vAlign w:val="bottom"/>
          </w:tcPr>
          <w:p>
            <w:pPr>
              <w:ind w:left="500"/>
              <w:spacing w:after="0"/>
              <w:rPr>
                <w:sz w:val="20"/>
                <w:szCs w:val="20"/>
                <w:color w:val="auto"/>
              </w:rPr>
            </w:pPr>
            <w:r>
              <w:rPr>
                <w:rFonts w:ascii="Arial" w:cs="Arial" w:eastAsia="Arial" w:hAnsi="Arial"/>
                <w:sz w:val="18"/>
                <w:szCs w:val="18"/>
                <w:color w:val="auto"/>
              </w:rPr>
              <w:t>Waiver of management fee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74,629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55,917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7"/>
        </w:trPr>
        <w:tc>
          <w:tcPr>
            <w:tcW w:w="6080" w:type="dxa"/>
            <w:vAlign w:val="bottom"/>
          </w:tcPr>
          <w:p>
            <w:pPr>
              <w:ind w:left="180"/>
              <w:spacing w:after="0"/>
              <w:rPr>
                <w:sz w:val="20"/>
                <w:szCs w:val="20"/>
                <w:color w:val="auto"/>
              </w:rPr>
            </w:pPr>
            <w:r>
              <w:rPr>
                <w:rFonts w:ascii="Arial" w:cs="Arial" w:eastAsia="Arial" w:hAnsi="Arial"/>
                <w:sz w:val="18"/>
                <w:szCs w:val="18"/>
                <w:color w:val="auto"/>
              </w:rPr>
              <w:t xml:space="preserve">Travel and other revenues </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19,323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13,153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6,170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Amortization of expanded affiliate agreement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304"/>
        </w:trPr>
        <w:tc>
          <w:tcPr>
            <w:tcW w:w="6080" w:type="dxa"/>
            <w:vAlign w:val="bottom"/>
          </w:tcPr>
          <w:p>
            <w:pPr>
              <w:ind w:left="180"/>
              <w:spacing w:after="0"/>
              <w:rPr>
                <w:sz w:val="20"/>
                <w:szCs w:val="20"/>
                <w:color w:val="auto"/>
              </w:rPr>
            </w:pPr>
            <w:r>
              <w:rPr>
                <w:rFonts w:ascii="Arial" w:cs="Arial" w:eastAsia="Arial" w:hAnsi="Arial"/>
                <w:sz w:val="18"/>
                <w:szCs w:val="18"/>
                <w:color w:val="auto"/>
              </w:rPr>
              <w:t>Straight-line adjustment - management fee waiver</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Total Service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323,262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250,053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73,209</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140" w:hanging="328"/>
        <w:spacing w:after="0" w:line="241" w:lineRule="auto"/>
        <w:tabs>
          <w:tab w:leader="none" w:pos="492"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service territory less billing credits and adjustments and allocated write-offs of uncollectible accounts.</w:t>
      </w:r>
    </w:p>
    <w:p>
      <w:pPr>
        <w:ind w:left="660" w:right="380" w:hanging="328"/>
        <w:spacing w:after="0" w:line="255"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is no longer including Lifeline subscribers to be consistent with Sprint. The above table reflects the reclassification of the related Assurance Wireless prepaid revenue within the Wireless segment from Prepaid gross billings to travel and other revenues.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Wireless service revenues increased $73.2 million, or 29.3%, in 2017 from the same period in 2016 as a result of the acquisition of nTelos. Effective May 6, 2016, we acquired the right to provide network access to approximately 404 thousand postpaid and 155 thousand prepaid Sprint subscribers through our acquisition of nTelos and obtaining the Sprint customers in the former nTelos service area. As a result, 2017 results included nine months of nTelos revenue whereas the comparable 2016 period included approximately five months of nTelos revenue.</w:t>
      </w:r>
    </w:p>
    <w:p>
      <w:pPr>
        <w:spacing w:after="0" w:line="18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Other revenues decreased $2.1 million, or 46.1%, in 2017 compared to the same period in 2016 primarily due to a decline in regulatory recovery revenues. The decline primarily resulted from the completion of the migration of the former nTelos subscribers to the Sprint network and subscriber billing platform. Prior to the migration of the nTelos subscribers to the Sprint billing platform we billed the subscribers from the former nTelos platform and retained the the regulatory recovery revenues.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Cost of goods and services increased $22.9 million, or 24.2%, in 2017 from the first nine months of 2016. 2017 included nine months of nTelos cost of goods and services whereas the comparable 2016 period included approximately five months of nTelos cost of goods and services. The increase results from increases in cell site rent and backhaul costs for the incremental cell sites acquired in the nTelos territory, as well as the related growth in the cost of service agreements to maintain these sites, partially offset by declines in handset costs as customers increasingly acquire handsets under Sprint's leasing and installment sales programs.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Selling, general and administrative costs increased $23.0 million, or 35.2%, in the nine months ended September 30, 2017 from the comparable 2016 period. 2017 included nine months of nTelos selling, general and administrative expenses whereas the comparable 2016 period included approximately five months of these expenses for the incremental acquired customers. This increase was driven by third-party sales commissions, incremental sales and marketing campaigns to support our expanded territory, and prepaid acquisition costs. The increases described above were partially offset by the reduction in back office staff and support functions attributable to the completion of the migration of the former nTelos subscribers to the Sprint platform.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acquisition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Integration and acquisition expenses of $9.6 million incurred during the nine months ended September 30, 2017, include approximately $9.0 million for replacement handsets issued to former nTelos subscribers when migrating to the Sprint billing platform and $0.6 million in other expenses. Integration and acquisitions expenses have decreased approximately $10.3 million compared with the nine months ended September 30, 2016 primarily as a result of the completion of migration and integration activities related to the acquisition of nTelos.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Depreciation and amortization increased $34.2 million, or 48.8%, in the nine months ended September 30, 2017 as compared with the comparable 2016 period as the result of the May 6, 2016 acquisition of nTelos. Depreciation on the acquired fixed assets increased $28.0 million and amortization of customer based intangibles increased $6.2 million. Customer based intangibles are being amortized over accelerated lives, based on a pattern of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 which are included in the Wireline segment. Increases in homes passed, available homes and video customers between December 31, 2015 and September 30, 2016, resulted from the Colane acquisition on January 1, 2016.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September 30,</w:t>
            </w: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December 31,</w:t>
            </w:r>
          </w:p>
        </w:tc>
        <w:tc>
          <w:tcPr>
            <w:tcW w:w="1640" w:type="dxa"/>
            <w:vAlign w:val="bottom"/>
            <w:gridSpan w:val="2"/>
          </w:tcPr>
          <w:p>
            <w:pPr>
              <w:ind w:left="240"/>
              <w:spacing w:after="0"/>
              <w:rPr>
                <w:sz w:val="20"/>
                <w:szCs w:val="20"/>
                <w:color w:val="auto"/>
              </w:rPr>
            </w:pPr>
            <w:r>
              <w:rPr>
                <w:rFonts w:ascii="Arial" w:cs="Arial" w:eastAsia="Arial" w:hAnsi="Arial"/>
                <w:sz w:val="18"/>
                <w:szCs w:val="18"/>
                <w:color w:val="auto"/>
              </w:rPr>
              <w:t>September 30,</w:t>
            </w:r>
          </w:p>
        </w:tc>
        <w:tc>
          <w:tcPr>
            <w:tcW w:w="162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w w:val="94"/>
              </w:rPr>
              <w:t>December 31, 2015</w:t>
            </w:r>
          </w:p>
        </w:tc>
      </w:tr>
      <w:tr>
        <w:trPr>
          <w:trHeight w:val="34"/>
        </w:trPr>
        <w:tc>
          <w:tcPr>
            <w:tcW w:w="46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Homes Passed (1)</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184,881</w:t>
            </w:r>
          </w:p>
        </w:tc>
        <w:tc>
          <w:tcPr>
            <w:tcW w:w="12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184,710</w:t>
            </w:r>
          </w:p>
        </w:tc>
        <w:tc>
          <w:tcPr>
            <w:tcW w:w="12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184,698</w:t>
            </w:r>
          </w:p>
        </w:tc>
        <w:tc>
          <w:tcPr>
            <w:tcW w:w="12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172,538</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Customer Relationships (2)</w:t>
            </w: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Video customers</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45,290</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48,512</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48,924</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48,184</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Non-video customers</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32,663</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28,854</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28,469</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24,550</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Total customer relationships</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77,953</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77,366</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77,393</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72,734</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Video</w:t>
            </w: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Customers (3)</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47,379</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50,618</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51,379</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50,215</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162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Digital video penetration (5)</w:t>
            </w:r>
          </w:p>
        </w:tc>
        <w:tc>
          <w:tcPr>
            <w:tcW w:w="162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High-speed Internet</w:t>
            </w: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Available Homes (6)</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184,881</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183,826</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183,814</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172,538</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Customers (3)</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63,442</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60,495</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59,852</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55,131</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162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Voice</w:t>
            </w: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Available Homes (6)</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182,350</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181,089</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181,077</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169,801</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Customers (3)</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22,419</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21,352</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21,199</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20,166</w:t>
            </w:r>
          </w:p>
        </w:tc>
      </w:tr>
      <w:tr>
        <w:trPr>
          <w:trHeight w:val="270"/>
        </w:trPr>
        <w:tc>
          <w:tcPr>
            <w:tcW w:w="462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16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Total Revenue Generating Units (7)</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133,240</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132,465</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132,430</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125,512</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Fiber Route Miles</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3,340</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3,137</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2,844</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Total Fiber Miles (8)</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121,331</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92,615</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84,945</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76,949</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Average Revenue Generating Units</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132,704</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131,218</w:t>
            </w:r>
          </w:p>
        </w:tc>
        <w:tc>
          <w:tcPr>
            <w:tcW w:w="120" w:type="dxa"/>
            <w:vAlign w:val="bottom"/>
          </w:tcPr>
          <w:p>
            <w:pPr>
              <w:spacing w:after="0"/>
              <w:rPr>
                <w:sz w:val="23"/>
                <w:szCs w:val="23"/>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131,707</w:t>
            </w:r>
          </w:p>
        </w:tc>
        <w:tc>
          <w:tcPr>
            <w:tcW w:w="120" w:type="dxa"/>
            <w:vAlign w:val="bottom"/>
          </w:tcPr>
          <w:p>
            <w:pPr>
              <w:spacing w:after="0"/>
              <w:rPr>
                <w:sz w:val="23"/>
                <w:szCs w:val="23"/>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124,054</w:t>
            </w:r>
          </w:p>
        </w:tc>
      </w:tr>
      <w:tr>
        <w:trPr>
          <w:trHeight w:val="142"/>
        </w:trPr>
        <w:tc>
          <w:tcPr>
            <w:tcW w:w="462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r>
    </w:tbl>
    <w:p>
      <w:pPr>
        <w:ind w:left="660" w:right="200" w:hanging="328"/>
        <w:spacing w:after="0" w:line="255"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24"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Customer relationships represent the number of customers who receive at least one of our services.</w:t>
      </w:r>
    </w:p>
    <w:p>
      <w:pPr>
        <w:spacing w:after="0" w:line="55" w:lineRule="exact"/>
        <w:rPr>
          <w:rFonts w:ascii="Arial" w:cs="Arial" w:eastAsia="Arial" w:hAnsi="Arial"/>
          <w:sz w:val="14"/>
          <w:szCs w:val="14"/>
          <w:color w:val="auto"/>
        </w:rPr>
      </w:pPr>
    </w:p>
    <w:p>
      <w:pPr>
        <w:ind w:left="660" w:right="180" w:hanging="328"/>
        <w:spacing w:after="0" w:line="257"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w:t>
      </w:r>
    </w:p>
    <w:p>
      <w:pPr>
        <w:spacing w:after="0" w:line="23"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customers by the number of homes passed or available homes, as appropriate.</w:t>
      </w:r>
    </w:p>
    <w:p>
      <w:pPr>
        <w:spacing w:after="0" w:line="55" w:lineRule="exact"/>
        <w:rPr>
          <w:rFonts w:ascii="Arial" w:cs="Arial" w:eastAsia="Arial" w:hAnsi="Arial"/>
          <w:sz w:val="14"/>
          <w:szCs w:val="14"/>
          <w:color w:val="auto"/>
        </w:rPr>
      </w:pPr>
    </w:p>
    <w:p>
      <w:pPr>
        <w:ind w:left="660" w:right="60" w:hanging="328"/>
        <w:spacing w:after="0" w:line="273"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or digital adapters counts as one digital video customer.</w:t>
      </w:r>
    </w:p>
    <w:p>
      <w:pPr>
        <w:spacing w:after="0" w:line="11" w:lineRule="exact"/>
        <w:rPr>
          <w:rFonts w:ascii="Arial" w:cs="Arial" w:eastAsia="Arial" w:hAnsi="Arial"/>
          <w:sz w:val="14"/>
          <w:szCs w:val="14"/>
          <w:color w:val="auto"/>
        </w:rPr>
      </w:pPr>
    </w:p>
    <w:p>
      <w:pPr>
        <w:ind w:left="660" w:right="60" w:hanging="328"/>
        <w:spacing w:after="0" w:line="273"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Homes and businesses are considered available (“available homes”) if we can connect them to our distribution system without further extending the transmission lines and if we offer the service in that area.</w:t>
      </w:r>
    </w:p>
    <w:p>
      <w:pPr>
        <w:spacing w:after="0" w:line="11"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Revenue generating units are the sum of video, voice and high-speed internet customers.</w:t>
      </w:r>
    </w:p>
    <w:p>
      <w:pPr>
        <w:spacing w:after="0" w:line="55" w:lineRule="exact"/>
        <w:rPr>
          <w:rFonts w:ascii="Arial" w:cs="Arial" w:eastAsia="Arial" w:hAnsi="Arial"/>
          <w:sz w:val="14"/>
          <w:szCs w:val="14"/>
          <w:color w:val="auto"/>
        </w:rPr>
      </w:pPr>
    </w:p>
    <w:p>
      <w:pPr>
        <w:ind w:left="660" w:right="160" w:hanging="328"/>
        <w:spacing w:after="0" w:line="273"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2017 Compared with the Three Months Ended September 30, 2016</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6040" w:type="dxa"/>
            <w:vAlign w:val="bottom"/>
            <w:vMerge w:val="restart"/>
          </w:tcPr>
          <w:p>
            <w:pPr>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26,934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24,948</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30,089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27,566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6,192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5,860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26,463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25,284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0"/>
                <w:szCs w:val="20"/>
                <w:color w:val="auto"/>
              </w:rPr>
            </w:pPr>
            <w:r>
              <w:rPr>
                <w:rFonts w:ascii="Arial" w:cs="Arial" w:eastAsia="Arial" w:hAnsi="Arial"/>
                <w:sz w:val="18"/>
                <w:szCs w:val="18"/>
                <w:b w:val="1"/>
                <w:bCs w:val="1"/>
                <w:color w:val="auto"/>
              </w:rPr>
              <w:t>Segment operating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Cable segment service revenues increased $2.0 million, or 8.0%, primarily due to increases in high speed data and voice subscribers, video rate increases in January 2017 that offset increases in programming costs, customers selecting or upgrading to higher-speed data access packages.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$0.5 million, primarily due to new fiber contracts to towers, schools and libraries.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Cable segment cost of goods and services increased $0.3 million, or 1.8%, in the third quarter of 2017 over the comparable 2016 period. The increase resulted from higher network and maintenance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increased $0.6 million against the prior year quarter due to higher commission and marketing costs.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2017 Compared with the Nine Months Ended September 30, 2016</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Nine Months Ended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6040" w:type="dxa"/>
            <w:vAlign w:val="bottom"/>
            <w:vMerge w:val="restart"/>
          </w:tcPr>
          <w:p>
            <w:pPr>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80,229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73,455</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6,774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88,665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80,413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8,252</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45,052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43,864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18,070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17,834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78,205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76,370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4"/>
        </w:trPr>
        <w:tc>
          <w:tcPr>
            <w:tcW w:w="6040" w:type="dxa"/>
            <w:vAlign w:val="bottom"/>
          </w:tcPr>
          <w:p>
            <w:pPr>
              <w:spacing w:after="0"/>
              <w:rPr>
                <w:sz w:val="20"/>
                <w:szCs w:val="20"/>
                <w:color w:val="auto"/>
              </w:rPr>
            </w:pPr>
            <w:r>
              <w:rPr>
                <w:rFonts w:ascii="Arial" w:cs="Arial" w:eastAsia="Arial" w:hAnsi="Arial"/>
                <w:sz w:val="18"/>
                <w:szCs w:val="18"/>
                <w:b w:val="1"/>
                <w:bCs w:val="1"/>
                <w:color w:val="auto"/>
              </w:rPr>
              <w:t>Segment operating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10,460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Cable segment service revenues increased $6.8 million, or 9.2%, primarily due to increases in high-speed data and voice subscribers, video rate increases in January 2017 that offset increases in programming costs, customers selecting or upgrading to higher-speed data access packages.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$1.5 million, primarily due to new fiber contracts to towers, schools and libraries.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Cable segment cost of goods and services increased $1.2 million, or 2.7%, in the nine months ended September 30, 2017 over the comparable 2016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resulted from higher network and maintenance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 Segment</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720" w:type="dxa"/>
            <w:vAlign w:val="bottom"/>
            <w:gridSpan w:val="2"/>
          </w:tcPr>
          <w:p>
            <w:pPr>
              <w:ind w:left="280"/>
              <w:spacing w:after="0"/>
              <w:rPr>
                <w:sz w:val="20"/>
                <w:szCs w:val="20"/>
                <w:color w:val="auto"/>
              </w:rPr>
            </w:pPr>
            <w:r>
              <w:rPr>
                <w:rFonts w:ascii="Arial" w:cs="Arial" w:eastAsia="Arial" w:hAnsi="Arial"/>
                <w:sz w:val="18"/>
                <w:szCs w:val="18"/>
                <w:color w:val="auto"/>
              </w:rPr>
              <w:t>September 30,</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December 31,</w:t>
            </w:r>
          </w:p>
        </w:tc>
        <w:tc>
          <w:tcPr>
            <w:tcW w:w="1560" w:type="dxa"/>
            <w:vAlign w:val="bottom"/>
            <w:gridSpan w:val="2"/>
          </w:tcPr>
          <w:p>
            <w:pPr>
              <w:ind w:left="200"/>
              <w:spacing w:after="0"/>
              <w:rPr>
                <w:sz w:val="20"/>
                <w:szCs w:val="20"/>
                <w:color w:val="auto"/>
              </w:rPr>
            </w:pPr>
            <w:r>
              <w:rPr>
                <w:rFonts w:ascii="Arial" w:cs="Arial" w:eastAsia="Arial" w:hAnsi="Arial"/>
                <w:sz w:val="18"/>
                <w:szCs w:val="18"/>
                <w:color w:val="auto"/>
              </w:rPr>
              <w:t>September 30,</w:t>
            </w:r>
          </w:p>
        </w:tc>
        <w:tc>
          <w:tcPr>
            <w:tcW w:w="1560" w:type="dxa"/>
            <w:vAlign w:val="bottom"/>
          </w:tcPr>
          <w:p>
            <w:pPr>
              <w:spacing w:after="0"/>
              <w:rPr>
                <w:sz w:val="18"/>
                <w:szCs w:val="18"/>
                <w:color w:val="auto"/>
              </w:rPr>
            </w:pPr>
          </w:p>
        </w:tc>
      </w:tr>
      <w:tr>
        <w:trPr>
          <w:trHeight w:val="230"/>
        </w:trPr>
        <w:tc>
          <w:tcPr>
            <w:tcW w:w="476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w w:val="92"/>
              </w:rPr>
              <w:t>December 31, 2015</w:t>
            </w:r>
          </w:p>
        </w:tc>
      </w:tr>
      <w:tr>
        <w:trPr>
          <w:trHeight w:val="34"/>
        </w:trPr>
        <w:tc>
          <w:tcPr>
            <w:tcW w:w="47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Telephone Access Lines (1)</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18,006</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18,443</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18,737</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20,252</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Long Distance Subscribers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9,107</w:t>
            </w:r>
          </w:p>
        </w:tc>
        <w:tc>
          <w:tcPr>
            <w:tcW w:w="12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9,149</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9,186</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9,476</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Video Customers (2)</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5,110</w:t>
            </w:r>
          </w:p>
        </w:tc>
        <w:tc>
          <w:tcPr>
            <w:tcW w:w="12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5,264</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5,356</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DSL and Cable Modem Subscribers (1)</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14,605</w:t>
            </w:r>
          </w:p>
        </w:tc>
        <w:tc>
          <w:tcPr>
            <w:tcW w:w="12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14,314</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14,195</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13,890</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Fiber Route Miles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1,736</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Total Fiber Miles (3)</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149,944</w:t>
            </w:r>
          </w:p>
        </w:tc>
        <w:tc>
          <w:tcPr>
            <w:tcW w:w="12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142,230</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133,903</w:t>
            </w:r>
          </w:p>
        </w:tc>
        <w:tc>
          <w:tcPr>
            <w:tcW w:w="1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123,891</w:t>
            </w:r>
          </w:p>
        </w:tc>
      </w:tr>
      <w:tr>
        <w:trPr>
          <w:trHeight w:val="142"/>
        </w:trPr>
        <w:tc>
          <w:tcPr>
            <w:tcW w:w="476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r>
    </w:tbl>
    <w:p>
      <w:pPr>
        <w:ind w:left="660" w:hanging="328"/>
        <w:spacing w:after="0" w:line="255"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Effective October 1, 2015, we launched cable modem services on our cable plant, and ceased the requirement that a customer have a telephone access line to purchase internet service. As of September 30, 2017, 1,578 customers have purchased cable modem service received via the coaxial cable network.</w:t>
      </w:r>
    </w:p>
    <w:p>
      <w:pPr>
        <w:spacing w:after="0" w:line="24"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Wireline segment’s video service passes approximately 16,500 homes.</w:t>
      </w:r>
    </w:p>
    <w:p>
      <w:pPr>
        <w:spacing w:after="0" w:line="55" w:lineRule="exact"/>
        <w:rPr>
          <w:rFonts w:ascii="Arial" w:cs="Arial" w:eastAsia="Arial" w:hAnsi="Arial"/>
          <w:sz w:val="14"/>
          <w:szCs w:val="14"/>
          <w:color w:val="auto"/>
        </w:rPr>
      </w:pPr>
    </w:p>
    <w:p>
      <w:pPr>
        <w:ind w:left="660" w:right="140" w:hanging="328"/>
        <w:spacing w:after="0" w:line="273"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2017 Compared with the Three Months Ended September 30, 2016</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3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7"/>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Segment operating revenues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5,724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5,516</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Carrier access and fiber revenues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12,365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19,851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18,732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540"/>
        </w:trPr>
        <w:tc>
          <w:tcPr>
            <w:tcW w:w="60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14,762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13,940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64"/>
        </w:trPr>
        <w:tc>
          <w:tcPr>
            <w:tcW w:w="6040" w:type="dxa"/>
            <w:vAlign w:val="bottom"/>
          </w:tcPr>
          <w:p>
            <w:pPr>
              <w:spacing w:after="0"/>
              <w:rPr>
                <w:sz w:val="20"/>
                <w:szCs w:val="20"/>
                <w:color w:val="auto"/>
              </w:rPr>
            </w:pPr>
            <w:r>
              <w:rPr>
                <w:rFonts w:ascii="Arial" w:cs="Arial" w:eastAsia="Arial" w:hAnsi="Arial"/>
                <w:sz w:val="18"/>
                <w:szCs w:val="18"/>
                <w:b w:val="1"/>
                <w:bCs w:val="1"/>
                <w:color w:val="auto"/>
              </w:rPr>
              <w:t>Segment operating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4,792</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operating revenues in the quarter ended September 30, 2017 increased $1.1 million, or 6.0%, against the comparable 2016 period, primarily as a result of increases in fiber and access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expenses overall increased $0.8 million, or 5.9%, in the quarter ended September 30, 2017, compared to the 2016 quarter. The $0.4 million increase in cost of goods and services primarily resulted from costs to support the increase in carrier access and fiber revenues shown above. The $0.4 million increase in depreciation and amortization primarily resulted from the expansion of the underlying network assets necessary to support the growth in fiber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2017 Compared with the Nine Months Ended September 30, 2016</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Nine Months Ended</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20"/>
                <w:szCs w:val="20"/>
                <w:color w:val="auto"/>
              </w:rPr>
            </w:pPr>
          </w:p>
        </w:tc>
        <w:tc>
          <w:tcPr>
            <w:tcW w:w="140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3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7"/>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Segment operating revenues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17,002</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16,433</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6040" w:type="dxa"/>
            <w:vAlign w:val="bottom"/>
          </w:tcPr>
          <w:p>
            <w:pPr>
              <w:ind w:left="140"/>
              <w:spacing w:after="0"/>
              <w:rPr>
                <w:sz w:val="20"/>
                <w:szCs w:val="20"/>
                <w:color w:val="auto"/>
              </w:rPr>
            </w:pPr>
            <w:r>
              <w:rPr>
                <w:rFonts w:ascii="Arial" w:cs="Arial" w:eastAsia="Arial" w:hAnsi="Arial"/>
                <w:sz w:val="18"/>
                <w:szCs w:val="18"/>
                <w:color w:val="auto"/>
              </w:rPr>
              <w:t>Carrier access and fiber revenues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38,920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36,628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58,581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55,702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540"/>
        </w:trPr>
        <w:tc>
          <w:tcPr>
            <w:tcW w:w="60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28,409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26,892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56"/>
        </w:trPr>
        <w:tc>
          <w:tcPr>
            <w:tcW w:w="6040" w:type="dxa"/>
            <w:vAlign w:val="bottom"/>
          </w:tcPr>
          <w:p>
            <w:pPr>
              <w:ind w:left="14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6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9,536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8,789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77"/>
        </w:trPr>
        <w:tc>
          <w:tcPr>
            <w:tcW w:w="6040" w:type="dxa"/>
            <w:vAlign w:val="bottom"/>
          </w:tcPr>
          <w:p>
            <w:pPr>
              <w:ind w:left="34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43,010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40,632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64"/>
        </w:trPr>
        <w:tc>
          <w:tcPr>
            <w:tcW w:w="6040" w:type="dxa"/>
            <w:vAlign w:val="bottom"/>
          </w:tcPr>
          <w:p>
            <w:pPr>
              <w:spacing w:after="0"/>
              <w:rPr>
                <w:sz w:val="20"/>
                <w:szCs w:val="20"/>
                <w:color w:val="auto"/>
              </w:rPr>
            </w:pPr>
            <w:r>
              <w:rPr>
                <w:rFonts w:ascii="Arial" w:cs="Arial" w:eastAsia="Arial" w:hAnsi="Arial"/>
                <w:sz w:val="18"/>
                <w:szCs w:val="18"/>
                <w:b w:val="1"/>
                <w:bCs w:val="1"/>
                <w:color w:val="auto"/>
              </w:rPr>
              <w:t>Segment operating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15,571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15,070</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Total operating revenues in the nine months ended September 30, 2017 increased $2.9 million, or 5.2%, against the comparable 2016 period. Carrier access and fiber revenues increased $2.3 million due to increases in fiber and access contracts. The increase in service revenues primarily results from higher revenues for high-speed data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expenses overall increased $2.4 million, or 5.9%, in the nine months ended September 30, 2017, compared to the 2016 period. The $1.5 million increase in cost of goods and services primarily resulted from costs to support the increase in carrier access and fiber revenues shown above. The $0.7 million increase in depreciation and amortization primarily resulted from the expansion of the underlying network assets necessary to support the growth in fiber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managing our business and assessing our financial performance, management supplements the information provided by financial statement measures prepared in accordance with GAAP with Adjusted OIBDA and Continuing OIBDA, which are considered “non-GAAP financial measures” under SEC rules.</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Adjusted OIBDA is defined by us as operating income (loss) before depreciation and amortization, adjusted to exclude the effects of: certain non-recurring transactions, impairment of assets, gains and losses on asset sales, straight-line adjustments for the waived management fee by Sprint, amortization of the affiliate contract expansion intangible reflected as a contra revenue, actuarial gains and losses on pension and other post-retirement benefit plans, and share-based compensation expense. Adjusted OIBDA should not be construed as an alternative to operating income as determined in accordance with GAAP as a measure of operating performance. Continuing OIBDA is defined by us as Adjusted OIBDA, less the benefit received from the waived management fee. The waiver will end when the cumulative amount waived reaches approximately $256 million, which we expect to occur in five years.</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 capital-intensive industry such as telecommunications, management believes that Adjusted OIBDA and Continuing OIBDA and the associated percentage margin calculations are meaningful measures of our operating performance. We use Adjusted OIBDA and Continuing OIBDA as supplemental performance measures because management believes they facilitate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we may again report Adjusted and Continuing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and Continuing OIBDA facilitates internal comparisons of our historical operating performance, which are used by management for business planning purposes, and also facilitates comparisons of our performance relative to that of our competitors. In addition, we believe that Adjusted and Continuing OIBDA and similar measures are widely used by investors and financial analysts as measures of our financial performance over time, and to compare our financial performance with that of other companies in our industry.</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Adjusted and Continuing OIBDA have limitations as an analytical tool, and should not be considered in isolation or as a substitute for analysis of our results as reported under GAAP. These limitations include the following:</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they do not reflect capital expenditures;</w:t>
      </w:r>
    </w:p>
    <w:p>
      <w:pPr>
        <w:spacing w:after="0" w:line="23"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and Continuing OIBDA do not reflect cash requirements for such replacements;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they do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they do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they do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they do not reflect expenses incurred for the payment of income taxes;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660" w:right="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and Continuing OIBDA differently than we do, limiting its usefulness as a comparative measure.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light of these limitations, management considers Adjusted OIBDA and Continuing OIBDA as a financial performance measure that supplements but does not replace the information reflected in our GAAP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Adjusted OIBDA and Continuing OIBDA for the three and nine months ended September 30, 2017 and 2016.</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r>
      <w:tr>
        <w:trPr>
          <w:trHeight w:val="230"/>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color w:val="auto"/>
              </w:rPr>
              <w:t>September 30,</w:t>
            </w:r>
          </w:p>
        </w:tc>
      </w:tr>
      <w:tr>
        <w:trPr>
          <w:trHeight w:val="3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Adjusted OIBDA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66,904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73,746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209,895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170,166</w:t>
            </w: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Continuing OIBDA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57,943</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64,228</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182,827</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154,554</w:t>
            </w: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reconciles Adjusted OIBDA and Continuing OIBDA to operating income, which we consider to be the most directly comparable GAAP financial measure, for the three and nine months ended September 30, 2017 and 2016: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Consolidated:</w:t>
            </w:r>
          </w:p>
        </w:tc>
        <w:tc>
          <w:tcPr>
            <w:tcW w:w="280" w:type="dxa"/>
            <w:vAlign w:val="bottom"/>
          </w:tcPr>
          <w:p>
            <w:pPr>
              <w:spacing w:after="0"/>
              <w:rPr>
                <w:sz w:val="19"/>
                <w:szCs w:val="19"/>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9"/>
                <w:szCs w:val="19"/>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28,400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depreciation and amortization</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42,568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46,807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132,297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96,961</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(gain) loss on asset sales</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share based compensation expense</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straight line adjustment to management fee waiver</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12,960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7,687</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amortization of intangible netted in revenue</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5,242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8,883</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amortization of intangible netted in rent expense</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080" w:type="dxa"/>
            <w:vAlign w:val="bottom"/>
          </w:tcPr>
          <w:p>
            <w:pPr>
              <w:ind w:left="40"/>
              <w:spacing w:after="0"/>
              <w:rPr>
                <w:sz w:val="20"/>
                <w:szCs w:val="20"/>
                <w:color w:val="auto"/>
              </w:rPr>
            </w:pPr>
            <w:r>
              <w:rPr>
                <w:rFonts w:ascii="Arial" w:cs="Arial" w:eastAsia="Arial" w:hAnsi="Arial"/>
                <w:sz w:val="18"/>
                <w:szCs w:val="18"/>
                <w:color w:val="auto"/>
              </w:rPr>
              <w:t>Plus temporary back office costs to support the billing operations through</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migration (1)</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8,071</w:t>
            </w:r>
          </w:p>
        </w:tc>
        <w:tc>
          <w:tcPr>
            <w:tcW w:w="0" w:type="dxa"/>
            <w:vAlign w:val="bottom"/>
          </w:tcPr>
          <w:p>
            <w:pPr>
              <w:spacing w:after="0"/>
              <w:rPr>
                <w:sz w:val="1"/>
                <w:szCs w:val="1"/>
                <w:color w:val="auto"/>
              </w:rPr>
            </w:pPr>
          </w:p>
        </w:tc>
      </w:tr>
      <w:tr>
        <w:trPr>
          <w:trHeight w:val="304"/>
        </w:trPr>
        <w:tc>
          <w:tcPr>
            <w:tcW w:w="6080" w:type="dxa"/>
            <w:vAlign w:val="bottom"/>
          </w:tcPr>
          <w:p>
            <w:pPr>
              <w:ind w:left="40"/>
              <w:spacing w:after="0"/>
              <w:rPr>
                <w:sz w:val="20"/>
                <w:szCs w:val="20"/>
                <w:color w:val="auto"/>
              </w:rPr>
            </w:pPr>
            <w:r>
              <w:rPr>
                <w:rFonts w:ascii="Arial" w:cs="Arial" w:eastAsia="Arial" w:hAnsi="Arial"/>
                <w:sz w:val="18"/>
                <w:szCs w:val="18"/>
                <w:color w:val="auto"/>
              </w:rPr>
              <w:t>Plus integration and acquisition related expenses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15,272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9,873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35,801</w:t>
            </w: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color w:val="auto"/>
              </w:rPr>
              <w:t>Adjusted OIBDA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66,904</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73,746</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209,895</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170,166</w:t>
            </w: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color w:val="auto"/>
              </w:rPr>
              <w:t>Less waived management fee</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8"/>
                <w:szCs w:val="18"/>
                <w:color w:val="auto"/>
              </w:rPr>
              <w:t>Continuing OIBDA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57,943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64,228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182,827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154,554</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1"/>
                <w:szCs w:val="11"/>
                <w:color w:val="auto"/>
              </w:rPr>
              <w:t>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0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right="460" w:hanging="328"/>
        <w:spacing w:after="0" w:line="290" w:lineRule="auto"/>
        <w:tabs>
          <w:tab w:leader="none" w:pos="565" w:val="left"/>
        </w:tabs>
        <w:numPr>
          <w:ilvl w:val="0"/>
          <w:numId w:val="25"/>
        </w:numPr>
        <w:rPr>
          <w:rFonts w:ascii="Arial" w:cs="Arial" w:eastAsia="Arial" w:hAnsi="Arial"/>
          <w:sz w:val="15"/>
          <w:szCs w:val="15"/>
          <w:color w:val="auto"/>
        </w:rPr>
      </w:pPr>
      <w:r>
        <w:rPr>
          <w:rFonts w:ascii="Arial" w:cs="Arial" w:eastAsia="Arial" w:hAnsi="Arial"/>
          <w:sz w:val="15"/>
          <w:szCs w:val="15"/>
          <w:color w:val="auto"/>
        </w:rPr>
        <w:t>Once former nTelos customers migrate to the Sprint back office, the Company incurs certain postpaid fees retained by Sprint that would offset a portion of these savings. For the three and nine months ended September 30, 2017, these offsets were estimated at $0.1 million and $1.4 million,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reconcile adjusted OIBDA and Continuing OIBDA to operating income by major segment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Wireless Segment:</w:t>
            </w:r>
          </w:p>
        </w:tc>
        <w:tc>
          <w:tcPr>
            <w:tcW w:w="280" w:type="dxa"/>
            <w:vAlign w:val="bottom"/>
          </w:tcPr>
          <w:p>
            <w:pPr>
              <w:spacing w:after="0"/>
              <w:rPr>
                <w:sz w:val="19"/>
                <w:szCs w:val="19"/>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9"/>
                <w:szCs w:val="19"/>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6,745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22,234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20,905</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depreciation and amortization</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32,929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38,038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104,231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70,026</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(gain) loss on asset sales</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share based compensation expense</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straight line adjustment to management fee waiver (1)</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12,960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7,687</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amortization of intangible netted in revenue</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5,242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8,883</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amortization of intangible netted in rent expense</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Plus temporary back office costs to support the billing operations</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8,067</w:t>
            </w:r>
          </w:p>
        </w:tc>
        <w:tc>
          <w:tcPr>
            <w:tcW w:w="0" w:type="dxa"/>
            <w:vAlign w:val="bottom"/>
          </w:tcPr>
          <w:p>
            <w:pPr>
              <w:spacing w:after="0"/>
              <w:rPr>
                <w:sz w:val="1"/>
                <w:szCs w:val="1"/>
                <w:color w:val="auto"/>
              </w:rPr>
            </w:pPr>
          </w:p>
        </w:tc>
      </w:tr>
      <w:tr>
        <w:trPr>
          <w:trHeight w:val="304"/>
        </w:trPr>
        <w:tc>
          <w:tcPr>
            <w:tcW w:w="6080" w:type="dxa"/>
            <w:vAlign w:val="bottom"/>
          </w:tcPr>
          <w:p>
            <w:pPr>
              <w:ind w:left="40"/>
              <w:spacing w:after="0"/>
              <w:rPr>
                <w:sz w:val="20"/>
                <w:szCs w:val="20"/>
                <w:color w:val="auto"/>
              </w:rPr>
            </w:pPr>
            <w:r>
              <w:rPr>
                <w:rFonts w:ascii="Arial" w:cs="Arial" w:eastAsia="Arial" w:hAnsi="Arial"/>
                <w:sz w:val="18"/>
                <w:szCs w:val="18"/>
                <w:color w:val="auto"/>
              </w:rPr>
              <w:t>Plus integration and acquisition related expenses (2)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14,499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9,607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19,889</w:t>
            </w: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color w:val="auto"/>
              </w:rPr>
              <w:t>Adjusted OIBDA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54,186</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62,509</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173,825</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136,431</w:t>
            </w:r>
          </w:p>
        </w:tc>
        <w:tc>
          <w:tcPr>
            <w:tcW w:w="0" w:type="dxa"/>
            <w:vAlign w:val="bottom"/>
          </w:tcPr>
          <w:p>
            <w:pPr>
              <w:spacing w:after="0"/>
              <w:rPr>
                <w:sz w:val="1"/>
                <w:szCs w:val="1"/>
                <w:color w:val="auto"/>
              </w:rPr>
            </w:pPr>
          </w:p>
        </w:tc>
      </w:tr>
      <w:tr>
        <w:trPr>
          <w:trHeight w:val="277"/>
        </w:trPr>
        <w:tc>
          <w:tcPr>
            <w:tcW w:w="6080" w:type="dxa"/>
            <w:vAlign w:val="bottom"/>
          </w:tcPr>
          <w:p>
            <w:pPr>
              <w:ind w:left="40"/>
              <w:spacing w:after="0"/>
              <w:rPr>
                <w:sz w:val="20"/>
                <w:szCs w:val="20"/>
                <w:color w:val="auto"/>
              </w:rPr>
            </w:pPr>
            <w:r>
              <w:rPr>
                <w:rFonts w:ascii="Arial" w:cs="Arial" w:eastAsia="Arial" w:hAnsi="Arial"/>
                <w:sz w:val="18"/>
                <w:szCs w:val="18"/>
                <w:color w:val="auto"/>
              </w:rPr>
              <w:t>Less waived management fee (3)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8"/>
                <w:szCs w:val="18"/>
                <w:color w:val="auto"/>
              </w:rPr>
              <w:t>Continuing OIBDA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45,225</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52,991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146,757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120,819</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0" w:hanging="328"/>
        <w:spacing w:after="0" w:line="260" w:lineRule="auto"/>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Pursuant to the intangible asset exchange with Sprint, we recognized an intangible asset for the affiliate contract expansion received. Consistent with the presentation of related service fees charged by Sprint, we recognize the amortization of this intangible as a contra-revenue over the remaining contract term that concludes November 2029.</w:t>
      </w:r>
    </w:p>
    <w:p>
      <w:pPr>
        <w:ind w:left="660" w:right="60" w:hanging="328"/>
        <w:spacing w:after="0" w:line="260" w:lineRule="auto"/>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Integration and acquisition costs consist of severance accruals for short-term nTelos personnel to be separated as integration activities wind down, transaction related expenses, device costs to support the transition to Sprint billing platforms, and other transition costs to support the migration to Sprint back-office functions. Once former nTelos customers migrate to the Sprint back office, the Company incurs certain postpaid fees retained by Sprint and prepaid costs passed to us by Sprint that would offset a portion of these savings.</w:t>
      </w:r>
    </w:p>
    <w:p>
      <w:pPr>
        <w:ind w:left="660" w:right="40" w:hanging="328"/>
        <w:spacing w:after="0" w:line="248" w:lineRule="auto"/>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 part of our amended affiliate agreement, Sprint agreed to waive the management fee, which is historically presented as a contra-revenue, for a period of approximately six years. The impact of Sprint’s waiver of the management fee over the approximate six-year period is reflected as an increase in revenue, offset by the non-cash adjustment to recognize this impact on a straight-line basis over the remaining contract term that concludes November 2029.</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Cable Segment:</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8"/>
                <w:szCs w:val="18"/>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80" w:type="dxa"/>
            <w:vAlign w:val="bottom"/>
          </w:tcPr>
          <w:p>
            <w:pPr>
              <w:spacing w:after="0"/>
              <w:rPr>
                <w:sz w:val="20"/>
                <w:szCs w:val="20"/>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00" w:type="dxa"/>
            <w:vAlign w:val="bottom"/>
            <w:vMerge w:val="continue"/>
          </w:tcPr>
          <w:p>
            <w:pPr>
              <w:spacing w:after="0"/>
              <w:rPr>
                <w:sz w:val="21"/>
                <w:szCs w:val="21"/>
                <w:color w:val="auto"/>
              </w:rPr>
            </w:pPr>
          </w:p>
        </w:tc>
        <w:tc>
          <w:tcPr>
            <w:tcW w:w="1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00" w:type="dxa"/>
            <w:vAlign w:val="bottom"/>
            <w:vMerge w:val="continue"/>
          </w:tcPr>
          <w:p>
            <w:pPr>
              <w:spacing w:after="0"/>
              <w:rPr>
                <w:sz w:val="21"/>
                <w:szCs w:val="21"/>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3,626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6,192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18,070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17,834</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Less gain on asset sales</w:t>
            </w:r>
          </w:p>
        </w:tc>
        <w:tc>
          <w:tcPr>
            <w:tcW w:w="1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1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34"/>
        </w:trPr>
        <w:tc>
          <w:tcPr>
            <w:tcW w:w="4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0"/>
                <w:szCs w:val="20"/>
                <w:color w:val="auto"/>
              </w:rPr>
            </w:pPr>
            <w:r>
              <w:rPr>
                <w:rFonts w:ascii="Arial" w:cs="Arial" w:eastAsia="Arial" w:hAnsi="Arial"/>
                <w:sz w:val="18"/>
                <w:szCs w:val="18"/>
                <w:color w:val="auto"/>
              </w:rPr>
              <w:t>Adjusted OIBDA and Continuing OIBDA</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9,971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29,181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22,497</w:t>
            </w:r>
          </w:p>
        </w:tc>
        <w:tc>
          <w:tcPr>
            <w:tcW w:w="0" w:type="dxa"/>
            <w:vAlign w:val="bottom"/>
          </w:tcPr>
          <w:p>
            <w:pPr>
              <w:spacing w:after="0"/>
              <w:rPr>
                <w:sz w:val="1"/>
                <w:szCs w:val="1"/>
                <w:color w:val="auto"/>
              </w:rPr>
            </w:pPr>
          </w:p>
        </w:tc>
      </w:tr>
      <w:tr>
        <w:trPr>
          <w:trHeight w:val="27"/>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Wireline Segment:</w:t>
            </w:r>
          </w:p>
        </w:tc>
        <w:tc>
          <w:tcPr>
            <w:tcW w:w="1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00" w:type="dxa"/>
            <w:vAlign w:val="bottom"/>
            <w:vMerge w:val="continu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430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80" w:type="dxa"/>
            <w:vAlign w:val="bottom"/>
          </w:tcPr>
          <w:p>
            <w:pPr>
              <w:spacing w:after="0"/>
              <w:rPr>
                <w:sz w:val="20"/>
                <w:szCs w:val="20"/>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34"/>
        </w:trPr>
        <w:tc>
          <w:tcPr>
            <w:tcW w:w="4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300" w:type="dxa"/>
            <w:vAlign w:val="bottom"/>
          </w:tcPr>
          <w:p>
            <w:pPr>
              <w:spacing w:after="0"/>
              <w:rPr>
                <w:sz w:val="20"/>
                <w:szCs w:val="20"/>
                <w:color w:val="auto"/>
              </w:rPr>
            </w:pPr>
            <w:r>
              <w:rPr>
                <w:rFonts w:ascii="Arial" w:cs="Arial" w:eastAsia="Arial" w:hAnsi="Arial"/>
                <w:sz w:val="18"/>
                <w:szCs w:val="18"/>
                <w:color w:val="auto"/>
              </w:rPr>
              <w:t>(in thousands)</w:t>
            </w:r>
          </w:p>
        </w:tc>
        <w:tc>
          <w:tcPr>
            <w:tcW w:w="1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5,089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15,070</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3,249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8,789</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Plus (gain) loss on asset sales</w:t>
            </w:r>
          </w:p>
        </w:tc>
        <w:tc>
          <w:tcPr>
            <w:tcW w:w="1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430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1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64"/>
        </w:trPr>
        <w:tc>
          <w:tcPr>
            <w:tcW w:w="4300" w:type="dxa"/>
            <w:vAlign w:val="bottom"/>
          </w:tcPr>
          <w:p>
            <w:pPr>
              <w:spacing w:after="0"/>
              <w:rPr>
                <w:sz w:val="20"/>
                <w:szCs w:val="20"/>
                <w:color w:val="auto"/>
              </w:rPr>
            </w:pPr>
            <w:r>
              <w:rPr>
                <w:rFonts w:ascii="Arial" w:cs="Arial" w:eastAsia="Arial" w:hAnsi="Arial"/>
                <w:sz w:val="18"/>
                <w:szCs w:val="18"/>
                <w:color w:val="auto"/>
              </w:rPr>
              <w:t>Adjusted OIBDA and Continuing OIBDA</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8,411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25,453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24,183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740" w:type="dxa"/>
            <w:vAlign w:val="bottom"/>
            <w:vMerge w:val="restart"/>
          </w:tcPr>
          <w:p>
            <w:pPr>
              <w:jc w:val="right"/>
              <w:ind w:right="190"/>
              <w:spacing w:after="0"/>
              <w:rPr>
                <w:sz w:val="20"/>
                <w:szCs w:val="20"/>
                <w:color w:val="auto"/>
              </w:rPr>
            </w:pPr>
            <w:r>
              <w:rPr>
                <w:rFonts w:ascii="Arial" w:cs="Arial" w:eastAsia="Arial" w:hAnsi="Arial"/>
                <w:sz w:val="18"/>
                <w:szCs w:val="18"/>
                <w:color w:val="auto"/>
              </w:rPr>
              <w:t>40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three principal sources of funds available to meet the financing needs of our operations, capital projects, debt service,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Sources and Uses of Cash. We generated $158.7 million of net cash from operations in the first nine months of 2017, compared with $95.4 million in the first nine months of 2016.</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Indebtedness. As of September 30, 2017, our indebtedness totaled $848.6 million in term loans with an annualized effective interest rate of approximately 4.07% after considering the impact of the interest rate swap contracts and unamortized loan costs. The balance consists of the $448.6 million million Term Loan A-1 at a variable rate (3.99% as of September 30, 2017) that resets monthly based on one month LIBOR plus a margin of 2.75%, and the $400.0 million Term Loan A-2 at a variable rate (4.24% as of September 30, 2017) that resets monthly based on one month LIBOR plus a margin of 3.00%. The Term Loan A-1 requires quarterly principal repayments of $12.1 million quarterly through June 30, 2020, with further increases at that time through maturity in June 30, 2021. The Term Loan A-2 requires quarterly principal repayments of $10.0 million beginning on September 30, 2018 through March 31, 2023, with the remaining balance due June 30, 2023.</w:t>
      </w:r>
    </w:p>
    <w:p>
      <w:pPr>
        <w:spacing w:after="0" w:line="18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are bound by certain covenants under the 2016 credit agreement. Noncompliance with any one or more of the covenants may have an adverse effect on our financial condition or liquidity in the event such noncompliance cannot be cured or should we be unable to obtain a waiver from the lenders. As of September 30, 2017, we were in compliance with all covenants, and ratios at September 30, 2017 were as follows: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Covenant Requirement at</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p>
        </w:tc>
        <w:tc>
          <w:tcPr>
            <w:tcW w:w="1580" w:type="dxa"/>
            <w:vAlign w:val="bottom"/>
            <w:gridSpan w:val="2"/>
          </w:tcPr>
          <w:p>
            <w:pPr>
              <w:ind w:left="500"/>
              <w:spacing w:after="0"/>
              <w:rPr>
                <w:sz w:val="20"/>
                <w:szCs w:val="20"/>
                <w:color w:val="auto"/>
              </w:rPr>
            </w:pPr>
            <w:r>
              <w:rPr>
                <w:rFonts w:ascii="Arial" w:cs="Arial" w:eastAsia="Arial" w:hAnsi="Arial"/>
                <w:sz w:val="18"/>
                <w:szCs w:val="18"/>
                <w:color w:val="auto"/>
              </w:rPr>
              <w:t>Actual</w:t>
            </w: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September 30,2017</w:t>
            </w:r>
          </w:p>
        </w:tc>
        <w:tc>
          <w:tcPr>
            <w:tcW w:w="0" w:type="dxa"/>
            <w:vAlign w:val="bottom"/>
          </w:tcPr>
          <w:p>
            <w:pPr>
              <w:spacing w:after="0"/>
              <w:rPr>
                <w:sz w:val="1"/>
                <w:szCs w:val="1"/>
                <w:color w:val="auto"/>
              </w:rPr>
            </w:pPr>
          </w:p>
        </w:tc>
      </w:tr>
      <w:tr>
        <w:trPr>
          <w:trHeight w:val="34"/>
        </w:trPr>
        <w:tc>
          <w:tcPr>
            <w:tcW w:w="724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40" w:type="dxa"/>
            <w:vAlign w:val="bottom"/>
            <w:vMerge w:val="continue"/>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4"/>
              </w:rPr>
              <w:t>3.75 or Lower</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2.00 or Higher</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Minimum Liquidity Balance (000)</w:t>
            </w:r>
          </w:p>
        </w:tc>
        <w:tc>
          <w:tcPr>
            <w:tcW w:w="1460" w:type="dxa"/>
            <w:vAlign w:val="bottom"/>
          </w:tcPr>
          <w:p>
            <w:pPr>
              <w:jc w:val="right"/>
              <w:spacing w:after="0"/>
              <w:rPr>
                <w:sz w:val="20"/>
                <w:szCs w:val="20"/>
                <w:color w:val="auto"/>
              </w:rPr>
            </w:pPr>
            <w:r>
              <w:rPr>
                <w:rFonts w:ascii="Arial" w:cs="Arial" w:eastAsia="Arial" w:hAnsi="Arial"/>
                <w:sz w:val="18"/>
                <w:szCs w:val="18"/>
                <w:color w:val="auto"/>
              </w:rPr>
              <w:t>$149,228</w:t>
            </w:r>
          </w:p>
        </w:tc>
        <w:tc>
          <w:tcPr>
            <w:tcW w:w="12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4"/>
              </w:rPr>
              <w:t>$25 million or Higher</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40"/>
        <w:spacing w:after="0" w:line="279" w:lineRule="auto"/>
        <w:rPr>
          <w:sz w:val="20"/>
          <w:szCs w:val="20"/>
          <w:color w:val="auto"/>
        </w:rPr>
      </w:pPr>
      <w:r>
        <w:rPr>
          <w:rFonts w:ascii="Arial" w:cs="Arial" w:eastAsia="Arial" w:hAnsi="Arial"/>
          <w:sz w:val="17"/>
          <w:szCs w:val="17"/>
          <w:color w:val="auto"/>
        </w:rPr>
        <w:t>In accordance with the Credit Agreement, the total leverage and debt service coverage ratios noted above are based on consolidated EBITDA, cash taxes, scheduled principal payments and cash interest expense for the twelve months ending September 30, 2017, all as defined under the Credit Agreement. In addition to the covenants above, we are required to supply the lenders with quarterly financial statements and other reports as defined by the 2016 credit agreement. We were in compliance with all reporting requirements at September 30, 2017.</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had no off-balance sheet arrangements (other than operating leases) and have not entered into any transactions involving unconsolidated, limited purpose entities or commodity contracts.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Capital Commitments. We budgeted $155.2 million in capital expenditures for 2017, including $86.4 million in the Wireless segment for upgrades and expansion of the nTelos wireless network, $2.9 million for upgrades in the Wireless segment Expansion Area; $28.1 million for network expansion including new fiber routes, new cell towers, and cable market expansion; $27.0 million for additional network capacity; and $10.8 million for information technology upgrades, new and renovated buildings and other projects. As of September 30, 2017, expectations for 2017 total capital spending have been revised downward to $140.8 million, a decrease of $14.4 million. Of the decrease, $11.8 million is from the Wireless segment.</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first nine months of 2017, we spent $109.4 million on capital projects, compared to $102.9 million in the comparable 2016 period. Spending related to Wireless projects accounted for $54.1 million in the first nine months of 2017, primarily for upgrades of former nTelos sites and additional cell sites to expand coverage in the former nTelos territory. Cable capital spending of $20.8 million related to network and cable market expansion. Wireline capital projects cost $13.5 million, driven primarily by fiber builds. The remaining balance of capital expenditures is largely related to information technology projects.</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believe that cash on hand, cash flow from operations and borrowings expected to be available under our existing credit facilities will provide sufficient cash to enable us to fund planned capital expenditures, make scheduled principal and interest payments, meet our other cash requirements and maintain compliance with the terms of our financing agreements for at least the next twelve months. Thereafter, capital expenditures will likely continue to be required to continue planned capital upgrades to the acquired wireless network and provide increased capacity to meet our expected growth in demand for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products and services. The actual amount and timing of our future capital requirements may differ materially from our estimate depending on the demand for our products and new market developments and opportunities.</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cash flows from operations could be adversely affected by events outside our control, including, without limitation, changes in overall economic conditions, regulatory requirements, changes in technologies, demand for our products,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is also critical to our ability to maintain a positive cash flow from operations. The foregoing events individually or collectively could affect our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which requires an entity to recognize the amount of revenue to which it expects to be entitled for the transfer of promised goods or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to customers. The ASU will replace most existing revenue recognition guidance in U.S. GAAP when it becomes effective. In August 2015, the FASB issued ASU No. 2015-14, delaying the effective date of ASU 2014-09. Three other amendments have been issued during 2016 modifying the original ASU. As amended, the new standard is effective for the Company on January 1, 2018, using either a retrospective basis or a modified retrospective basis with early adoption permitted. The Company plans to adopt the standard effective January 1, 2018 using the modified retrospective transition approach; under this approach prior periods will not be retrospectively adjusted.</w:t>
      </w:r>
    </w:p>
    <w:p>
      <w:pPr>
        <w:spacing w:after="0" w:line="9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is continuing to assess all potential impacts of the standard, including the impact to the pattern with which revenue and direct and contract fulfillment costs are recognized, the impact of the standard on current accounting policies, practices and system of internal controls, in order to identify material differences, if any that would result from applying the new requirements.</w:t>
      </w:r>
    </w:p>
    <w:p>
      <w:pPr>
        <w:spacing w:after="0" w:line="10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is in the process of establishing new policies and processes, and is implementing necessary changes to data and procedures necessary to comply with the new requirements.</w:t>
      </w:r>
    </w:p>
    <w:p>
      <w:pPr>
        <w:spacing w:after="0" w:line="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continuing to assess all potential impacts of the standard, the Company believes the adoption will not have a significant effect on earnings however, the presentation of certain costs may change and disclosures will be impacted. The Company is still in the process of evaluating the impacts and the initial assessment may change.</w:t>
      </w:r>
    </w:p>
    <w:p>
      <w:pPr>
        <w:spacing w:after="0" w:line="10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the recognition of lease assets and lease liabilities by lessees for those leases classified as operating leases under previous generally accepted accounting principles. The ASU is effective for us on January 1, 2019, and early application is permitted. Modified retrospective application is required. The Company plans to adopt this standard when it becomes effective for the Company beginning January 1, 2019, and expects the adoption of this standard will result in the recognition of right of use assets and lease liabilities that have not previously been recorded, which will have a material impact on the Company’s consolidated financial statements.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three components. The first component is outstanding debt with variable rates. As of September 30, 2017, the Company had $848.6 million of variable rate debt outstanding (excluding unamortized loan fees and costs of $15.6 million), bearing interest at a weighted average rate of 4.10% as determined on a monthly basis. An increase in market interest rates of 1.00% would add approximately $8.3 million to annual interest expense, excluding the effect of the interest rate swap. In May 2016, the Company entered into a pay-fixed, receive-variable interest rate swap with three counterparties totaling $256.6 of notional principal (subject to change based upon expected draws under the delayed draw term loan and principal payments due under our debt agreements). This swap, combined with the swap purchased in 2012, covers notional principal equal to approximately 50% of the outstanding variable rate debt through maturity in 2023. The Company is required to pay a combined fixed rate of approximately 1.16% and receive a variable rate based on one month LIBOR (1.235% as of September 30, 2017), to manage a portion of its interest rate risk. Changes in the net interest paid or received under the swaps would offset approximately 50% of the change in interest expense on the variable rate debt outstanding. The swap agreements currently reduce annual interest expense by approximately $1.1 million, based on the spread between the fixed rate and the variable rate currently in effect on our debt.</w:t>
      </w:r>
    </w:p>
    <w:p>
      <w:pPr>
        <w:spacing w:after="0" w:line="17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second component of interest rate risk consists of temporary excess cash, which can be invested in various short-term investment vehicles such as overnight repurchase agreements and Treasury bills with a maturity of less than 90 days. As of September 30, 2017, the cash is invested in a commercial checking account that has limited interest rate risk. Management continually evaluates the most beneficial use of these funds.</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third component of interest rate risk is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September 30, 2017, the Company has $424.3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Management, with the participation of our President and Chief Executive Officer, who is the principal executive officer, and the Vice President - Finance and Chief Financial Officer, who is the principal financial officer, conducted an evaluation of our disclosure controls and procedures, (as defined by Rule 13a-15(e) under the Securities Exchange Act of 1934), as of the end of the period covered by this Quarterly report on Form 10-Q.</w:t>
      </w:r>
    </w:p>
    <w:p>
      <w:pPr>
        <w:spacing w:after="0" w:line="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disclosed in our Annual Report on Form 10-K for our fiscal year ended December 31, 2016, we identified material weaknesses in internal control over financial reporting. The material weaknesses will not be considered remediated until the applicable enhanced controls operate for a sufficient period of time and management has concluded, through testing, that these controls are operating effectively. As remediation has not yet been completed, our President and Chief Executive Officer and our Vice President, Finance and Chief Financial Officer have concluded that our disclosure controls and procedures continued to be ineffective as of September 30, 2017.</w:t>
      </w:r>
    </w:p>
    <w:p>
      <w:pPr>
        <w:spacing w:after="0" w:line="10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Notwithstanding the material weaknesses, management has concluded that the condensed consolidated financial statements included in this Quarterly Report on Form 10-Q fairly state, in all material respects, our financial position, results of operations and cash flows for the periods presented.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acquisition of nTelos was completed on May 6, 2016. Our Company’s management has extended its oversight and monitoring processes that support internal control over financial reporting to include the operations of nTelos and consideration for such has been included in our evaluation of disclosure controls and procedures. Our management is continuing to integrate the acquired operations into our overall internal control financial reporting process, expected to be complete in 2017.</w:t>
      </w:r>
    </w:p>
    <w:p>
      <w:pPr>
        <w:spacing w:after="0" w:line="10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as of September 30, 2017, that have materially affected or are reasonably likely to material affect, the Company’s internal control over financial reporting.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is continuing to implement the remediation plans as disclosed in our Annual Report on Form 10-K for our fiscal year ended December 31, 2016. We believe that these actions and the improvements we expect to achieve will effectively remediate the material weaknesses. However, these material weaknesses will not be considered remediated until the enhanced controls operate for a sufficient period of time and management has concluded that these controls are operating effectively.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Relating to Internal Control Over Financial Reporting</w:t>
      </w:r>
    </w:p>
    <w:p>
      <w:pPr>
        <w:spacing w:after="0" w:line="14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Under the Company’s agreements with Sprint, Sprint provides the Company with billing, collections, customer care, certain network operations and other back-office services for the PCS operation. As a result, Sprint remits to the Company a substantial portion of the Company’s total operating revenues, which will increase as legacy nTelos subscribers migrate to the Sprint billing platform in the future. Due to this relationship, the Company necessarily relies on Sprint to provide accurate, timely and sufficient data and information to properly record the Company’s revenues and accounts receivable, which underlie a substantial portion of the Company’s periodic financial statements and other financial disclosures.</w:t>
      </w:r>
    </w:p>
    <w:p>
      <w:pPr>
        <w:spacing w:after="0" w:line="9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Information provided by Sprint includes reports regarding the subscriber accounts receivable in the Company’s markets. Sprint provides the Company with monthly accounts receivable, billing and cash receipts, average national costs to acquire and support a prepaid customer, certain national channel commission and handset subsidy costs, and travel revenue information on a market level, rather than a subscriber level. The Company reviews these various reports to identify discrepancies or errors. Under the Company’s agreements with Sprint, the Company is entitled to only a portion of the receipts, net of items such as taxes, government surcharges, certain allocable write-offs and the 16.6% of postpaid and 6% of prepaid revenue currently retained by Sprint (before the effect of fee waivers). Sprint reports directly billed costs and revenues to the Company. Because of the Company’s reliance on Sprint for financial information, the Company must depend on Sprint to design adequate internal controls with respect to the processes established to provide this data and information to the Company and Sprint’s other Sprint PCS affiliate network partners. To address this issue, Sprint engages an independent registered public accounting firm to perform a periodic evaluation of these controls and to provide a “Report on Controls Placed in Operation and Tests of Operating Effectiveness” under guidance provided in Statements on Standards for Attestation Engagements No. 16 (“SSAE 16”). The report is provided to the Company on an annual basis and covers a nine-month period. The most recent report covered the period from January 1, 2016 to September 30, 2016. The most recent report indicated there were no material issues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which would adversely affect the information used to support the recording of the revenues provided by Sprint related to the Company’s relationship with them.</w:t>
      </w:r>
    </w:p>
    <w:p>
      <w:pPr>
        <w:spacing w:after="0" w:line="1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240" w:top="125" w:right="57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 As of September 30, 2017, the Company has not identified any needed updates to the risk factors included in our most recent Form 10-K.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conjunction with exercises of stock options and distributions of vested share awards, the Company periodically repurchases shares from recipients to satisfy some of the exercise price of the options being exercised or taxes payable associated with the distribution of shares. The following table provides information about the Company’s repurchases of shares during the three months ended September 30, 2017:</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Number of Shares</w:t>
            </w:r>
          </w:p>
        </w:tc>
        <w:tc>
          <w:tcPr>
            <w:tcW w:w="280" w:type="dxa"/>
            <w:vAlign w:val="bottom"/>
          </w:tcPr>
          <w:p>
            <w:pPr>
              <w:spacing w:after="0"/>
              <w:rPr>
                <w:sz w:val="18"/>
                <w:szCs w:val="18"/>
                <w:color w:val="auto"/>
              </w:rPr>
            </w:pPr>
          </w:p>
        </w:tc>
        <w:tc>
          <w:tcPr>
            <w:tcW w:w="1660" w:type="dxa"/>
            <w:vAlign w:val="bottom"/>
          </w:tcPr>
          <w:p>
            <w:pPr>
              <w:jc w:val="right"/>
              <w:ind w:right="370"/>
              <w:spacing w:after="0"/>
              <w:rPr>
                <w:sz w:val="20"/>
                <w:szCs w:val="20"/>
                <w:color w:val="auto"/>
              </w:rPr>
            </w:pPr>
            <w:r>
              <w:rPr>
                <w:rFonts w:ascii="Arial" w:cs="Arial" w:eastAsia="Arial" w:hAnsi="Arial"/>
                <w:sz w:val="18"/>
                <w:szCs w:val="18"/>
                <w:color w:val="auto"/>
              </w:rPr>
              <w:t>Average Price</w:t>
            </w:r>
          </w:p>
        </w:tc>
      </w:tr>
      <w:tr>
        <w:trPr>
          <w:trHeight w:val="230"/>
        </w:trPr>
        <w:tc>
          <w:tcPr>
            <w:tcW w:w="74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280" w:type="dxa"/>
            <w:vAlign w:val="bottom"/>
          </w:tcPr>
          <w:p>
            <w:pPr>
              <w:spacing w:after="0"/>
              <w:rPr>
                <w:sz w:val="20"/>
                <w:szCs w:val="20"/>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color w:val="auto"/>
                <w:w w:val="99"/>
              </w:rPr>
              <w:t>Paid per Share</w:t>
            </w:r>
          </w:p>
        </w:tc>
      </w:tr>
      <w:tr>
        <w:trPr>
          <w:trHeight w:val="34"/>
        </w:trPr>
        <w:tc>
          <w:tcPr>
            <w:tcW w:w="74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7400" w:type="dxa"/>
            <w:vAlign w:val="bottom"/>
          </w:tcPr>
          <w:p>
            <w:pPr>
              <w:spacing w:after="0"/>
              <w:rPr>
                <w:sz w:val="20"/>
                <w:szCs w:val="20"/>
                <w:color w:val="auto"/>
              </w:rPr>
            </w:pPr>
            <w:r>
              <w:rPr>
                <w:rFonts w:ascii="Arial" w:cs="Arial" w:eastAsia="Arial" w:hAnsi="Arial"/>
                <w:sz w:val="18"/>
                <w:szCs w:val="18"/>
                <w:color w:val="auto"/>
              </w:rPr>
              <w:t>July 1 to July 31</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August 1 to August 31</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04"/>
        </w:trPr>
        <w:tc>
          <w:tcPr>
            <w:tcW w:w="7400" w:type="dxa"/>
            <w:vAlign w:val="bottom"/>
          </w:tcPr>
          <w:p>
            <w:pPr>
              <w:spacing w:after="0"/>
              <w:rPr>
                <w:sz w:val="20"/>
                <w:szCs w:val="20"/>
                <w:color w:val="auto"/>
              </w:rPr>
            </w:pPr>
            <w:r>
              <w:rPr>
                <w:rFonts w:ascii="Arial" w:cs="Arial" w:eastAsia="Arial" w:hAnsi="Arial"/>
                <w:sz w:val="18"/>
                <w:szCs w:val="18"/>
                <w:color w:val="auto"/>
              </w:rPr>
              <w:t>September 1 to September 30</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140,328</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38.85</w:t>
            </w:r>
          </w:p>
        </w:tc>
      </w:tr>
      <w:tr>
        <w:trPr>
          <w:trHeight w:val="534"/>
        </w:trPr>
        <w:tc>
          <w:tcPr>
            <w:tcW w:w="7400" w:type="dxa"/>
            <w:vAlign w:val="bottom"/>
          </w:tcPr>
          <w:p>
            <w:pPr>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140,328</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38.85</w:t>
            </w:r>
          </w:p>
        </w:tc>
      </w:tr>
      <w:tr>
        <w:trPr>
          <w:trHeight w:val="20"/>
        </w:trPr>
        <w:tc>
          <w:tcPr>
            <w:tcW w:w="74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exhibits are filed with this Quarterly Report on Form 10-Q:</w:t>
      </w:r>
    </w:p>
    <w:p>
      <w:pPr>
        <w:spacing w:after="0" w:line="171" w:lineRule="exact"/>
        <w:rPr>
          <w:sz w:val="20"/>
          <w:szCs w:val="20"/>
          <w:color w:val="auto"/>
        </w:rPr>
      </w:pPr>
    </w:p>
    <w:p>
      <w:pPr>
        <w:ind w:left="620" w:hanging="553"/>
        <w:spacing w:after="0" w:line="256" w:lineRule="auto"/>
        <w:tabs>
          <w:tab w:leader="none" w:pos="600" w:val="left"/>
        </w:tabs>
        <w:rPr>
          <w:sz w:val="20"/>
          <w:szCs w:val="20"/>
          <w:color w:val="auto"/>
        </w:rPr>
      </w:pPr>
      <w:r>
        <w:rPr>
          <w:rFonts w:ascii="Arial" w:cs="Arial" w:eastAsia="Arial" w:hAnsi="Arial"/>
          <w:sz w:val="18"/>
          <w:szCs w:val="18"/>
          <w:color w:val="auto"/>
        </w:rPr>
        <w:t>10.54</w:t>
        <w:tab/>
        <w:t>Addendum XX to Sprint PCS Management Agreement, dated as of March 9, 2017, by and among Shenandoah Personal Communications, LLC, Sprint Spectrum L.P., Sprint Communications Company, L.P., SprintCom, Inc. and Horizon Personal Communications, LLC, filed as Exhibit 10.1 to the Company's Current Report on Form 8-K filed</w:t>
      </w:r>
    </w:p>
    <w:p>
      <w:pPr>
        <w:ind w:left="620"/>
        <w:spacing w:after="0"/>
        <w:rPr>
          <w:sz w:val="20"/>
          <w:szCs w:val="20"/>
          <w:color w:val="auto"/>
        </w:rPr>
      </w:pPr>
      <w:r>
        <w:rPr>
          <w:rFonts w:ascii="Arial" w:cs="Arial" w:eastAsia="Arial" w:hAnsi="Arial"/>
          <w:sz w:val="18"/>
          <w:szCs w:val="18"/>
          <w:color w:val="auto"/>
        </w:rPr>
        <w:t>March 15, 2017.</w:t>
      </w:r>
    </w:p>
    <w:p>
      <w:pPr>
        <w:spacing w:after="0" w:line="319"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Rule 13a-14(a) under the Securities Exchange Act of 1934.</w:t>
      </w:r>
    </w:p>
    <w:p>
      <w:pPr>
        <w:spacing w:after="0" w:line="333"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Vice President - Finance and Chief Financial Officer pursuant to Rule 13a-14(a) under the Securities Exchange Act of 1934.</w:t>
      </w:r>
    </w:p>
    <w:p>
      <w:pPr>
        <w:spacing w:after="0" w:line="333"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Certifications pursuant to Rule 13a-14(b) under the Securities Exchange Act of 1934 and 18 U.S.C. § 1350.</w:t>
      </w:r>
    </w:p>
    <w:p>
      <w:pPr>
        <w:spacing w:after="0" w:line="33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 Formatted in XBRL (Extensible Business Reporting Language)</w:t>
      </w:r>
    </w:p>
    <w:p>
      <w:pPr>
        <w:sectPr>
          <w:pgSz w:w="11900" w:h="16838" w:orient="portrait"/>
          <w:cols w:equalWidth="0" w:num="1">
            <w:col w:w="11320"/>
          </w:cols>
          <w:pgMar w:left="240" w:top="125" w:right="339" w:bottom="1440" w:gutter="0" w:footer="0" w:header="0"/>
        </w:sectPr>
      </w:pPr>
    </w:p>
    <w:p>
      <w:pPr>
        <w:spacing w:after="0" w:line="3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11" w:lineRule="exact"/>
        <w:rPr>
          <w:sz w:val="20"/>
          <w:szCs w:val="20"/>
          <w:color w:val="auto"/>
        </w:rPr>
      </w:pPr>
    </w:p>
    <w:p>
      <w:pPr>
        <w:sectPr>
          <w:pgSz w:w="11900" w:h="16838" w:orient="portrait"/>
          <w:cols w:equalWidth="0" w:num="2">
            <w:col w:w="1320" w:space="440"/>
            <w:col w:w="9560"/>
          </w:cols>
          <w:pgMar w:left="240" w:top="125" w:right="33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11" w:lineRule="exact"/>
        <w:rPr>
          <w:sz w:val="20"/>
          <w:szCs w:val="20"/>
          <w:color w:val="auto"/>
        </w:rPr>
      </w:pPr>
    </w:p>
    <w:p>
      <w:pPr>
        <w:sectPr>
          <w:pgSz w:w="11900" w:h="16838" w:orient="portrait"/>
          <w:cols w:equalWidth="0" w:num="2">
            <w:col w:w="1380" w:space="380"/>
            <w:col w:w="9560"/>
          </w:cols>
          <w:pgMar w:left="240" w:top="125" w:right="33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1380" w:space="380"/>
            <w:col w:w="9560"/>
          </w:cols>
          <w:pgMar w:left="240" w:top="125" w:right="33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11" w:lineRule="exact"/>
        <w:rPr>
          <w:sz w:val="20"/>
          <w:szCs w:val="20"/>
          <w:color w:val="auto"/>
        </w:rPr>
      </w:pPr>
    </w:p>
    <w:p>
      <w:pPr>
        <w:sectPr>
          <w:pgSz w:w="11900" w:h="16838" w:orient="portrait"/>
          <w:cols w:equalWidth="0" w:num="2">
            <w:col w:w="1360" w:space="400"/>
            <w:col w:w="9560"/>
          </w:cols>
          <w:pgMar w:left="240" w:top="125" w:right="33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1380" w:space="380"/>
            <w:col w:w="9560"/>
          </w:cols>
          <w:pgMar w:left="240" w:top="125" w:right="339" w:bottom="1440" w:gutter="0" w:footer="0" w:header="0"/>
          <w:type w:val="continuous"/>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360" w:space="400"/>
            <w:col w:w="9560"/>
          </w:cols>
          <w:pgMar w:left="240" w:top="125" w:right="339" w:bottom="1440" w:gutter="0" w:footer="0" w:header="0"/>
          <w:type w:val="continuous"/>
        </w:sectPr>
      </w:pPr>
    </w:p>
    <w:p>
      <w:pPr>
        <w:spacing w:after="0" w:line="3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ectPr>
          <w:pgSz w:w="11900" w:h="16838" w:orient="portrait"/>
          <w:cols w:equalWidth="0" w:num="1">
            <w:col w:w="11320"/>
          </w:cols>
          <w:pgMar w:left="240" w:top="125" w:right="339" w:bottom="1440" w:gutter="0" w:footer="0" w:header="0"/>
          <w:type w:val="continuous"/>
        </w:sectPr>
      </w:pPr>
    </w:p>
    <w:p>
      <w:pPr>
        <w:spacing w:after="0" w:line="358" w:lineRule="exact"/>
        <w:rPr>
          <w:sz w:val="20"/>
          <w:szCs w:val="20"/>
          <w:color w:val="auto"/>
        </w:rPr>
      </w:pPr>
    </w:p>
    <w:p>
      <w:pPr>
        <w:jc w:val="both"/>
        <w:ind w:left="660" w:right="20" w:hanging="652"/>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20"/>
          <w:szCs w:val="20"/>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125" w:right="3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540" w:type="dxa"/>
            <w:vAlign w:val="bottom"/>
            <w:gridSpan w:val="9"/>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4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80"/>
        </w:trPr>
        <w:tc>
          <w:tcPr>
            <w:tcW w:w="1540" w:type="dxa"/>
            <w:vAlign w:val="bottom"/>
            <w:gridSpan w:val="9"/>
          </w:tcPr>
          <w:p>
            <w:pPr>
              <w:spacing w:after="0"/>
              <w:rPr>
                <w:sz w:val="20"/>
                <w:szCs w:val="20"/>
                <w:color w:val="auto"/>
              </w:rPr>
            </w:pPr>
            <w:r>
              <w:rPr>
                <w:rFonts w:ascii="Arial" w:cs="Arial" w:eastAsia="Arial" w:hAnsi="Arial"/>
                <w:sz w:val="18"/>
                <w:szCs w:val="18"/>
                <w:color w:val="auto"/>
              </w:rPr>
              <w:t>EXHIBIT INDEX</w:t>
            </w:r>
          </w:p>
        </w:tc>
        <w:tc>
          <w:tcPr>
            <w:tcW w:w="4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55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7"/>
          </w:tcPr>
          <w:p>
            <w:pPr>
              <w:spacing w:after="0"/>
              <w:rPr>
                <w:sz w:val="20"/>
                <w:szCs w:val="20"/>
                <w:color w:val="auto"/>
              </w:rPr>
            </w:pPr>
            <w:r>
              <w:rPr>
                <w:rFonts w:ascii="Arial" w:cs="Arial" w:eastAsia="Arial" w:hAnsi="Arial"/>
                <w:sz w:val="18"/>
                <w:szCs w:val="18"/>
                <w:b w:val="1"/>
                <w:bCs w:val="1"/>
                <w:color w:val="auto"/>
              </w:rPr>
              <w:t>Exhibit No.</w:t>
            </w:r>
          </w:p>
        </w:tc>
        <w:tc>
          <w:tcPr>
            <w:tcW w:w="9660" w:type="dxa"/>
            <w:vAlign w:val="bottom"/>
            <w:gridSpan w:val="3"/>
          </w:tcPr>
          <w:p>
            <w:pPr>
              <w:ind w:left="4740"/>
              <w:spacing w:after="0"/>
              <w:rPr>
                <w:sz w:val="20"/>
                <w:szCs w:val="20"/>
                <w:color w:val="auto"/>
              </w:rPr>
            </w:pPr>
            <w:r>
              <w:rPr>
                <w:rFonts w:ascii="Arial" w:cs="Arial" w:eastAsia="Arial" w:hAnsi="Arial"/>
                <w:sz w:val="18"/>
                <w:szCs w:val="18"/>
                <w:b w:val="1"/>
                <w:bCs w:val="1"/>
                <w:color w:val="auto"/>
              </w:rPr>
              <w:t>Exhibit</w:t>
            </w:r>
          </w:p>
        </w:tc>
      </w:tr>
      <w:tr>
        <w:trPr>
          <w:trHeight w:val="20"/>
        </w:trPr>
        <w:tc>
          <w:tcPr>
            <w:tcW w:w="4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547"/>
        </w:trPr>
        <w:tc>
          <w:tcPr>
            <w:tcW w:w="420" w:type="dxa"/>
            <w:vAlign w:val="bottom"/>
            <w:gridSpan w:val="2"/>
          </w:tcPr>
          <w:p>
            <w:pPr>
              <w:spacing w:after="0"/>
              <w:rPr>
                <w:sz w:val="24"/>
                <w:szCs w:val="24"/>
                <w:color w:val="auto"/>
              </w:rPr>
            </w:pPr>
          </w:p>
        </w:tc>
        <w:tc>
          <w:tcPr>
            <w:tcW w:w="880" w:type="dxa"/>
            <w:vAlign w:val="bottom"/>
            <w:gridSpan w:val="6"/>
          </w:tcPr>
          <w:p>
            <w:pPr>
              <w:jc w:val="center"/>
              <w:spacing w:after="0"/>
              <w:rPr>
                <w:rFonts w:ascii="Arial" w:cs="Arial" w:eastAsia="Arial" w:hAnsi="Arial"/>
                <w:sz w:val="18"/>
                <w:szCs w:val="18"/>
                <w:color w:val="0000FF"/>
                <w:w w:val="88"/>
              </w:rPr>
            </w:pPr>
            <w:hyperlink r:id="rId1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54</w:t>
              </w:r>
            </w:hyperlink>
          </w:p>
        </w:tc>
        <w:tc>
          <w:tcPr>
            <w:tcW w:w="240" w:type="dxa"/>
            <w:vAlign w:val="bottom"/>
          </w:tcPr>
          <w:p>
            <w:pPr>
              <w:spacing w:after="0"/>
              <w:rPr>
                <w:sz w:val="24"/>
                <w:szCs w:val="24"/>
                <w:color w:val="auto"/>
              </w:rPr>
            </w:pP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w w:val="98"/>
              </w:rPr>
              <w:t>Addendum XX to Sprint PCS Management Agreement, dated as of March 9, 2017, by and among Shenandoah Personal</w:t>
            </w:r>
          </w:p>
        </w:tc>
      </w:tr>
      <w:tr>
        <w:trPr>
          <w:trHeight w:val="222"/>
        </w:trPr>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w w:val="95"/>
              </w:rPr>
              <w:t>Communications, LLC, Sprint Spectrum L.P., Sprint Communications Company, L.P., SprintCom, Inc. and Horizon Personal</w:t>
            </w:r>
          </w:p>
        </w:tc>
      </w:tr>
      <w:tr>
        <w:trPr>
          <w:trHeight w:val="230"/>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rPr>
              <w:t>Communications, LLC, filed as Exhibit 10.1 to the Company's Current Report on Form 8-K filed March 15, 2017.</w:t>
            </w:r>
          </w:p>
        </w:tc>
      </w:tr>
      <w:tr>
        <w:trPr>
          <w:trHeight w:val="500"/>
        </w:trPr>
        <w:tc>
          <w:tcPr>
            <w:tcW w:w="1300" w:type="dxa"/>
            <w:vAlign w:val="bottom"/>
            <w:gridSpan w:val="8"/>
          </w:tcPr>
          <w:p>
            <w:pPr>
              <w:jc w:val="center"/>
              <w:ind w:left="330"/>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hyperlink>
            <w:r>
              <w:rPr>
                <w:rFonts w:ascii="Arial" w:cs="Arial" w:eastAsia="Arial" w:hAnsi="Arial"/>
                <w:sz w:val="18"/>
                <w:szCs w:val="18"/>
                <w:color w:val="000000"/>
                <w:w w:val="95"/>
              </w:rPr>
              <w:t>*</w:t>
            </w:r>
          </w:p>
        </w:tc>
        <w:tc>
          <w:tcPr>
            <w:tcW w:w="240" w:type="dxa"/>
            <w:vAlign w:val="bottom"/>
          </w:tcPr>
          <w:p>
            <w:pPr>
              <w:spacing w:after="0"/>
              <w:rPr>
                <w:sz w:val="24"/>
                <w:szCs w:val="24"/>
                <w:color w:val="auto"/>
              </w:rPr>
            </w:pP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w w:val="95"/>
              </w:rPr>
              <w:t>Certification of President and Chief Executive Officer pursuant to Rule 13a-14(a) under the Securities Exchange Act of 1934.</w:t>
            </w:r>
          </w:p>
        </w:tc>
      </w:tr>
      <w:tr>
        <w:trPr>
          <w:trHeight w:val="20"/>
        </w:trPr>
        <w:tc>
          <w:tcPr>
            <w:tcW w:w="68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60" w:type="dxa"/>
            <w:vAlign w:val="bottom"/>
            <w:gridSpan w:val="3"/>
          </w:tcPr>
          <w:p>
            <w:pPr>
              <w:spacing w:after="0" w:line="20" w:lineRule="exact"/>
              <w:rPr>
                <w:sz w:val="1"/>
                <w:szCs w:val="1"/>
                <w:color w:val="auto"/>
              </w:rPr>
            </w:pPr>
          </w:p>
        </w:tc>
      </w:tr>
      <w:tr>
        <w:trPr>
          <w:trHeight w:val="520"/>
        </w:trPr>
        <w:tc>
          <w:tcPr>
            <w:tcW w:w="1300" w:type="dxa"/>
            <w:vAlign w:val="bottom"/>
            <w:gridSpan w:val="8"/>
          </w:tcPr>
          <w:p>
            <w:pPr>
              <w:jc w:val="center"/>
              <w:ind w:left="330"/>
              <w:spacing w:after="0"/>
              <w:rPr>
                <w:rFonts w:ascii="Arial" w:cs="Arial" w:eastAsia="Arial" w:hAnsi="Arial"/>
                <w:sz w:val="18"/>
                <w:szCs w:val="18"/>
                <w:color w:val="0000FF"/>
                <w:w w:val="95"/>
              </w:rPr>
            </w:pPr>
            <w:hyperlink w:anchor="page51">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r>
              <w:rPr>
                <w:rFonts w:ascii="Arial" w:cs="Arial" w:eastAsia="Arial" w:hAnsi="Arial"/>
                <w:sz w:val="18"/>
                <w:szCs w:val="18"/>
                <w:color w:val="000000"/>
                <w:w w:val="95"/>
              </w:rPr>
              <w:t>*</w:t>
            </w:r>
          </w:p>
        </w:tc>
        <w:tc>
          <w:tcPr>
            <w:tcW w:w="240" w:type="dxa"/>
            <w:vAlign w:val="bottom"/>
          </w:tcPr>
          <w:p>
            <w:pPr>
              <w:spacing w:after="0"/>
              <w:rPr>
                <w:sz w:val="24"/>
                <w:szCs w:val="24"/>
                <w:color w:val="auto"/>
              </w:rPr>
            </w:pP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w w:val="91"/>
              </w:rPr>
              <w:t>Certification of Vice President - Finance and Chief Financial Officer pursuant to Rule 13a-14(a) under the Securities Exchange Act</w:t>
            </w:r>
          </w:p>
        </w:tc>
      </w:tr>
      <w:tr>
        <w:trPr>
          <w:trHeight w:val="237"/>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rPr>
              <w:t>of 1934.</w:t>
            </w:r>
          </w:p>
        </w:tc>
      </w:tr>
      <w:tr>
        <w:trPr>
          <w:trHeight w:val="500"/>
        </w:trPr>
        <w:tc>
          <w:tcPr>
            <w:tcW w:w="680" w:type="dxa"/>
            <w:vAlign w:val="bottom"/>
            <w:gridSpan w:val="4"/>
          </w:tcPr>
          <w:p>
            <w:pPr>
              <w:spacing w:after="0"/>
              <w:rPr>
                <w:sz w:val="24"/>
                <w:szCs w:val="24"/>
                <w:color w:val="auto"/>
              </w:rPr>
            </w:pPr>
          </w:p>
        </w:tc>
        <w:tc>
          <w:tcPr>
            <w:tcW w:w="380" w:type="dxa"/>
            <w:vAlign w:val="bottom"/>
            <w:gridSpan w:val="3"/>
          </w:tcPr>
          <w:p>
            <w:pPr>
              <w:jc w:val="center"/>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32</w:t>
              </w:r>
            </w:hyperlink>
            <w:r>
              <w:rPr>
                <w:rFonts w:ascii="Arial" w:cs="Arial" w:eastAsia="Arial" w:hAnsi="Arial"/>
                <w:sz w:val="18"/>
                <w:szCs w:val="18"/>
                <w:color w:val="000000"/>
              </w:rPr>
              <w:t>**</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rPr>
              <w:t>Certifications pursuant to Rule 13a-14(b) under the Securities Exchange Act of 1934 and 18 U.S.C. § 1350.</w:t>
            </w: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bl>
    <w:p>
      <w:pPr>
        <w:spacing w:after="0" w:line="337" w:lineRule="exact"/>
        <w:rPr>
          <w:sz w:val="20"/>
          <w:szCs w:val="20"/>
          <w:color w:val="auto"/>
        </w:rPr>
      </w:pPr>
    </w:p>
    <w:p>
      <w:pPr>
        <w:ind w:left="1760" w:hanging="1089"/>
        <w:spacing w:after="0"/>
        <w:tabs>
          <w:tab w:leader="none" w:pos="1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333"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478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478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4780" w:type="dxa"/>
            <w:vAlign w:val="bottom"/>
          </w:tcPr>
          <w:p>
            <w:pPr>
              <w:ind w:left="2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4780" w:type="dxa"/>
            <w:vAlign w:val="bottom"/>
          </w:tcPr>
          <w:p>
            <w:pPr>
              <w:ind w:left="2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tcPr>
          <w:p>
            <w:pPr>
              <w:ind w:left="28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18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358" w:lineRule="exact"/>
        <w:rPr>
          <w:sz w:val="20"/>
          <w:szCs w:val="20"/>
          <w:color w:val="auto"/>
        </w:rPr>
      </w:pPr>
    </w:p>
    <w:p>
      <w:pPr>
        <w:jc w:val="both"/>
        <w:ind w:left="66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20"/>
          <w:szCs w:val="20"/>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108" w:right="35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SHENANDOAH TELECOMMUNICATIONS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54875"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5487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 Adele M. Skolits</w:t>
      </w:r>
    </w:p>
    <w:p>
      <w:pPr>
        <w:spacing w:after="0" w:line="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Adele M. Skolits</w:t>
      </w:r>
    </w:p>
    <w:p>
      <w:pPr>
        <w:spacing w:after="0" w:line="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Vice President - Finance and Chief Financial Officer</w:t>
      </w:r>
    </w:p>
    <w:p>
      <w:pPr>
        <w:spacing w:after="0" w:line="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600"/>
          </w:cols>
          <w:pgMar w:left="240" w:top="125" w:right="10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Adele M. Skolits, certify that:</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2"/>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571"/>
        <w:spacing w:after="0" w:line="342"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Adele M. Skolits,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70" w:lineRule="exact"/>
        <w:rPr>
          <w:sz w:val="20"/>
          <w:szCs w:val="20"/>
          <w:color w:val="auto"/>
        </w:rPr>
      </w:pPr>
    </w:p>
    <w:p>
      <w:pPr>
        <w:ind w:right="160" w:firstLine="656"/>
        <w:spacing w:after="0" w:line="264" w:lineRule="auto"/>
        <w:tabs>
          <w:tab w:leader="none" w:pos="13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three months ended September 30, 2017 filed on the date hereof with the Securities and Exchange Commission (the “Report”) fully complies with the requirements of Section 13(a) or 15(d) of the Securities Exchange Act of 1934; and</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November 2, 2017</w:t>
      </w:r>
    </w:p>
    <w:p>
      <w:pPr>
        <w:spacing w:after="0" w:line="333"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/S/ADELE M. SKOLITS</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Adele M. Skolits</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Vice President - Finance and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November 2, 2017</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upperLetter"/>
      <w:start w:val="24"/>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5"/>
    </w:lvl>
  </w:abstractNum>
  <w:abstractNum w:abstractNumId="10">
    <w:nsid w:val="721DA317"/>
    <w:multiLevelType w:val="hybridMultilevel"/>
    <w:lvl w:ilvl="0">
      <w:lvlJc w:val="left"/>
      <w:lvlText w:val="%1."/>
      <w:numFmt w:val="decimal"/>
      <w:start w:val="7"/>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decimal"/>
      <w:start w:val="12"/>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0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6" Type="http://schemas.openxmlformats.org/officeDocument/2006/relationships/hyperlink" Target="http://www.sec.gov/Archives/edgar/data/354963/000114036117012143/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2019-12-29T03:19:40Z</dcterms:created>
  <dcterms:modified xsi:type="dcterms:W3CDTF">2019-12-29T03:19:40Z</dcterms:modified>
</cp:coreProperties>
</file>