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28,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SHENANDOAH TELECOMMUNICATIONS COMPANY</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000-09881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54-1162807</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 Shentel Way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 Box 459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Edinburg, Virginia 22824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(540) 984-4141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Common Stock (No Par Value)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SHEN</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October 28, 2026, Shenandoah Telecommunications Company (the “Company”) issued a press release announcing its financial position as of September 30, 2026, results of operations for the three and nine months ended September 30, 2026, and other related information. The Company also posted supplemental earnings presentation materials on the investor section of the Company’s website at www.Shentel.com. A copy of the press release is furnished as Exhibit 99.1 and is incorporated herein by reference.</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materials may contain forward-looking statements about Shenandoah Telecommunications Company regarding, among other things, our business strategy, our prospects and our financial position. These statements can be identified by the use of forward-looking terminology such as “believes,” “estimates,” “expects,” “intends,” “may,” “will,” “should,” “could,” or “anticipates” or the negative or other variation of these or similar words, or by discussions of strategy or risks and uncertainties. Shenandoah Telecommunications Company undertakes no obligation to revise or update such statements to reflect current events or circumstances after the date hereof, or to reflect the occurrence of unanticipated events.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with this Current Report on Form 8-K.</w:t>
      </w:r>
    </w:p>
    <w:p>
      <w:pPr>
        <w:spacing w:after="0" w:line="22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u w:val="single" w:color="auto"/>
          <w:color w:val="0000EE"/>
        </w:rPr>
        <w:t>99.1*</w:t>
        <w:tab/>
        <w:t>Third Quarter 2026 Earnings Press Release</w:t>
      </w:r>
    </w:p>
    <w:p>
      <w:pPr>
        <w:spacing w:after="0" w:line="27" w:lineRule="exact"/>
        <w:rPr>
          <w:sz w:val="20"/>
          <w:szCs w:val="20"/>
          <w:color w:val="auto"/>
        </w:rPr>
      </w:pPr>
    </w:p>
    <w:p>
      <w:pPr>
        <w:ind w:right="4700" w:firstLine="8"/>
        <w:spacing w:after="0" w:line="511" w:lineRule="auto"/>
        <w:tabs>
          <w:tab w:leader="none" w:pos="6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60"/>
          </w:cols>
          <w:pgMar w:left="320" w:top="360" w:right="4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Shenandoah Telecommunications Company</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2026</w:t>
            </w:r>
          </w:p>
        </w:tc>
        <w:tc>
          <w:tcPr>
            <w:tcW w:w="5780" w:type="dxa"/>
            <w:vAlign w:val="bottom"/>
            <w:gridSpan w:val="3"/>
          </w:tcPr>
          <w:p>
            <w:pPr>
              <w:ind w:left="1880"/>
              <w:spacing w:after="0"/>
              <w:rPr>
                <w:sz w:val="20"/>
                <w:szCs w:val="20"/>
                <w:color w:val="auto"/>
              </w:rPr>
            </w:pPr>
            <w:r>
              <w:rPr>
                <w:rFonts w:ascii="Times New Roman" w:cs="Times New Roman" w:eastAsia="Times New Roman" w:hAnsi="Times New Roman"/>
                <w:sz w:val="18"/>
                <w:szCs w:val="18"/>
                <w:color w:val="auto"/>
              </w:rPr>
              <w:t>By: /s/ James J. Volk</w:t>
            </w:r>
          </w:p>
        </w:tc>
      </w:tr>
      <w:tr>
        <w:trPr>
          <w:trHeight w:val="237"/>
        </w:trPr>
        <w:tc>
          <w:tcPr>
            <w:tcW w:w="35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J. Volk</w:t>
            </w:r>
          </w:p>
        </w:tc>
        <w:tc>
          <w:tcPr>
            <w:tcW w:w="2040" w:type="dxa"/>
            <w:vAlign w:val="bottom"/>
          </w:tcPr>
          <w:p>
            <w:pPr>
              <w:spacing w:after="0"/>
              <w:rPr>
                <w:sz w:val="20"/>
                <w:szCs w:val="20"/>
                <w:color w:val="auto"/>
              </w:rPr>
            </w:pPr>
          </w:p>
        </w:tc>
      </w:tr>
      <w:tr>
        <w:trPr>
          <w:trHeight w:val="223"/>
        </w:trPr>
        <w:tc>
          <w:tcPr>
            <w:tcW w:w="35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Senior Vice President and Chief Financial Officer</w:t>
            </w:r>
          </w:p>
        </w:tc>
      </w:tr>
      <w:tr>
        <w:trPr>
          <w:trHeight w:val="236"/>
        </w:trPr>
        <w:tc>
          <w:tcPr>
            <w:tcW w:w="35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bl>
    <w:p>
      <w:pPr>
        <w:sectPr>
          <w:pgSz w:w="11900" w:h="16838" w:orient="portrait"/>
          <w:cols w:equalWidth="0" w:num="1">
            <w:col w:w="11200"/>
          </w:cols>
          <w:pgMar w:left="320" w:top="536" w:right="379" w:bottom="1440" w:gutter="0" w:footer="0" w:header="0"/>
        </w:sectPr>
      </w:pPr>
    </w:p>
    <w:bookmarkStart w:id="3" w:name="page4"/>
    <w:bookmarkEnd w:id="3"/>
    <w:p>
      <w:pPr>
        <w:spacing w:after="0" w:line="1"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Shenandoah Telecommunications Company Reports Third Quarter 2026 Results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EDINBURG, Va., Oct. 28, 2026 (GLOBE NEWSWIRE) -- Shenandoah Telecommunications Company (“Shentel” or the “Company”) (Nasdaq: SHEN) announced third quarter 2026 financial and operating results.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Third Quarter 2026 Highlights</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Glo Fiber Expansion Markets revenue grew 32.2% year over year to $28.2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Total revenue increased 4.6% year over year to $93.9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5" w:lineRule="auto"/>
        <w:rPr>
          <w:sz w:val="20"/>
          <w:szCs w:val="20"/>
          <w:color w:val="auto"/>
        </w:rPr>
      </w:pPr>
      <w:r>
        <w:rPr>
          <w:rFonts w:ascii="Times New Roman" w:cs="Times New Roman" w:eastAsia="Times New Roman" w:hAnsi="Times New Roman"/>
          <w:sz w:val="22"/>
          <w:szCs w:val="22"/>
          <w:color w:val="auto"/>
        </w:rPr>
        <w:t>Net loss was $9.2 million compared to $9.4 million in the third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-107315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Adjusted EBITDA</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xml:space="preserve"> grew 11.8% year over year to $33.2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-174625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“We continue to see strong momentum across our fiber businesses, surpassing 500,000 Glo Fiber passings and delivering a record 8,600 Glo Fiber net additions in the third quarter,” said Ed McKay, President and CEO. “Fiber revenue grew nearly 20% and now represents 52% of total revenue, while Adjusted EBITDA increased 11.8%. With our major construction programs nearing completion, we are entering the next phase of our fiber-first strategy focused on customer growth, operating leverage and cash generation.”</w:t>
      </w:r>
    </w:p>
    <w:p>
      <w:pPr>
        <w:spacing w:after="0" w:line="17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Shentel’s third-quarter earnings conference call will be webcast at 8:30 a.m. ET on Wednesday, October 28, 2026. The webcast and related materials will be available on Shentel’s Investor Relations website at </w:t>
      </w:r>
      <w:r>
        <w:rPr>
          <w:rFonts w:ascii="Times New Roman" w:cs="Times New Roman" w:eastAsia="Times New Roman" w:hAnsi="Times New Roman"/>
          <w:sz w:val="22"/>
          <w:szCs w:val="22"/>
          <w:i w:val="1"/>
          <w:iCs w:val="1"/>
          <w:u w:val="single" w:color="auto"/>
          <w:color w:val="auto"/>
        </w:rPr>
        <w:t>https://investor.shentel.com/</w:t>
      </w:r>
      <w:r>
        <w:rPr>
          <w:rFonts w:ascii="Times New Roman" w:cs="Times New Roman" w:eastAsia="Times New Roman" w:hAnsi="Times New Roman"/>
          <w:sz w:val="22"/>
          <w:szCs w:val="22"/>
          <w:i w:val="1"/>
          <w:iCs w:val="1"/>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Third Quarter 2026 Results Compared with Third Quarter 2025</w:t>
      </w:r>
    </w:p>
    <w:p>
      <w:pPr>
        <w:spacing w:after="0" w:line="215" w:lineRule="exact"/>
        <w:rPr>
          <w:sz w:val="20"/>
          <w:szCs w:val="20"/>
          <w:color w:val="auto"/>
        </w:rPr>
      </w:pPr>
    </w:p>
    <w:p>
      <w:pPr>
        <w:jc w:val="both"/>
        <w:ind w:left="540"/>
        <w:spacing w:after="0" w:line="215" w:lineRule="auto"/>
        <w:rPr>
          <w:sz w:val="20"/>
          <w:szCs w:val="20"/>
          <w:color w:val="auto"/>
        </w:rPr>
      </w:pPr>
      <w:r>
        <w:rPr>
          <w:rFonts w:ascii="Times New Roman" w:cs="Times New Roman" w:eastAsia="Times New Roman" w:hAnsi="Times New Roman"/>
          <w:sz w:val="22"/>
          <w:szCs w:val="22"/>
          <w:b w:val="1"/>
          <w:bCs w:val="1"/>
          <w:color w:val="auto"/>
        </w:rPr>
        <w:t>Residential &amp; SMB - Glo Fiber Expansion Markets</w:t>
      </w:r>
      <w:r>
        <w:rPr>
          <w:rFonts w:ascii="Times New Roman" w:cs="Times New Roman" w:eastAsia="Times New Roman" w:hAnsi="Times New Roman"/>
          <w:sz w:val="35"/>
          <w:szCs w:val="35"/>
          <w:b w:val="1"/>
          <w:bCs w:val="1"/>
          <w:color w:val="auto"/>
          <w:vertAlign w:val="superscript"/>
        </w:rPr>
        <w:t>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revenue (30.0% of total) increased $6.9 million, or 32.2%,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primarily due to a 31.8% increase in data revenue generating units (“RGUs”) driven by the Company’s increase in penetration rates and increase in passings.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9" w:lineRule="exact"/>
        <w:rPr>
          <w:sz w:val="20"/>
          <w:szCs w:val="20"/>
          <w:color w:val="auto"/>
        </w:rPr>
      </w:pPr>
    </w:p>
    <w:p>
      <w:pPr>
        <w:jc w:val="both"/>
        <w:ind w:left="540"/>
        <w:spacing w:after="0" w:line="220" w:lineRule="auto"/>
        <w:rPr>
          <w:sz w:val="20"/>
          <w:szCs w:val="20"/>
          <w:color w:val="auto"/>
        </w:rPr>
      </w:pPr>
      <w:r>
        <w:rPr>
          <w:rFonts w:ascii="Times New Roman" w:cs="Times New Roman" w:eastAsia="Times New Roman" w:hAnsi="Times New Roman"/>
          <w:sz w:val="22"/>
          <w:szCs w:val="22"/>
          <w:b w:val="1"/>
          <w:bCs w:val="1"/>
          <w:color w:val="auto"/>
        </w:rPr>
        <w:t>Residential &amp; SMB - Incumbent Broadband Markets</w:t>
      </w:r>
      <w:r>
        <w:rPr>
          <w:rFonts w:ascii="Times New Roman" w:cs="Times New Roman" w:eastAsia="Times New Roman" w:hAnsi="Times New Roman"/>
          <w:sz w:val="35"/>
          <w:szCs w:val="35"/>
          <w:color w:val="auto"/>
          <w:vertAlign w:val="superscript"/>
        </w:rPr>
        <w:t>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revenue (41.6% of total) decreased $2.8 million, or 6.8%, due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lower video and data revenue. Video revenue declined due to a 13.0% decrease in video RGUs as customers switched to streaming video services. Data revenue declined primarily due to a 3.0% decline in data ARPU, driven in part by our rate card in markets where we face a fixed broadband competitor and in part due to our recently implemented rate card in lower demographic markets experiencing softer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-729615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jc w:val="both"/>
        <w:ind w:left="540" w:right="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Commercial Fiber </w:t>
      </w:r>
      <w:r>
        <w:rPr>
          <w:rFonts w:ascii="Times New Roman" w:cs="Times New Roman" w:eastAsia="Times New Roman" w:hAnsi="Times New Roman"/>
          <w:sz w:val="22"/>
          <w:szCs w:val="22"/>
          <w:color w:val="auto"/>
        </w:rPr>
        <w:t>revenue (22.5% of total) increased $1.2 million, or 5.9%, due to increases in recurring revenue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additional circuit services sold to both new and existing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0" w:lineRule="exact"/>
        <w:rPr>
          <w:sz w:val="20"/>
          <w:szCs w:val="20"/>
          <w:color w:val="auto"/>
        </w:rPr>
      </w:pPr>
    </w:p>
    <w:p>
      <w:pPr>
        <w:jc w:val="both"/>
        <w:ind w:left="540" w:right="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RLEC &amp; Other </w:t>
      </w:r>
      <w:r>
        <w:rPr>
          <w:rFonts w:ascii="Times New Roman" w:cs="Times New Roman" w:eastAsia="Times New Roman" w:hAnsi="Times New Roman"/>
          <w:sz w:val="22"/>
          <w:szCs w:val="22"/>
          <w:color w:val="auto"/>
        </w:rPr>
        <w:t>revenue (5.9% of total) decreased $1.1 million, or 16.1%, primarily due to a 35.5% decrease in DSL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RGUs and, to a lesser extent, a decrease in government support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0" w:lineRule="exact"/>
        <w:rPr>
          <w:sz w:val="20"/>
          <w:szCs w:val="20"/>
          <w:color w:val="auto"/>
        </w:rPr>
      </w:pPr>
    </w:p>
    <w:p>
      <w:pPr>
        <w:jc w:val="both"/>
        <w:ind w:left="54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Cost of services </w:t>
      </w:r>
      <w:r>
        <w:rPr>
          <w:rFonts w:ascii="Times New Roman" w:cs="Times New Roman" w:eastAsia="Times New Roman" w:hAnsi="Times New Roman"/>
          <w:sz w:val="22"/>
          <w:szCs w:val="22"/>
          <w:color w:val="auto"/>
        </w:rPr>
        <w:t>increased by $0.5 million, or 1.7%, partially due to increased building &amp; fleet maintenance and fuel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expenses as well as increased pole attachment rent expense from expansion of the Glo Fiber network and regulatory fees with the growth in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-426085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7" w:lineRule="exact"/>
        <w:rPr>
          <w:sz w:val="20"/>
          <w:szCs w:val="20"/>
          <w:color w:val="auto"/>
        </w:rPr>
      </w:pPr>
    </w:p>
    <w:p>
      <w:pPr>
        <w:jc w:val="both"/>
        <w:ind w:left="54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Selling, general and administrative expense </w:t>
      </w:r>
      <w:r>
        <w:rPr>
          <w:rFonts w:ascii="Times New Roman" w:cs="Times New Roman" w:eastAsia="Times New Roman" w:hAnsi="Times New Roman"/>
          <w:sz w:val="22"/>
          <w:szCs w:val="22"/>
          <w:color w:val="auto"/>
        </w:rPr>
        <w:t>decreased by $0.6 million, or (2.1)%. The decrease was partially due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lower advertising and stock compensation expense, offset in part by higher operating and property taxes, software maintenance expenses, and payroll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-426085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7" w:lineRule="exact"/>
        <w:rPr>
          <w:sz w:val="20"/>
          <w:szCs w:val="20"/>
          <w:color w:val="auto"/>
        </w:rPr>
      </w:pPr>
    </w:p>
    <w:p>
      <w:pPr>
        <w:jc w:val="both"/>
        <w:ind w:left="54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Restructuring, integration and acquisition expense </w:t>
      </w:r>
      <w:r>
        <w:rPr>
          <w:rFonts w:ascii="Times New Roman" w:cs="Times New Roman" w:eastAsia="Times New Roman" w:hAnsi="Times New Roman"/>
          <w:sz w:val="22"/>
          <w:szCs w:val="22"/>
          <w:color w:val="auto"/>
        </w:rPr>
        <w:t>decreased by $0.1 million. The decrease was primarily due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 fees incurred in the prior year that did not recur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0" w:lineRule="exact"/>
        <w:rPr>
          <w:sz w:val="20"/>
          <w:szCs w:val="20"/>
          <w:color w:val="auto"/>
        </w:rPr>
      </w:pPr>
    </w:p>
    <w:p>
      <w:pPr>
        <w:jc w:val="both"/>
        <w:ind w:left="54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Depreciation and amortization </w:t>
      </w:r>
      <w:r>
        <w:rPr>
          <w:rFonts w:ascii="Times New Roman" w:cs="Times New Roman" w:eastAsia="Times New Roman" w:hAnsi="Times New Roman"/>
          <w:sz w:val="22"/>
          <w:szCs w:val="22"/>
          <w:color w:val="auto"/>
        </w:rPr>
        <w:t>decreased by $0.8 million, or 2.3%. The decrease was primarily due to a $3.2 million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decline in write-offs, partially offset by new depreciation associated with assets placed in service as part of the continued expansion of the Glo Fiber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-426085</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Other Information</w:t>
      </w:r>
    </w:p>
    <w:p>
      <w:pPr>
        <w:spacing w:after="0" w:line="210" w:lineRule="exact"/>
        <w:rPr>
          <w:sz w:val="20"/>
          <w:szCs w:val="20"/>
          <w:color w:val="auto"/>
        </w:rPr>
      </w:pPr>
    </w:p>
    <w:p>
      <w:pPr>
        <w:jc w:val="both"/>
        <w:ind w:left="540"/>
        <w:spacing w:after="0" w:line="244" w:lineRule="auto"/>
        <w:rPr>
          <w:sz w:val="20"/>
          <w:szCs w:val="20"/>
          <w:color w:val="auto"/>
        </w:rPr>
      </w:pPr>
      <w:r>
        <w:rPr>
          <w:rFonts w:ascii="Times New Roman" w:cs="Times New Roman" w:eastAsia="Times New Roman" w:hAnsi="Times New Roman"/>
          <w:sz w:val="22"/>
          <w:szCs w:val="22"/>
          <w:color w:val="auto"/>
        </w:rPr>
        <w:t>Capital expenditures were $215.0 million for the nine months ended September 30, 2026, compared with $251.5 million for the nine months ended September 30, 2025. The $36.5 million decrease was primarily driven by the substantial completion of government grant construction projects in Incumbent Broadband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-424815</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jc w:val="both"/>
        <w:ind w:left="540"/>
        <w:spacing w:after="0" w:line="258" w:lineRule="auto"/>
        <w:rPr>
          <w:sz w:val="20"/>
          <w:szCs w:val="20"/>
          <w:color w:val="auto"/>
        </w:rPr>
      </w:pPr>
      <w:r>
        <w:rPr>
          <w:rFonts w:ascii="Times New Roman" w:cs="Times New Roman" w:eastAsia="Times New Roman" w:hAnsi="Times New Roman"/>
          <w:sz w:val="22"/>
          <w:szCs w:val="22"/>
          <w:color w:val="auto"/>
        </w:rPr>
        <w:t>The Company received $22.1 million and $39.9 million in government grant cash receipts (exclusive of indirect cost reimbursements) during the nine months ended September 30, 2026 and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jc w:val="both"/>
        <w:ind w:left="540"/>
        <w:spacing w:after="0" w:line="241" w:lineRule="auto"/>
        <w:rPr>
          <w:sz w:val="20"/>
          <w:szCs w:val="20"/>
          <w:color w:val="auto"/>
        </w:rPr>
      </w:pPr>
      <w:r>
        <w:rPr>
          <w:rFonts w:ascii="Times New Roman" w:cs="Times New Roman" w:eastAsia="Times New Roman" w:hAnsi="Times New Roman"/>
          <w:sz w:val="22"/>
          <w:szCs w:val="22"/>
          <w:color w:val="auto"/>
        </w:rPr>
        <w:t>As of September 30, 2026, the Company’s total available liquidity was $138.6 million, consisting of (i) unrestricted cash and cash equivalents totaling $18.6 million; (ii) restricted cash as required by the ABS Indenture totaling $27.0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firstLine="8"/>
        <w:spacing w:after="0" w:line="258" w:lineRule="auto"/>
        <w:tabs>
          <w:tab w:leader="none" w:pos="9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$49.8 million of availability under Shentel Broadband’s Revolving Credit Facility; (iv) $16.3 million under Shentel Issuer’s Variable Funding Note (“VFN”); and (v) an aggregate of $26.9 million remaining reimbursements available under</w:t>
      </w:r>
    </w:p>
    <w:p>
      <w:pPr>
        <w:sectPr>
          <w:pgSz w:w="11900" w:h="16840" w:orient="portrait"/>
          <w:cols w:equalWidth="0" w:num="1">
            <w:col w:w="11240"/>
          </w:cols>
          <w:pgMar w:left="320" w:top="108" w:right="339" w:bottom="0" w:gutter="0" w:footer="0" w:header="0"/>
        </w:sectPr>
      </w:pPr>
    </w:p>
    <w:bookmarkStart w:id="4" w:name="page5"/>
    <w:bookmarkEnd w:id="4"/>
    <w:p>
      <w:pPr>
        <w:jc w:val="both"/>
        <w:ind w:left="540"/>
        <w:spacing w:after="0"/>
        <w:rPr>
          <w:sz w:val="20"/>
          <w:szCs w:val="20"/>
          <w:color w:val="auto"/>
        </w:rPr>
      </w:pPr>
      <w:r>
        <w:rPr>
          <w:rFonts w:ascii="Times New Roman" w:cs="Times New Roman" w:eastAsia="Times New Roman" w:hAnsi="Times New Roman"/>
          <w:sz w:val="22"/>
          <w:szCs w:val="22"/>
          <w:color w:val="auto"/>
        </w:rPr>
        <w:t>government grants, subject to fulfilling the terms of the underlying agreements. In addition, the Company has $84.2 million of VFN commitments that are not available to draw as of September 30, 2026. The available capacity of the VFN will increase based on the secured fiber network revenue growth from the ABS Entities multiplied by (i) a margin as defined in the ABS Indenture and (ii) a 6.25x multiple.</w:t>
      </w:r>
    </w:p>
    <w:p>
      <w:pPr>
        <w:spacing w:after="0" w:line="177" w:lineRule="exact"/>
        <w:rPr>
          <w:sz w:val="20"/>
          <w:szCs w:val="20"/>
          <w:color w:val="auto"/>
        </w:rPr>
      </w:pPr>
    </w:p>
    <w:p>
      <w:pPr>
        <w:jc w:val="both"/>
        <w:ind w:left="540"/>
        <w:spacing w:after="0" w:line="235" w:lineRule="auto"/>
        <w:rPr>
          <w:sz w:val="20"/>
          <w:szCs w:val="20"/>
          <w:color w:val="auto"/>
        </w:rPr>
      </w:pPr>
      <w:r>
        <w:rPr>
          <w:rFonts w:ascii="Times New Roman" w:cs="Times New Roman" w:eastAsia="Times New Roman" w:hAnsi="Times New Roman"/>
          <w:sz w:val="22"/>
          <w:szCs w:val="22"/>
          <w:color w:val="auto"/>
        </w:rPr>
        <w:t>As previously reported, the Company announced a reduction in force of approximately 10% of its employees to align the business with the end of the Glo Fiber construction phase, which is expected to be substantially complete by the end of 2026. The Company expects to save approximately $12.3 million annually beginning in 2027 with approximately half of the savings impacting operating expenses and half impacting capitalized labor that is included in capital expenditures. The Company expects to incur approximately $2.5 million in restructuring costs to achieve these savings. During the nine months ended September 30, 2026, Shentel incurred $2.3 million in severance expense, included in restructuring, integration and acquisition expense in the condensed consolidated statements of operations, and made $0.5 million of severance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-1193165</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Updated 2026 Financial Outlook</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Revenue and Adjusted EBITDA guidance remain unchanged. The Company is updating its 2026 capital expenditure guidance, net of government grant reimbursements, to $255 million to $275 million, compared to its previous guidance of $220 million to $250 million. The revised outlook reflects both a projected increase in Glo Fiber homes passed from 510,000 to 517,000 by the end of 2026 as well as changes in the timing of some subsidy reimbursements, which are now projected to extend into 2027. The Company continues to expect to be substantially complete with its planned network expansion projects by the end of 2026.</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960" w:type="dxa"/>
            <w:vAlign w:val="bottom"/>
          </w:tcPr>
          <w:p>
            <w:pPr>
              <w:spacing w:after="0"/>
              <w:rPr>
                <w:sz w:val="22"/>
                <w:szCs w:val="22"/>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Year Ending</w:t>
            </w:r>
          </w:p>
        </w:tc>
        <w:tc>
          <w:tcPr>
            <w:tcW w:w="204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43"/>
        </w:trPr>
        <w:tc>
          <w:tcPr>
            <w:tcW w:w="5960" w:type="dxa"/>
            <w:vAlign w:val="bottom"/>
          </w:tcPr>
          <w:p>
            <w:pPr>
              <w:spacing w:after="0"/>
              <w:rPr>
                <w:sz w:val="21"/>
                <w:szCs w:val="21"/>
                <w:color w:val="auto"/>
              </w:rPr>
            </w:pP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December 31,</w:t>
            </w:r>
          </w:p>
        </w:tc>
        <w:tc>
          <w:tcPr>
            <w:tcW w:w="2040" w:type="dxa"/>
            <w:vAlign w:val="bottom"/>
          </w:tcPr>
          <w:p>
            <w:pPr>
              <w:jc w:val="center"/>
              <w:ind w:right="92"/>
              <w:spacing w:after="0" w:line="243" w:lineRule="exact"/>
              <w:rPr>
                <w:sz w:val="20"/>
                <w:szCs w:val="20"/>
                <w:color w:val="auto"/>
              </w:rPr>
            </w:pPr>
            <w:r>
              <w:rPr>
                <w:rFonts w:ascii="Times New Roman" w:cs="Times New Roman" w:eastAsia="Times New Roman" w:hAnsi="Times New Roman"/>
                <w:sz w:val="22"/>
                <w:szCs w:val="22"/>
                <w:b w:val="1"/>
                <w:bCs w:val="1"/>
                <w:color w:val="auto"/>
                <w:w w:val="95"/>
              </w:rPr>
              <w:t>Year Ended</w:t>
            </w:r>
          </w:p>
        </w:tc>
        <w:tc>
          <w:tcPr>
            <w:tcW w:w="1580" w:type="dxa"/>
            <w:vAlign w:val="bottom"/>
          </w:tcPr>
          <w:p>
            <w:pPr>
              <w:jc w:val="center"/>
              <w:ind w:righ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 Change</w:t>
            </w:r>
          </w:p>
        </w:tc>
      </w:tr>
      <w:tr>
        <w:trPr>
          <w:trHeight w:val="286"/>
        </w:trPr>
        <w:tc>
          <w:tcPr>
            <w:tcW w:w="5960" w:type="dxa"/>
            <w:vAlign w:val="bottom"/>
          </w:tcPr>
          <w:p>
            <w:pPr>
              <w:spacing w:after="0"/>
              <w:rPr>
                <w:sz w:val="24"/>
                <w:szCs w:val="24"/>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2026</w:t>
            </w:r>
          </w:p>
        </w:tc>
        <w:tc>
          <w:tcPr>
            <w:tcW w:w="204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December 31</w:t>
            </w:r>
          </w:p>
        </w:tc>
        <w:tc>
          <w:tcPr>
            <w:tcW w:w="15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2025 to 202</w:t>
            </w:r>
          </w:p>
        </w:tc>
      </w:tr>
      <w:tr>
        <w:trPr>
          <w:trHeight w:val="265"/>
        </w:trPr>
        <w:tc>
          <w:tcPr>
            <w:tcW w:w="596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(dollars in millions)</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Guidance Range</w:t>
            </w:r>
          </w:p>
        </w:tc>
        <w:tc>
          <w:tcPr>
            <w:tcW w:w="20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2025</w:t>
            </w:r>
          </w:p>
        </w:tc>
        <w:tc>
          <w:tcPr>
            <w:tcW w:w="158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Midpoint</w:t>
            </w:r>
          </w:p>
        </w:tc>
      </w:tr>
      <w:tr>
        <w:trPr>
          <w:trHeight w:val="259"/>
        </w:trPr>
        <w:tc>
          <w:tcPr>
            <w:tcW w:w="5960" w:type="dxa"/>
            <w:vAlign w:val="bottom"/>
          </w:tcPr>
          <w:p>
            <w:pPr>
              <w:spacing w:after="0"/>
              <w:rPr>
                <w:sz w:val="20"/>
                <w:szCs w:val="20"/>
                <w:color w:val="auto"/>
              </w:rPr>
            </w:pPr>
            <w:r>
              <w:rPr>
                <w:rFonts w:ascii="Times New Roman" w:cs="Times New Roman" w:eastAsia="Times New Roman" w:hAnsi="Times New Roman"/>
                <w:sz w:val="22"/>
                <w:szCs w:val="22"/>
                <w:color w:val="auto"/>
              </w:rPr>
              <w:t>Total Revenue</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$370 - $377</w:t>
            </w:r>
          </w:p>
        </w:tc>
        <w:tc>
          <w:tcPr>
            <w:tcW w:w="20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$358</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15"/>
        </w:trPr>
        <w:tc>
          <w:tcPr>
            <w:tcW w:w="5960" w:type="dxa"/>
            <w:vAlign w:val="bottom"/>
          </w:tcPr>
          <w:p>
            <w:pPr>
              <w:spacing w:after="0" w:line="314" w:lineRule="exact"/>
              <w:rPr>
                <w:sz w:val="20"/>
                <w:szCs w:val="20"/>
                <w:color w:val="auto"/>
              </w:rPr>
            </w:pPr>
            <w:r>
              <w:rPr>
                <w:rFonts w:ascii="Times New Roman" w:cs="Times New Roman" w:eastAsia="Times New Roman" w:hAnsi="Times New Roman"/>
                <w:sz w:val="22"/>
                <w:szCs w:val="22"/>
                <w:color w:val="auto"/>
              </w:rPr>
              <w:t>Adjusted EBITDA</w:t>
            </w:r>
            <w:r>
              <w:rPr>
                <w:rFonts w:ascii="Times New Roman" w:cs="Times New Roman" w:eastAsia="Times New Roman" w:hAnsi="Times New Roman"/>
                <w:sz w:val="35"/>
                <w:szCs w:val="35"/>
                <w:color w:val="auto"/>
                <w:vertAlign w:val="superscript"/>
              </w:rPr>
              <w:t>1</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$131 - $136</w:t>
            </w:r>
          </w:p>
        </w:tc>
        <w:tc>
          <w:tcPr>
            <w:tcW w:w="20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$119</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w:t>
            </w:r>
          </w:p>
        </w:tc>
      </w:tr>
      <w:tr>
        <w:trPr>
          <w:trHeight w:val="282"/>
        </w:trPr>
        <w:tc>
          <w:tcPr>
            <w:tcW w:w="5960" w:type="dxa"/>
            <w:vAlign w:val="bottom"/>
          </w:tcPr>
          <w:p>
            <w:pPr>
              <w:spacing w:after="0"/>
              <w:rPr>
                <w:sz w:val="20"/>
                <w:szCs w:val="20"/>
                <w:color w:val="auto"/>
              </w:rPr>
            </w:pPr>
            <w:r>
              <w:rPr>
                <w:rFonts w:ascii="Times New Roman" w:cs="Times New Roman" w:eastAsia="Times New Roman" w:hAnsi="Times New Roman"/>
                <w:sz w:val="22"/>
                <w:szCs w:val="22"/>
                <w:color w:val="auto"/>
              </w:rPr>
              <w:t>Capital Expenditures, net of government grant reimbursements</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$255 - $275</w:t>
            </w:r>
          </w:p>
        </w:tc>
        <w:tc>
          <w:tcPr>
            <w:tcW w:w="20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$296</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w:t>
            </w: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Further clarification and explanation of this non-GAAP measure can be found in the “Non-GAAP Financial Measures” section of this release below.</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2026 financial guidance presented above does not reflect any assumptions regarding the potential impacts of ongoing global geopolitical conflicts or the evolving tariff environment. The Company does not provide a reconciliation for Adjusted EBITDA forecasts (which represent forecasts of a non-GAAP financial measure) because it cannot predict the special items that could arise without unreasonable effort.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Earnings Call Webcast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Wednesday, October 28, 2026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 8:30 a.m. ET</w:t>
      </w:r>
    </w:p>
    <w:p>
      <w:pPr>
        <w:spacing w:after="0" w:line="230" w:lineRule="auto"/>
        <w:rPr>
          <w:sz w:val="20"/>
          <w:szCs w:val="20"/>
          <w:color w:val="auto"/>
        </w:rPr>
      </w:pPr>
      <w:r>
        <w:rPr>
          <w:rFonts w:ascii="Times New Roman" w:cs="Times New Roman" w:eastAsia="Times New Roman" w:hAnsi="Times New Roman"/>
          <w:sz w:val="22"/>
          <w:szCs w:val="22"/>
          <w:color w:val="auto"/>
        </w:rPr>
        <w:t>Listen via Internet: https://investor.shentel.com/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 Analysts, please register to dial in at this </w:t>
      </w:r>
      <w:r>
        <w:rPr>
          <w:rFonts w:ascii="Times New Roman" w:cs="Times New Roman" w:eastAsia="Times New Roman" w:hAnsi="Times New Roman"/>
          <w:sz w:val="22"/>
          <w:szCs w:val="22"/>
          <w:u w:val="single" w:color="auto"/>
          <w:color w:val="auto"/>
        </w:rPr>
        <w:t>link</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ind w:right="1480"/>
        <w:spacing w:after="0" w:line="435" w:lineRule="auto"/>
        <w:rPr>
          <w:sz w:val="20"/>
          <w:szCs w:val="20"/>
          <w:color w:val="auto"/>
        </w:rPr>
      </w:pPr>
      <w:r>
        <w:rPr>
          <w:rFonts w:ascii="Times New Roman" w:cs="Times New Roman" w:eastAsia="Times New Roman" w:hAnsi="Times New Roman"/>
          <w:sz w:val="22"/>
          <w:szCs w:val="22"/>
          <w:color w:val="auto"/>
        </w:rPr>
        <w:t xml:space="preserve">A replay of the call will be available for a limited time on the Investor Relations page of the Company’s website. </w:t>
      </w:r>
      <w:r>
        <w:rPr>
          <w:rFonts w:ascii="Times New Roman" w:cs="Times New Roman" w:eastAsia="Times New Roman" w:hAnsi="Times New Roman"/>
          <w:sz w:val="22"/>
          <w:szCs w:val="22"/>
          <w:b w:val="1"/>
          <w:bCs w:val="1"/>
          <w:color w:val="auto"/>
        </w:rPr>
        <w:t>About Shenandoah Telecommunications</w:t>
      </w:r>
    </w:p>
    <w:p>
      <w:pPr>
        <w:spacing w:after="0" w:line="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Shenandoah Telecommunications Company (Shentel) provides broadband services through its high speed, state-of-the-art fiber optic and cable networks to residential and commercial customers in eight contiguous states in the eastern United States. The Company’s services include: broadband internet, video, voice, high-speed Ethernet, dedicated internet access, dark fiber leasing, and managed network services. The Company owns an extensive regional network with over 20,000 route miles of fiber. For more information, please visit www.shentel.com.</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i w:val="1"/>
          <w:iCs w:val="1"/>
          <w:color w:val="auto"/>
        </w:rPr>
        <w:t>This release contains forward-looking statements and projections about Shentel regarding, among other things, its business strategy, its prospects and its financial position. These statements can be identified by the use of forward-looking terminology such as “believes,” “estimates,” “expects,” “intends,” “may,” “will,” “plans,” “should,” “could,” or “anticipates” or the negative or other variation of these or similar words, or by discussions of strategy or risks and uncertainties. The forward-looking statements are based upon management’s beliefs, assumptions and current expectations and may include comments as to Shentel’s beliefs and expectations as to future events and trends affecting its business that are necessarily subject to uncertainties, many of which are outside Shentel’s control. Although management believes that the expectations reflected in the forward-looking statements are reasonable, forward-looking statements are not, and should not be relied upon as, a guarantee of future performance or results, nor will they necessarily prove to be accurate indications of the times at which such performance or results will be achieved, and actual results may differ materially from those contained in or implied by the forward-looking statements as a result of various factors. A discussion of other factors that may cause actual results to differ from management’s projections, forecasts, estimates and expectations is available in Shentel’s filings with the Securities and Exchange Commission, including our Annual Report on Form 10-K for the year ended December 31, 2025 and our Quarterly Reports on Form 10-Q. Those factors may include, among others, changes in overall economic conditions including ongoing geopolitical conflicts, rising</w:t>
      </w:r>
    </w:p>
    <w:p>
      <w:pPr>
        <w:sectPr>
          <w:pgSz w:w="11900" w:h="16838" w:orient="portrait"/>
          <w:cols w:equalWidth="0" w:num="1">
            <w:col w:w="11240"/>
          </w:cols>
          <w:pgMar w:left="320" w:top="112" w:right="339" w:bottom="0" w:gutter="0" w:footer="0" w:header="0"/>
        </w:sectPr>
      </w:pPr>
    </w:p>
    <w:bookmarkStart w:id="5" w:name="page6"/>
    <w:bookmarkEnd w:id="5"/>
    <w:p>
      <w:pPr>
        <w:spacing w:after="0" w:line="8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i w:val="1"/>
          <w:iCs w:val="1"/>
          <w:color w:val="auto"/>
        </w:rPr>
        <w:t>inflation, changes in tariffs, new or changing regulatory requirements, uncertainty arising from U.S. government budgetary, funding, regulatory, administrative, or policy developments changes in technologies, changes in competition, changing demand for our products and services, our ability to execute our business strategies, availability of labor resources and capital, natural disasters, pandemics and outbreaks of contagious diseases and other adverse public health developments, and other conditions. The forward-looking statements included are made only as of the date of the statement. Shentel undertakes no obligation to revise or update such statements to reflect current events or circumstances after the date hereof, or to reflect the occurrence of unanticipated events, except as required by law.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Shenandoah Telecommunications Company</w:t>
      </w:r>
    </w:p>
    <w:p>
      <w:pPr>
        <w:spacing w:after="0" w:line="230" w:lineRule="auto"/>
        <w:rPr>
          <w:sz w:val="20"/>
          <w:szCs w:val="20"/>
          <w:color w:val="auto"/>
        </w:rPr>
      </w:pPr>
      <w:r>
        <w:rPr>
          <w:rFonts w:ascii="Times New Roman" w:cs="Times New Roman" w:eastAsia="Times New Roman" w:hAnsi="Times New Roman"/>
          <w:sz w:val="22"/>
          <w:szCs w:val="22"/>
          <w:color w:val="auto"/>
        </w:rPr>
        <w:t>Lucas Binder</w:t>
      </w:r>
    </w:p>
    <w:p>
      <w:pPr>
        <w:spacing w:after="0" w:line="231" w:lineRule="auto"/>
        <w:rPr>
          <w:sz w:val="20"/>
          <w:szCs w:val="20"/>
          <w:color w:val="auto"/>
        </w:rPr>
      </w:pPr>
      <w:r>
        <w:rPr>
          <w:rFonts w:ascii="Times New Roman" w:cs="Times New Roman" w:eastAsia="Times New Roman" w:hAnsi="Times New Roman"/>
          <w:sz w:val="22"/>
          <w:szCs w:val="22"/>
          <w:color w:val="auto"/>
        </w:rPr>
        <w:t>Vice President of Corporate Finance</w:t>
      </w:r>
    </w:p>
    <w:p>
      <w:pPr>
        <w:spacing w:after="0" w:line="230" w:lineRule="auto"/>
        <w:rPr>
          <w:sz w:val="20"/>
          <w:szCs w:val="20"/>
          <w:color w:val="auto"/>
        </w:rPr>
      </w:pPr>
      <w:r>
        <w:rPr>
          <w:rFonts w:ascii="Times New Roman" w:cs="Times New Roman" w:eastAsia="Times New Roman" w:hAnsi="Times New Roman"/>
          <w:sz w:val="22"/>
          <w:szCs w:val="22"/>
          <w:color w:val="auto"/>
        </w:rPr>
        <w:t>540-984-4800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Lucas.Binder@emp.shentel.com</w:t>
      </w:r>
    </w:p>
    <w:p>
      <w:pPr>
        <w:spacing w:after="0" w:line="192" w:lineRule="exact"/>
        <w:rPr>
          <w:sz w:val="20"/>
          <w:szCs w:val="20"/>
          <w:color w:val="auto"/>
        </w:rPr>
      </w:pPr>
    </w:p>
    <w:p>
      <w:pPr>
        <w:ind w:left="20" w:right="3400"/>
        <w:spacing w:after="0" w:line="276" w:lineRule="auto"/>
        <w:rPr>
          <w:sz w:val="20"/>
          <w:szCs w:val="20"/>
          <w:color w:val="auto"/>
        </w:rPr>
      </w:pPr>
      <w:r>
        <w:rPr>
          <w:rFonts w:ascii="Times New Roman" w:cs="Times New Roman" w:eastAsia="Times New Roman" w:hAnsi="Times New Roman"/>
          <w:sz w:val="21"/>
          <w:szCs w:val="21"/>
          <w:b w:val="1"/>
          <w:bCs w:val="1"/>
          <w:color w:val="auto"/>
        </w:rPr>
        <w:t>SHENANDOAH TELECOMMUNICATIONS COMPANY AND SUBSIDIARIES UNAUDITED CONDENSED CONSOLIDATED STATEMENTS OF OPERATIONS</w:t>
      </w:r>
    </w:p>
    <w:tbl>
      <w:tblPr>
        <w:tblLayout w:type="fixed"/>
        <w:tblInd w:w="20" w:type="dxa"/>
        <w:tblCellMar>
          <w:top w:w="0" w:type="dxa"/>
          <w:left w:w="0" w:type="dxa"/>
          <w:bottom w:w="0" w:type="dxa"/>
          <w:right w:w="0" w:type="dxa"/>
        </w:tblCellMar>
      </w:tblPr>
      <w:tr>
        <w:trPr>
          <w:trHeight w:val="228"/>
        </w:trPr>
        <w:tc>
          <w:tcPr>
            <w:tcW w:w="5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20" w:type="dxa"/>
            <w:vAlign w:val="bottom"/>
            <w:gridSpan w:val="5"/>
          </w:tcPr>
          <w:p>
            <w:pPr>
              <w:jc w:val="center"/>
              <w:ind w:right="420"/>
              <w:spacing w:after="0" w:line="227" w:lineRule="exact"/>
              <w:rPr>
                <w:sz w:val="20"/>
                <w:szCs w:val="20"/>
                <w:color w:val="auto"/>
              </w:rPr>
            </w:pPr>
            <w:r>
              <w:rPr>
                <w:rFonts w:ascii="Times New Roman" w:cs="Times New Roman" w:eastAsia="Times New Roman" w:hAnsi="Times New Roman"/>
                <w:sz w:val="22"/>
                <w:szCs w:val="22"/>
                <w:b w:val="1"/>
                <w:bCs w:val="1"/>
                <w:color w:val="auto"/>
                <w:w w:val="97"/>
              </w:rPr>
              <w:t>Three Months Ended</w:t>
            </w:r>
          </w:p>
        </w:tc>
        <w:tc>
          <w:tcPr>
            <w:tcW w:w="320" w:type="dxa"/>
            <w:vAlign w:val="bottom"/>
          </w:tcPr>
          <w:p>
            <w:pPr>
              <w:spacing w:after="0"/>
              <w:rPr>
                <w:sz w:val="19"/>
                <w:szCs w:val="19"/>
                <w:color w:val="auto"/>
              </w:rPr>
            </w:pPr>
          </w:p>
        </w:tc>
        <w:tc>
          <w:tcPr>
            <w:tcW w:w="2700" w:type="dxa"/>
            <w:vAlign w:val="bottom"/>
            <w:gridSpan w:val="4"/>
          </w:tcPr>
          <w:p>
            <w:pPr>
              <w:jc w:val="right"/>
              <w:ind w:right="472"/>
              <w:spacing w:after="0" w:line="227" w:lineRule="exact"/>
              <w:rPr>
                <w:sz w:val="20"/>
                <w:szCs w:val="20"/>
                <w:color w:val="auto"/>
              </w:rPr>
            </w:pPr>
            <w:r>
              <w:rPr>
                <w:rFonts w:ascii="Times New Roman" w:cs="Times New Roman" w:eastAsia="Times New Roman" w:hAnsi="Times New Roman"/>
                <w:sz w:val="22"/>
                <w:szCs w:val="22"/>
                <w:b w:val="1"/>
                <w:bCs w:val="1"/>
                <w:color w:val="auto"/>
              </w:rPr>
              <w:t>Nine Months Ended</w:t>
            </w:r>
          </w:p>
        </w:tc>
        <w:tc>
          <w:tcPr>
            <w:tcW w:w="0" w:type="dxa"/>
            <w:vAlign w:val="bottom"/>
          </w:tcPr>
          <w:p>
            <w:pPr>
              <w:spacing w:after="0"/>
              <w:rPr>
                <w:sz w:val="1"/>
                <w:szCs w:val="1"/>
                <w:color w:val="auto"/>
              </w:rPr>
            </w:pPr>
          </w:p>
        </w:tc>
      </w:tr>
      <w:tr>
        <w:trPr>
          <w:trHeight w:val="287"/>
        </w:trPr>
        <w:tc>
          <w:tcPr>
            <w:tcW w:w="506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(in thousands, except per share amounts)</w:t>
            </w:r>
          </w:p>
        </w:tc>
        <w:tc>
          <w:tcPr>
            <w:tcW w:w="320" w:type="dxa"/>
            <w:vAlign w:val="bottom"/>
          </w:tcPr>
          <w:p>
            <w:pPr>
              <w:spacing w:after="0"/>
              <w:rPr>
                <w:sz w:val="24"/>
                <w:szCs w:val="24"/>
                <w:color w:val="auto"/>
              </w:rPr>
            </w:pPr>
          </w:p>
        </w:tc>
        <w:tc>
          <w:tcPr>
            <w:tcW w:w="2820" w:type="dxa"/>
            <w:vAlign w:val="bottom"/>
            <w:gridSpan w:val="5"/>
          </w:tcPr>
          <w:p>
            <w:pPr>
              <w:jc w:val="center"/>
              <w:ind w:right="420"/>
              <w:spacing w:after="0"/>
              <w:rPr>
                <w:sz w:val="20"/>
                <w:szCs w:val="20"/>
                <w:color w:val="auto"/>
              </w:rPr>
            </w:pPr>
            <w:r>
              <w:rPr>
                <w:rFonts w:ascii="Times New Roman" w:cs="Times New Roman" w:eastAsia="Times New Roman" w:hAnsi="Times New Roman"/>
                <w:sz w:val="22"/>
                <w:szCs w:val="22"/>
                <w:b w:val="1"/>
                <w:bCs w:val="1"/>
                <w:color w:val="auto"/>
                <w:w w:val="98"/>
              </w:rPr>
              <w:t>September 30,</w:t>
            </w:r>
          </w:p>
        </w:tc>
        <w:tc>
          <w:tcPr>
            <w:tcW w:w="320" w:type="dxa"/>
            <w:vAlign w:val="bottom"/>
          </w:tcPr>
          <w:p>
            <w:pPr>
              <w:spacing w:after="0"/>
              <w:rPr>
                <w:sz w:val="24"/>
                <w:szCs w:val="24"/>
                <w:color w:val="auto"/>
              </w:rPr>
            </w:pPr>
          </w:p>
        </w:tc>
        <w:tc>
          <w:tcPr>
            <w:tcW w:w="2700" w:type="dxa"/>
            <w:vAlign w:val="bottom"/>
            <w:gridSpan w:val="4"/>
          </w:tcPr>
          <w:p>
            <w:pPr>
              <w:jc w:val="right"/>
              <w:ind w:right="752"/>
              <w:spacing w:after="0"/>
              <w:rPr>
                <w:sz w:val="20"/>
                <w:szCs w:val="20"/>
                <w:color w:val="auto"/>
              </w:rPr>
            </w:pPr>
            <w:r>
              <w:rPr>
                <w:rFonts w:ascii="Times New Roman" w:cs="Times New Roman" w:eastAsia="Times New Roman" w:hAnsi="Times New Roman"/>
                <w:sz w:val="22"/>
                <w:szCs w:val="22"/>
                <w:b w:val="1"/>
                <w:bCs w:val="1"/>
                <w:color w:val="auto"/>
              </w:rPr>
              <w:t>September 30,</w:t>
            </w:r>
          </w:p>
        </w:tc>
        <w:tc>
          <w:tcPr>
            <w:tcW w:w="0" w:type="dxa"/>
            <w:vAlign w:val="bottom"/>
          </w:tcPr>
          <w:p>
            <w:pPr>
              <w:spacing w:after="0"/>
              <w:rPr>
                <w:sz w:val="1"/>
                <w:szCs w:val="1"/>
                <w:color w:val="auto"/>
              </w:rPr>
            </w:pPr>
          </w:p>
        </w:tc>
      </w:tr>
      <w:tr>
        <w:trPr>
          <w:trHeight w:val="264"/>
        </w:trPr>
        <w:tc>
          <w:tcPr>
            <w:tcW w:w="5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Residential &amp; SMB - Incumbent Broadband Markets</w:t>
            </w:r>
            <w:r>
              <w:rPr>
                <w:rFonts w:ascii="Times New Roman" w:cs="Times New Roman" w:eastAsia="Times New Roman" w:hAnsi="Times New Roman"/>
                <w:sz w:val="35"/>
                <w:szCs w:val="35"/>
                <w:color w:val="auto"/>
                <w:vertAlign w:val="superscript"/>
              </w:rPr>
              <w:t>1</w:t>
            </w: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0" w:type="dxa"/>
            <w:vAlign w:val="bottom"/>
          </w:tcPr>
          <w:p>
            <w:pPr>
              <w:spacing w:after="0"/>
              <w:rPr>
                <w:sz w:val="1"/>
                <w:szCs w:val="1"/>
                <w:color w:val="auto"/>
              </w:rPr>
            </w:pPr>
          </w:p>
        </w:tc>
      </w:tr>
      <w:tr>
        <w:trPr>
          <w:trHeight w:val="299"/>
        </w:trPr>
        <w:tc>
          <w:tcPr>
            <w:tcW w:w="5060" w:type="dxa"/>
            <w:vAlign w:val="bottom"/>
            <w:vMerge w:val="continue"/>
          </w:tcPr>
          <w:p>
            <w:pPr>
              <w:spacing w:after="0"/>
              <w:rPr>
                <w:sz w:val="24"/>
                <w:szCs w:val="24"/>
                <w:color w:val="auto"/>
              </w:rPr>
            </w:pP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39,103</w:t>
            </w:r>
          </w:p>
        </w:tc>
        <w:tc>
          <w:tcPr>
            <w:tcW w:w="100" w:type="dxa"/>
            <w:vAlign w:val="bottom"/>
          </w:tcPr>
          <w:p>
            <w:pPr>
              <w:spacing w:after="0"/>
              <w:rPr>
                <w:sz w:val="24"/>
                <w:szCs w:val="24"/>
                <w:color w:val="auto"/>
              </w:rPr>
            </w:pP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41,935</w:t>
            </w:r>
          </w:p>
        </w:tc>
        <w:tc>
          <w:tcPr>
            <w:tcW w:w="120" w:type="dxa"/>
            <w:vAlign w:val="bottom"/>
          </w:tcPr>
          <w:p>
            <w:pPr>
              <w:spacing w:after="0"/>
              <w:rPr>
                <w:sz w:val="24"/>
                <w:szCs w:val="24"/>
                <w:color w:val="auto"/>
              </w:rPr>
            </w:pP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120,528</w:t>
            </w:r>
          </w:p>
        </w:tc>
        <w:tc>
          <w:tcPr>
            <w:tcW w:w="100" w:type="dxa"/>
            <w:vAlign w:val="bottom"/>
          </w:tcPr>
          <w:p>
            <w:pPr>
              <w:spacing w:after="0"/>
              <w:rPr>
                <w:sz w:val="24"/>
                <w:szCs w:val="24"/>
                <w:color w:val="auto"/>
              </w:rPr>
            </w:pP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128,131</w:t>
            </w:r>
          </w:p>
        </w:tc>
        <w:tc>
          <w:tcPr>
            <w:tcW w:w="0" w:type="dxa"/>
            <w:vAlign w:val="bottom"/>
          </w:tcPr>
          <w:p>
            <w:pPr>
              <w:spacing w:after="0"/>
              <w:rPr>
                <w:sz w:val="1"/>
                <w:szCs w:val="1"/>
                <w:color w:val="auto"/>
              </w:rPr>
            </w:pPr>
          </w:p>
        </w:tc>
      </w:tr>
      <w:tr>
        <w:trPr>
          <w:trHeight w:val="315"/>
        </w:trPr>
        <w:tc>
          <w:tcPr>
            <w:tcW w:w="5060" w:type="dxa"/>
            <w:vAlign w:val="bottom"/>
          </w:tcPr>
          <w:p>
            <w:pPr>
              <w:spacing w:after="0" w:line="314" w:lineRule="exact"/>
              <w:rPr>
                <w:sz w:val="20"/>
                <w:szCs w:val="20"/>
                <w:color w:val="auto"/>
              </w:rPr>
            </w:pPr>
            <w:r>
              <w:rPr>
                <w:rFonts w:ascii="Times New Roman" w:cs="Times New Roman" w:eastAsia="Times New Roman" w:hAnsi="Times New Roman"/>
                <w:sz w:val="22"/>
                <w:szCs w:val="22"/>
                <w:color w:val="auto"/>
              </w:rPr>
              <w:t>Residential &amp; SMB - Glo Fiber Expansion Markets</w:t>
            </w:r>
            <w:r>
              <w:rPr>
                <w:rFonts w:ascii="Times New Roman" w:cs="Times New Roman" w:eastAsia="Times New Roman" w:hAnsi="Times New Roman"/>
                <w:sz w:val="35"/>
                <w:szCs w:val="35"/>
                <w:color w:val="auto"/>
                <w:vertAlign w:val="superscript"/>
              </w:rPr>
              <w:t>2</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28,166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21,305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79,283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59,545</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Commercial Fiber</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21,126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19,957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63,054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59,052</w:t>
            </w:r>
          </w:p>
        </w:tc>
        <w:tc>
          <w:tcPr>
            <w:tcW w:w="0" w:type="dxa"/>
            <w:vAlign w:val="bottom"/>
          </w:tcPr>
          <w:p>
            <w:pPr>
              <w:spacing w:after="0"/>
              <w:rPr>
                <w:sz w:val="1"/>
                <w:szCs w:val="1"/>
                <w:color w:val="auto"/>
              </w:rPr>
            </w:pPr>
          </w:p>
        </w:tc>
      </w:tr>
      <w:tr>
        <w:trPr>
          <w:trHeight w:val="282"/>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RLEC &amp; Other</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5,539</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6,599</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16,684</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19,534</w:t>
            </w:r>
          </w:p>
        </w:tc>
        <w:tc>
          <w:tcPr>
            <w:tcW w:w="0" w:type="dxa"/>
            <w:vAlign w:val="bottom"/>
          </w:tcPr>
          <w:p>
            <w:pPr>
              <w:spacing w:after="0"/>
              <w:rPr>
                <w:sz w:val="1"/>
                <w:szCs w:val="1"/>
                <w:color w:val="auto"/>
              </w:rPr>
            </w:pPr>
          </w:p>
        </w:tc>
      </w:tr>
      <w:tr>
        <w:trPr>
          <w:trHeight w:val="265"/>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Service revenue and other</w:t>
            </w: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93,934</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89,796</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279,549</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266,262</w:t>
            </w:r>
          </w:p>
        </w:tc>
        <w:tc>
          <w:tcPr>
            <w:tcW w:w="0" w:type="dxa"/>
            <w:vAlign w:val="bottom"/>
          </w:tcPr>
          <w:p>
            <w:pPr>
              <w:spacing w:after="0"/>
              <w:rPr>
                <w:sz w:val="1"/>
                <w:szCs w:val="1"/>
                <w:color w:val="auto"/>
              </w:rPr>
            </w:pPr>
          </w:p>
        </w:tc>
      </w:tr>
      <w:tr>
        <w:trPr>
          <w:trHeight w:val="250"/>
        </w:trPr>
        <w:tc>
          <w:tcPr>
            <w:tcW w:w="506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Operating expenses: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Cost of services, exclusive of depreciation and</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amortization</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32,919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32,384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97,446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98,038</w:t>
            </w: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Selling, general and administrative</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29,153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29,791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93,562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90,526</w:t>
            </w: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Restructuring, integration and acquisition</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2,726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1,009</w:t>
            </w:r>
          </w:p>
        </w:tc>
        <w:tc>
          <w:tcPr>
            <w:tcW w:w="0" w:type="dxa"/>
            <w:vAlign w:val="bottom"/>
          </w:tcPr>
          <w:p>
            <w:pPr>
              <w:spacing w:after="0"/>
              <w:rPr>
                <w:sz w:val="1"/>
                <w:szCs w:val="1"/>
                <w:color w:val="auto"/>
              </w:rPr>
            </w:pPr>
          </w:p>
        </w:tc>
      </w:tr>
      <w:tr>
        <w:trPr>
          <w:trHeight w:val="282"/>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Depreciation and amortization</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33,687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34,492</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99,277</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99,053</w:t>
            </w:r>
          </w:p>
        </w:tc>
        <w:tc>
          <w:tcPr>
            <w:tcW w:w="0" w:type="dxa"/>
            <w:vAlign w:val="bottom"/>
          </w:tcPr>
          <w:p>
            <w:pPr>
              <w:spacing w:after="0"/>
              <w:rPr>
                <w:sz w:val="1"/>
                <w:szCs w:val="1"/>
                <w:color w:val="auto"/>
              </w:rPr>
            </w:pPr>
          </w:p>
        </w:tc>
      </w:tr>
      <w:tr>
        <w:trPr>
          <w:trHeight w:val="265"/>
        </w:trPr>
        <w:tc>
          <w:tcPr>
            <w:tcW w:w="5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Total operating expenses</w:t>
            </w: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95,911</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96,960</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293,011</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288,626</w:t>
            </w:r>
          </w:p>
        </w:tc>
        <w:tc>
          <w:tcPr>
            <w:tcW w:w="0" w:type="dxa"/>
            <w:vAlign w:val="bottom"/>
          </w:tcPr>
          <w:p>
            <w:pPr>
              <w:spacing w:after="0"/>
              <w:rPr>
                <w:sz w:val="1"/>
                <w:szCs w:val="1"/>
                <w:color w:val="auto"/>
              </w:rPr>
            </w:pPr>
          </w:p>
        </w:tc>
      </w:tr>
      <w:tr>
        <w:trPr>
          <w:trHeight w:val="263"/>
        </w:trPr>
        <w:tc>
          <w:tcPr>
            <w:tcW w:w="5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Operating loss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(1,977)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(7,164)</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(13,462)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(22,364)</w:t>
            </w:r>
          </w:p>
        </w:tc>
        <w:tc>
          <w:tcPr>
            <w:tcW w:w="0" w:type="dxa"/>
            <w:vAlign w:val="bottom"/>
          </w:tcPr>
          <w:p>
            <w:pPr>
              <w:spacing w:after="0"/>
              <w:rPr>
                <w:sz w:val="1"/>
                <w:szCs w:val="1"/>
                <w:color w:val="auto"/>
              </w:rPr>
            </w:pPr>
          </w:p>
        </w:tc>
      </w:tr>
      <w:tr>
        <w:trPr>
          <w:trHeight w:val="250"/>
        </w:trPr>
        <w:tc>
          <w:tcPr>
            <w:tcW w:w="506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Other (expense) income:</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 expense</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(10,497)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(6,789)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(29,628)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(17,684)</w:t>
            </w:r>
          </w:p>
        </w:tc>
        <w:tc>
          <w:tcPr>
            <w:tcW w:w="0" w:type="dxa"/>
            <w:vAlign w:val="bottom"/>
          </w:tcPr>
          <w:p>
            <w:pPr>
              <w:spacing w:after="0"/>
              <w:rPr>
                <w:sz w:val="1"/>
                <w:szCs w:val="1"/>
                <w:color w:val="auto"/>
              </w:rPr>
            </w:pPr>
          </w:p>
        </w:tc>
      </w:tr>
      <w:tr>
        <w:trPr>
          <w:trHeight w:val="282"/>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income, net</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246</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1,589</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763</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5,337</w:t>
            </w:r>
          </w:p>
        </w:tc>
        <w:tc>
          <w:tcPr>
            <w:tcW w:w="0" w:type="dxa"/>
            <w:vAlign w:val="bottom"/>
          </w:tcPr>
          <w:p>
            <w:pPr>
              <w:spacing w:after="0"/>
              <w:rPr>
                <w:sz w:val="1"/>
                <w:szCs w:val="1"/>
                <w:color w:val="auto"/>
              </w:rPr>
            </w:pPr>
          </w:p>
        </w:tc>
      </w:tr>
      <w:tr>
        <w:trPr>
          <w:trHeight w:val="251"/>
        </w:trPr>
        <w:tc>
          <w:tcPr>
            <w:tcW w:w="5060" w:type="dxa"/>
            <w:vAlign w:val="bottom"/>
          </w:tcPr>
          <w:p>
            <w:pPr>
              <w:ind w:left="260"/>
              <w:spacing w:after="0" w:line="251" w:lineRule="exact"/>
              <w:rPr>
                <w:sz w:val="20"/>
                <w:szCs w:val="20"/>
                <w:color w:val="auto"/>
              </w:rPr>
            </w:pPr>
            <w:r>
              <w:rPr>
                <w:rFonts w:ascii="Times New Roman" w:cs="Times New Roman" w:eastAsia="Times New Roman" w:hAnsi="Times New Roman"/>
                <w:sz w:val="22"/>
                <w:szCs w:val="22"/>
                <w:color w:val="auto"/>
              </w:rPr>
              <w:t>Loss before income taxes</w:t>
            </w:r>
          </w:p>
        </w:tc>
        <w:tc>
          <w:tcPr>
            <w:tcW w:w="320" w:type="dxa"/>
            <w:vAlign w:val="bottom"/>
          </w:tcPr>
          <w:p>
            <w:pPr>
              <w:spacing w:after="0"/>
              <w:rPr>
                <w:sz w:val="21"/>
                <w:szCs w:val="21"/>
                <w:color w:val="auto"/>
              </w:rPr>
            </w:pPr>
          </w:p>
        </w:tc>
        <w:tc>
          <w:tcPr>
            <w:tcW w:w="11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(12,228)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(12,364)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(42,327)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(34,711)</w:t>
            </w:r>
          </w:p>
        </w:tc>
        <w:tc>
          <w:tcPr>
            <w:tcW w:w="0" w:type="dxa"/>
            <w:vAlign w:val="bottom"/>
          </w:tcPr>
          <w:p>
            <w:pPr>
              <w:spacing w:after="0"/>
              <w:rPr>
                <w:sz w:val="1"/>
                <w:szCs w:val="1"/>
                <w:color w:val="auto"/>
              </w:rPr>
            </w:pPr>
          </w:p>
        </w:tc>
      </w:tr>
      <w:tr>
        <w:trPr>
          <w:trHeight w:val="282"/>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(3,048)</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(2,974)</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(9,697)</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(7,141)</w:t>
            </w:r>
          </w:p>
        </w:tc>
        <w:tc>
          <w:tcPr>
            <w:tcW w:w="0" w:type="dxa"/>
            <w:vAlign w:val="bottom"/>
          </w:tcPr>
          <w:p>
            <w:pPr>
              <w:spacing w:after="0"/>
              <w:rPr>
                <w:sz w:val="1"/>
                <w:szCs w:val="1"/>
                <w:color w:val="auto"/>
              </w:rPr>
            </w:pPr>
          </w:p>
        </w:tc>
      </w:tr>
      <w:tr>
        <w:trPr>
          <w:trHeight w:val="251"/>
        </w:trPr>
        <w:tc>
          <w:tcPr>
            <w:tcW w:w="5060" w:type="dxa"/>
            <w:vAlign w:val="bottom"/>
          </w:tcPr>
          <w:p>
            <w:pPr>
              <w:ind w:left="120"/>
              <w:spacing w:after="0" w:line="251" w:lineRule="exact"/>
              <w:rPr>
                <w:sz w:val="20"/>
                <w:szCs w:val="20"/>
                <w:color w:val="auto"/>
              </w:rPr>
            </w:pPr>
            <w:r>
              <w:rPr>
                <w:rFonts w:ascii="Times New Roman" w:cs="Times New Roman" w:eastAsia="Times New Roman" w:hAnsi="Times New Roman"/>
                <w:sz w:val="22"/>
                <w:szCs w:val="22"/>
                <w:color w:val="auto"/>
              </w:rPr>
              <w:t>Net loss</w:t>
            </w:r>
          </w:p>
        </w:tc>
        <w:tc>
          <w:tcPr>
            <w:tcW w:w="320" w:type="dxa"/>
            <w:vAlign w:val="bottom"/>
          </w:tcPr>
          <w:p>
            <w:pPr>
              <w:spacing w:after="0"/>
              <w:rPr>
                <w:sz w:val="21"/>
                <w:szCs w:val="21"/>
                <w:color w:val="auto"/>
              </w:rPr>
            </w:pPr>
          </w:p>
        </w:tc>
        <w:tc>
          <w:tcPr>
            <w:tcW w:w="11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(9,180)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(9,390)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(32,630)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(27,570)</w:t>
            </w:r>
          </w:p>
        </w:tc>
        <w:tc>
          <w:tcPr>
            <w:tcW w:w="0" w:type="dxa"/>
            <w:vAlign w:val="bottom"/>
          </w:tcPr>
          <w:p>
            <w:pPr>
              <w:spacing w:after="0"/>
              <w:rPr>
                <w:sz w:val="1"/>
                <w:szCs w:val="1"/>
                <w:color w:val="auto"/>
              </w:rPr>
            </w:pPr>
          </w:p>
        </w:tc>
      </w:tr>
      <w:tr>
        <w:trPr>
          <w:trHeight w:val="282"/>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Dividends on redeemable noncontrolling interest</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1,633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1,523</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4,815</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4,492</w:t>
            </w:r>
          </w:p>
        </w:tc>
        <w:tc>
          <w:tcPr>
            <w:tcW w:w="0" w:type="dxa"/>
            <w:vAlign w:val="bottom"/>
          </w:tcPr>
          <w:p>
            <w:pPr>
              <w:spacing w:after="0"/>
              <w:rPr>
                <w:sz w:val="1"/>
                <w:szCs w:val="1"/>
                <w:color w:val="auto"/>
              </w:rPr>
            </w:pPr>
          </w:p>
        </w:tc>
      </w:tr>
      <w:tr>
        <w:trPr>
          <w:trHeight w:val="265"/>
        </w:trPr>
        <w:tc>
          <w:tcPr>
            <w:tcW w:w="5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Net loss attributable to common shareholders</w:t>
            </w: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(10,813)</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(10,913)</w:t>
            </w:r>
          </w:p>
        </w:tc>
        <w:tc>
          <w:tcPr>
            <w:tcW w:w="120" w:type="dxa"/>
            <w:vAlign w:val="bottom"/>
          </w:tcPr>
          <w:p>
            <w:pPr>
              <w:spacing w:after="0"/>
              <w:rPr>
                <w:sz w:val="23"/>
                <w:szCs w:val="23"/>
                <w:color w:val="auto"/>
              </w:rPr>
            </w:pP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(37,445)</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(32,062)</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Net loss per share attributable to common shareholders,</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50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basic and diluted:</w:t>
            </w: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 loss per share</w:t>
            </w: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(0.19)</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(0.20)</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(0.67)</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(0.58)</w:t>
            </w: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Weighted average shares outstanding</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55,814</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55,150</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55,715</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55,083</w:t>
            </w: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w:t>
      </w:r>
    </w:p>
    <w:p>
      <w:pPr>
        <w:spacing w:after="0" w:line="296" w:lineRule="exact"/>
        <w:rPr>
          <w:sz w:val="20"/>
          <w:szCs w:val="20"/>
          <w:color w:val="auto"/>
        </w:rPr>
      </w:pPr>
    </w:p>
    <w:p>
      <w:pPr>
        <w:jc w:val="both"/>
        <w:ind w:left="540" w:hanging="208"/>
        <w:spacing w:after="0"/>
        <w:tabs>
          <w:tab w:leader="none" w:pos="540" w:val="left"/>
        </w:tabs>
        <w:numPr>
          <w:ilvl w:val="0"/>
          <w:numId w:val="4"/>
        </w:numPr>
        <w:rPr>
          <w:rFonts w:ascii="Times New Roman" w:cs="Times New Roman" w:eastAsia="Times New Roman" w:hAnsi="Times New Roman"/>
          <w:sz w:val="41"/>
          <w:szCs w:val="41"/>
          <w:color w:val="auto"/>
          <w:vertAlign w:val="superscript"/>
        </w:rPr>
      </w:pPr>
      <w:r>
        <w:rPr>
          <w:rFonts w:ascii="Times New Roman" w:cs="Times New Roman" w:eastAsia="Times New Roman" w:hAnsi="Times New Roman"/>
          <w:sz w:val="17"/>
          <w:szCs w:val="17"/>
          <w:color w:val="auto"/>
        </w:rPr>
        <w:t>Revenue from residential and small and medium business (“SMB”) customers in Incumbent Broadband Markets is primarily earned through the Company’s provision of data, video and voice services over primarily hybrid fiber coaxial cable and to a lesser extent FTTH networks in incumbent markets.</w:t>
      </w:r>
    </w:p>
    <w:p>
      <w:pPr>
        <w:spacing w:after="0" w:line="224" w:lineRule="exact"/>
        <w:rPr>
          <w:rFonts w:ascii="Times New Roman" w:cs="Times New Roman" w:eastAsia="Times New Roman" w:hAnsi="Times New Roman"/>
          <w:sz w:val="41"/>
          <w:szCs w:val="41"/>
          <w:color w:val="auto"/>
          <w:vertAlign w:val="superscript"/>
        </w:rPr>
      </w:pPr>
    </w:p>
    <w:p>
      <w:pPr>
        <w:ind w:left="540" w:hanging="208"/>
        <w:spacing w:after="0" w:line="191" w:lineRule="auto"/>
        <w:tabs>
          <w:tab w:leader="none" w:pos="540" w:val="left"/>
        </w:tabs>
        <w:numPr>
          <w:ilvl w:val="0"/>
          <w:numId w:val="4"/>
        </w:numPr>
        <w:rPr>
          <w:rFonts w:ascii="Times New Roman" w:cs="Times New Roman" w:eastAsia="Times New Roman" w:hAnsi="Times New Roman"/>
          <w:sz w:val="41"/>
          <w:szCs w:val="41"/>
          <w:color w:val="auto"/>
          <w:vertAlign w:val="superscript"/>
        </w:rPr>
      </w:pPr>
      <w:r>
        <w:rPr>
          <w:rFonts w:ascii="Times New Roman" w:cs="Times New Roman" w:eastAsia="Times New Roman" w:hAnsi="Times New Roman"/>
          <w:sz w:val="17"/>
          <w:szCs w:val="17"/>
          <w:color w:val="auto"/>
        </w:rPr>
        <w:t>Revenue from residential and SMB customers in Glo Fiber Expansion Markets is primarily earned through the Company’s provision of data, video and voice services over FTTH networks in new greenfield expansion markets.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3700"/>
        <w:spacing w:after="0" w:line="286" w:lineRule="auto"/>
        <w:rPr>
          <w:sz w:val="20"/>
          <w:szCs w:val="20"/>
          <w:color w:val="auto"/>
        </w:rPr>
      </w:pPr>
      <w:r>
        <w:rPr>
          <w:rFonts w:ascii="Times New Roman" w:cs="Times New Roman" w:eastAsia="Times New Roman" w:hAnsi="Times New Roman"/>
          <w:sz w:val="21"/>
          <w:szCs w:val="21"/>
          <w:b w:val="1"/>
          <w:bCs w:val="1"/>
          <w:color w:val="auto"/>
        </w:rPr>
        <w:t>SHENANDOAH TELECOMMUNICATIONS COMPANY AND SUBSIDIARIES UNAUDITED CONDENSED CONSOLIDATED BALANCE SHEETS</w:t>
      </w:r>
    </w:p>
    <w:p>
      <w:pPr>
        <w:sectPr>
          <w:pgSz w:w="11900" w:h="16925" w:orient="portrait"/>
          <w:cols w:equalWidth="0" w:num="1">
            <w:col w:w="11240"/>
          </w:cols>
          <w:pgMar w:left="320" w:top="110" w:right="339" w:bottom="0" w:gutter="0" w:footer="0" w:header="0"/>
        </w:sectPr>
      </w:pP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i w:val="1"/>
          <w:iCs w:val="1"/>
          <w:color w:val="auto"/>
        </w:rPr>
        <w:t>(in thousands)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September 30,  December 31,</w:t>
      </w:r>
    </w:p>
    <w:p>
      <w:pPr>
        <w:spacing w:after="0" w:line="18" w:lineRule="exact"/>
        <w:rPr>
          <w:sz w:val="20"/>
          <w:szCs w:val="20"/>
          <w:color w:val="auto"/>
        </w:rPr>
      </w:pPr>
    </w:p>
    <w:p>
      <w:pPr>
        <w:jc w:val="center"/>
        <w:ind w:left="-79"/>
        <w:spacing w:after="0"/>
        <w:tabs>
          <w:tab w:leader="none" w:pos="1000" w:val="left"/>
        </w:tabs>
        <w:rPr>
          <w:sz w:val="20"/>
          <w:szCs w:val="20"/>
          <w:color w:val="auto"/>
        </w:rPr>
      </w:pPr>
      <w:r>
        <w:rPr>
          <w:rFonts w:ascii="Times New Roman" w:cs="Times New Roman" w:eastAsia="Times New Roman" w:hAnsi="Times New Roman"/>
          <w:sz w:val="22"/>
          <w:szCs w:val="22"/>
          <w:b w:val="1"/>
          <w:bCs w:val="1"/>
          <w:color w:val="auto"/>
        </w:rPr>
        <w:t>2026</w:t>
      </w:r>
      <w:r>
        <w:rPr>
          <w:sz w:val="20"/>
          <w:szCs w:val="20"/>
          <w:color w:val="auto"/>
        </w:rPr>
        <w:tab/>
      </w:r>
      <w:r>
        <w:rPr>
          <w:rFonts w:ascii="Times New Roman" w:cs="Times New Roman" w:eastAsia="Times New Roman" w:hAnsi="Times New Roman"/>
          <w:sz w:val="22"/>
          <w:szCs w:val="22"/>
          <w:b w:val="1"/>
          <w:bCs w:val="1"/>
          <w:color w:val="auto"/>
        </w:rPr>
        <w:t>2025</w:t>
      </w:r>
    </w:p>
    <w:p>
      <w:pPr>
        <w:sectPr>
          <w:pgSz w:w="11900" w:h="16925" w:orient="portrait"/>
          <w:cols w:equalWidth="0" w:num="2">
            <w:col w:w="7720" w:space="720"/>
            <w:col w:w="2800"/>
          </w:cols>
          <w:pgMar w:left="320" w:top="110" w:right="339" w:bottom="0" w:gutter="0" w:footer="0" w:header="0"/>
          <w:type w:val="continuous"/>
        </w:sectPr>
      </w:pPr>
    </w:p>
    <w:bookmarkStart w:id="6" w:name="page7"/>
    <w:bookmarkEnd w:id="6"/>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2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Current assets:</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Cash and cash equivalents</w:t>
            </w:r>
          </w:p>
        </w:tc>
        <w:tc>
          <w:tcPr>
            <w:tcW w:w="2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18,647</w:t>
            </w:r>
          </w:p>
        </w:tc>
        <w:tc>
          <w:tcPr>
            <w:tcW w:w="38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27,259</w:t>
            </w:r>
          </w:p>
        </w:tc>
        <w:tc>
          <w:tcPr>
            <w:tcW w:w="0" w:type="dxa"/>
            <w:vAlign w:val="bottom"/>
          </w:tcPr>
          <w:p>
            <w:pPr>
              <w:spacing w:after="0"/>
              <w:rPr>
                <w:sz w:val="1"/>
                <w:szCs w:val="1"/>
                <w:color w:val="auto"/>
              </w:rPr>
            </w:pPr>
          </w:p>
        </w:tc>
      </w:tr>
      <w:tr>
        <w:trPr>
          <w:trHeight w:val="270"/>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Restricted cash and cash equivalents</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27,009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20,945</w:t>
            </w:r>
          </w:p>
        </w:tc>
        <w:tc>
          <w:tcPr>
            <w:tcW w:w="0" w:type="dxa"/>
            <w:vAlign w:val="bottom"/>
          </w:tcPr>
          <w:p>
            <w:pPr>
              <w:spacing w:after="0"/>
              <w:rPr>
                <w:sz w:val="1"/>
                <w:szCs w:val="1"/>
                <w:color w:val="auto"/>
              </w:rPr>
            </w:pPr>
          </w:p>
        </w:tc>
      </w:tr>
      <w:tr>
        <w:trPr>
          <w:trHeight w:val="270"/>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Accounts receivable, net of allowance for credit losses of $1,389 and $829, respectively</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22,385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31,497</w:t>
            </w:r>
          </w:p>
        </w:tc>
        <w:tc>
          <w:tcPr>
            <w:tcW w:w="0" w:type="dxa"/>
            <w:vAlign w:val="bottom"/>
          </w:tcPr>
          <w:p>
            <w:pPr>
              <w:spacing w:after="0"/>
              <w:rPr>
                <w:sz w:val="1"/>
                <w:szCs w:val="1"/>
                <w:color w:val="auto"/>
              </w:rPr>
            </w:pPr>
          </w:p>
        </w:tc>
      </w:tr>
      <w:tr>
        <w:trPr>
          <w:trHeight w:val="270"/>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Income taxes receivable</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3,447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2,544</w:t>
            </w:r>
          </w:p>
        </w:tc>
        <w:tc>
          <w:tcPr>
            <w:tcW w:w="0" w:type="dxa"/>
            <w:vAlign w:val="bottom"/>
          </w:tcPr>
          <w:p>
            <w:pPr>
              <w:spacing w:after="0"/>
              <w:rPr>
                <w:sz w:val="1"/>
                <w:szCs w:val="1"/>
                <w:color w:val="auto"/>
              </w:rPr>
            </w:pPr>
          </w:p>
        </w:tc>
      </w:tr>
      <w:tr>
        <w:trPr>
          <w:trHeight w:val="282"/>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Prepaid expenses and other</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16,617</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15,198</w:t>
            </w:r>
          </w:p>
        </w:tc>
        <w:tc>
          <w:tcPr>
            <w:tcW w:w="0" w:type="dxa"/>
            <w:vAlign w:val="bottom"/>
          </w:tcPr>
          <w:p>
            <w:pPr>
              <w:spacing w:after="0"/>
              <w:rPr>
                <w:sz w:val="1"/>
                <w:szCs w:val="1"/>
                <w:color w:val="auto"/>
              </w:rPr>
            </w:pPr>
          </w:p>
        </w:tc>
      </w:tr>
      <w:tr>
        <w:trPr>
          <w:trHeight w:val="251"/>
        </w:trPr>
        <w:tc>
          <w:tcPr>
            <w:tcW w:w="8200" w:type="dxa"/>
            <w:vAlign w:val="bottom"/>
          </w:tcPr>
          <w:p>
            <w:pPr>
              <w:ind w:left="260"/>
              <w:spacing w:after="0" w:line="251" w:lineRule="exact"/>
              <w:rPr>
                <w:sz w:val="20"/>
                <w:szCs w:val="20"/>
                <w:color w:val="auto"/>
              </w:rPr>
            </w:pPr>
            <w:r>
              <w:rPr>
                <w:rFonts w:ascii="Times New Roman" w:cs="Times New Roman" w:eastAsia="Times New Roman" w:hAnsi="Times New Roman"/>
                <w:sz w:val="22"/>
                <w:szCs w:val="22"/>
                <w:color w:val="auto"/>
              </w:rPr>
              <w:t>Total current assets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0"/>
              <w:spacing w:after="0" w:line="251" w:lineRule="exact"/>
              <w:rPr>
                <w:sz w:val="20"/>
                <w:szCs w:val="20"/>
                <w:color w:val="auto"/>
              </w:rPr>
            </w:pPr>
            <w:r>
              <w:rPr>
                <w:rFonts w:ascii="Times New Roman" w:cs="Times New Roman" w:eastAsia="Times New Roman" w:hAnsi="Times New Roman"/>
                <w:sz w:val="22"/>
                <w:szCs w:val="22"/>
                <w:color w:val="auto"/>
              </w:rPr>
              <w:t>88,105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97,443</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Investments</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16,308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16,510</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Property, plant and equipment, net</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1,711,144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1,601,609</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Goodwill</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67,538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67,538</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Intangible assets, net</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88,173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89,353</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Operating lease right-of-use assets</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19,016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19,657</w:t>
            </w:r>
          </w:p>
        </w:tc>
        <w:tc>
          <w:tcPr>
            <w:tcW w:w="0" w:type="dxa"/>
            <w:vAlign w:val="bottom"/>
          </w:tcPr>
          <w:p>
            <w:pPr>
              <w:spacing w:after="0"/>
              <w:rPr>
                <w:sz w:val="1"/>
                <w:szCs w:val="1"/>
                <w:color w:val="auto"/>
              </w:rPr>
            </w:pPr>
          </w:p>
        </w:tc>
      </w:tr>
      <w:tr>
        <w:trPr>
          <w:trHeight w:val="282"/>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Deferred charges and other assets</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18,965</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18,652</w:t>
            </w:r>
          </w:p>
        </w:tc>
        <w:tc>
          <w:tcPr>
            <w:tcW w:w="0" w:type="dxa"/>
            <w:vAlign w:val="bottom"/>
          </w:tcPr>
          <w:p>
            <w:pPr>
              <w:spacing w:after="0"/>
              <w:rPr>
                <w:sz w:val="1"/>
                <w:szCs w:val="1"/>
                <w:color w:val="auto"/>
              </w:rPr>
            </w:pPr>
          </w:p>
        </w:tc>
      </w:tr>
      <w:tr>
        <w:trPr>
          <w:trHeight w:val="265"/>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Total assets</w:t>
            </w:r>
          </w:p>
        </w:tc>
        <w:tc>
          <w:tcPr>
            <w:tcW w:w="22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2,009,249</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1,910,762</w:t>
            </w:r>
          </w:p>
        </w:tc>
        <w:tc>
          <w:tcPr>
            <w:tcW w:w="0" w:type="dxa"/>
            <w:vAlign w:val="bottom"/>
          </w:tcPr>
          <w:p>
            <w:pPr>
              <w:spacing w:after="0"/>
              <w:rPr>
                <w:sz w:val="1"/>
                <w:szCs w:val="1"/>
                <w:color w:val="auto"/>
              </w:rPr>
            </w:pPr>
          </w:p>
        </w:tc>
      </w:tr>
      <w:tr>
        <w:trPr>
          <w:trHeight w:val="21"/>
        </w:trPr>
        <w:tc>
          <w:tcPr>
            <w:tcW w:w="82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LIABILITIES, TEMPORARY EQUITY AND SHAREHOLDERS’ EQUITY</w:t>
            </w: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82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Current liabilities: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Accounts payable</w:t>
            </w:r>
          </w:p>
        </w:tc>
        <w:tc>
          <w:tcPr>
            <w:tcW w:w="2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68,219</w:t>
            </w:r>
          </w:p>
        </w:tc>
        <w:tc>
          <w:tcPr>
            <w:tcW w:w="38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61,355</w:t>
            </w:r>
          </w:p>
        </w:tc>
        <w:tc>
          <w:tcPr>
            <w:tcW w:w="0" w:type="dxa"/>
            <w:vAlign w:val="bottom"/>
          </w:tcPr>
          <w:p>
            <w:pPr>
              <w:spacing w:after="0"/>
              <w:rPr>
                <w:sz w:val="1"/>
                <w:szCs w:val="1"/>
                <w:color w:val="auto"/>
              </w:rPr>
            </w:pPr>
          </w:p>
        </w:tc>
      </w:tr>
      <w:tr>
        <w:trPr>
          <w:trHeight w:val="270"/>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Advanced billings and customer deposits</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18,469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16,909</w:t>
            </w:r>
          </w:p>
        </w:tc>
        <w:tc>
          <w:tcPr>
            <w:tcW w:w="0" w:type="dxa"/>
            <w:vAlign w:val="bottom"/>
          </w:tcPr>
          <w:p>
            <w:pPr>
              <w:spacing w:after="0"/>
              <w:rPr>
                <w:sz w:val="1"/>
                <w:szCs w:val="1"/>
                <w:color w:val="auto"/>
              </w:rPr>
            </w:pPr>
          </w:p>
        </w:tc>
      </w:tr>
      <w:tr>
        <w:trPr>
          <w:trHeight w:val="270"/>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Accrued compensation</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16,816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13,334</w:t>
            </w:r>
          </w:p>
        </w:tc>
        <w:tc>
          <w:tcPr>
            <w:tcW w:w="0" w:type="dxa"/>
            <w:vAlign w:val="bottom"/>
          </w:tcPr>
          <w:p>
            <w:pPr>
              <w:spacing w:after="0"/>
              <w:rPr>
                <w:sz w:val="1"/>
                <w:szCs w:val="1"/>
                <w:color w:val="auto"/>
              </w:rPr>
            </w:pPr>
          </w:p>
        </w:tc>
      </w:tr>
      <w:tr>
        <w:trPr>
          <w:trHeight w:val="270"/>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Current operating lease liabilities</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2,646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2,819</w:t>
            </w:r>
          </w:p>
        </w:tc>
        <w:tc>
          <w:tcPr>
            <w:tcW w:w="0" w:type="dxa"/>
            <w:vAlign w:val="bottom"/>
          </w:tcPr>
          <w:p>
            <w:pPr>
              <w:spacing w:after="0"/>
              <w:rPr>
                <w:sz w:val="1"/>
                <w:szCs w:val="1"/>
                <w:color w:val="auto"/>
              </w:rPr>
            </w:pPr>
          </w:p>
        </w:tc>
      </w:tr>
      <w:tr>
        <w:trPr>
          <w:trHeight w:val="282"/>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Accrued liabilities and other</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17,164</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14,079</w:t>
            </w:r>
          </w:p>
        </w:tc>
        <w:tc>
          <w:tcPr>
            <w:tcW w:w="0" w:type="dxa"/>
            <w:vAlign w:val="bottom"/>
          </w:tcPr>
          <w:p>
            <w:pPr>
              <w:spacing w:after="0"/>
              <w:rPr>
                <w:sz w:val="1"/>
                <w:szCs w:val="1"/>
                <w:color w:val="auto"/>
              </w:rPr>
            </w:pPr>
          </w:p>
        </w:tc>
      </w:tr>
      <w:tr>
        <w:trPr>
          <w:trHeight w:val="265"/>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Total current liabilities</w:t>
            </w:r>
          </w:p>
        </w:tc>
        <w:tc>
          <w:tcPr>
            <w:tcW w:w="2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123,314</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108,496</w:t>
            </w:r>
          </w:p>
        </w:tc>
        <w:tc>
          <w:tcPr>
            <w:tcW w:w="0" w:type="dxa"/>
            <w:vAlign w:val="bottom"/>
          </w:tcPr>
          <w:p>
            <w:pPr>
              <w:spacing w:after="0"/>
              <w:rPr>
                <w:sz w:val="1"/>
                <w:szCs w:val="1"/>
                <w:color w:val="auto"/>
              </w:rPr>
            </w:pPr>
          </w:p>
        </w:tc>
      </w:tr>
      <w:tr>
        <w:trPr>
          <w:trHeight w:val="250"/>
        </w:trPr>
        <w:tc>
          <w:tcPr>
            <w:tcW w:w="820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Long-term debt, net of unamortized loan fees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0"/>
              <w:spacing w:after="0" w:line="249" w:lineRule="exact"/>
              <w:rPr>
                <w:sz w:val="20"/>
                <w:szCs w:val="20"/>
                <w:color w:val="auto"/>
              </w:rPr>
            </w:pPr>
            <w:r>
              <w:rPr>
                <w:rFonts w:ascii="Times New Roman" w:cs="Times New Roman" w:eastAsia="Times New Roman" w:hAnsi="Times New Roman"/>
                <w:sz w:val="22"/>
                <w:szCs w:val="22"/>
                <w:color w:val="auto"/>
              </w:rPr>
              <w:t>747,091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628,237</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Other long-term liabilities:</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Deferred income taxes</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147,921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157,618</w:t>
            </w:r>
          </w:p>
        </w:tc>
        <w:tc>
          <w:tcPr>
            <w:tcW w:w="0" w:type="dxa"/>
            <w:vAlign w:val="bottom"/>
          </w:tcPr>
          <w:p>
            <w:pPr>
              <w:spacing w:after="0"/>
              <w:rPr>
                <w:sz w:val="1"/>
                <w:szCs w:val="1"/>
                <w:color w:val="auto"/>
              </w:rPr>
            </w:pPr>
          </w:p>
        </w:tc>
      </w:tr>
      <w:tr>
        <w:trPr>
          <w:trHeight w:val="270"/>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Benefit plan obligations</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4,439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4,150</w:t>
            </w:r>
          </w:p>
        </w:tc>
        <w:tc>
          <w:tcPr>
            <w:tcW w:w="0" w:type="dxa"/>
            <w:vAlign w:val="bottom"/>
          </w:tcPr>
          <w:p>
            <w:pPr>
              <w:spacing w:after="0"/>
              <w:rPr>
                <w:sz w:val="1"/>
                <w:szCs w:val="1"/>
                <w:color w:val="auto"/>
              </w:rPr>
            </w:pPr>
          </w:p>
        </w:tc>
      </w:tr>
      <w:tr>
        <w:trPr>
          <w:trHeight w:val="270"/>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Non-current operating lease liabilities</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10,143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10,632</w:t>
            </w:r>
          </w:p>
        </w:tc>
        <w:tc>
          <w:tcPr>
            <w:tcW w:w="0" w:type="dxa"/>
            <w:vAlign w:val="bottom"/>
          </w:tcPr>
          <w:p>
            <w:pPr>
              <w:spacing w:after="0"/>
              <w:rPr>
                <w:sz w:val="1"/>
                <w:szCs w:val="1"/>
                <w:color w:val="auto"/>
              </w:rPr>
            </w:pPr>
          </w:p>
        </w:tc>
      </w:tr>
      <w:tr>
        <w:trPr>
          <w:trHeight w:val="282"/>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liabilities</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32,367</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32,340</w:t>
            </w:r>
          </w:p>
        </w:tc>
        <w:tc>
          <w:tcPr>
            <w:tcW w:w="0" w:type="dxa"/>
            <w:vAlign w:val="bottom"/>
          </w:tcPr>
          <w:p>
            <w:pPr>
              <w:spacing w:after="0"/>
              <w:rPr>
                <w:sz w:val="1"/>
                <w:szCs w:val="1"/>
                <w:color w:val="auto"/>
              </w:rPr>
            </w:pPr>
          </w:p>
        </w:tc>
      </w:tr>
      <w:tr>
        <w:trPr>
          <w:trHeight w:val="265"/>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Total other long-term liabilities</w:t>
            </w:r>
          </w:p>
        </w:tc>
        <w:tc>
          <w:tcPr>
            <w:tcW w:w="2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194,870</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204,740</w:t>
            </w:r>
          </w:p>
        </w:tc>
        <w:tc>
          <w:tcPr>
            <w:tcW w:w="0" w:type="dxa"/>
            <w:vAlign w:val="bottom"/>
          </w:tcPr>
          <w:p>
            <w:pPr>
              <w:spacing w:after="0"/>
              <w:rPr>
                <w:sz w:val="1"/>
                <w:szCs w:val="1"/>
                <w:color w:val="auto"/>
              </w:rPr>
            </w:pPr>
          </w:p>
        </w:tc>
      </w:tr>
      <w:tr>
        <w:trPr>
          <w:trHeight w:val="250"/>
        </w:trPr>
        <w:tc>
          <w:tcPr>
            <w:tcW w:w="820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Commitments and contingencies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Temporary equity:</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Redeemable noncontrolling interest</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93,321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88,506</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Shareholders’ equity:</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4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w w:val="99"/>
              </w:rPr>
              <w:t>Common stock, no par value, authorized 96,000; 55,365 and 54,899 issued and outstanding at</w:t>
            </w:r>
          </w:p>
        </w:tc>
        <w:tc>
          <w:tcPr>
            <w:tcW w:w="200" w:type="dxa"/>
            <w:vAlign w:val="bottom"/>
          </w:tcPr>
          <w:p>
            <w:pPr>
              <w:spacing w:after="0"/>
              <w:rPr>
                <w:sz w:val="21"/>
                <w:szCs w:val="21"/>
                <w:color w:val="auto"/>
              </w:rPr>
            </w:pPr>
          </w:p>
        </w:tc>
        <w:tc>
          <w:tcPr>
            <w:tcW w:w="114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September 30, 2026 and December 31, 2025, respectively</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Additional paid in capital</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164,531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157,216</w:t>
            </w:r>
          </w:p>
        </w:tc>
        <w:tc>
          <w:tcPr>
            <w:tcW w:w="0" w:type="dxa"/>
            <w:vAlign w:val="bottom"/>
          </w:tcPr>
          <w:p>
            <w:pPr>
              <w:spacing w:after="0"/>
              <w:rPr>
                <w:sz w:val="1"/>
                <w:szCs w:val="1"/>
                <w:color w:val="auto"/>
              </w:rPr>
            </w:pPr>
          </w:p>
        </w:tc>
      </w:tr>
      <w:tr>
        <w:trPr>
          <w:trHeight w:val="282"/>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Retained earnings</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686,122</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723,567</w:t>
            </w:r>
          </w:p>
        </w:tc>
        <w:tc>
          <w:tcPr>
            <w:tcW w:w="0" w:type="dxa"/>
            <w:vAlign w:val="bottom"/>
          </w:tcPr>
          <w:p>
            <w:pPr>
              <w:spacing w:after="0"/>
              <w:rPr>
                <w:sz w:val="1"/>
                <w:szCs w:val="1"/>
                <w:color w:val="auto"/>
              </w:rPr>
            </w:pPr>
          </w:p>
        </w:tc>
      </w:tr>
      <w:tr>
        <w:trPr>
          <w:trHeight w:val="265"/>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Total shareholders’ equity</w:t>
            </w:r>
          </w:p>
        </w:tc>
        <w:tc>
          <w:tcPr>
            <w:tcW w:w="2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850,653</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880,783</w:t>
            </w:r>
          </w:p>
        </w:tc>
        <w:tc>
          <w:tcPr>
            <w:tcW w:w="0" w:type="dxa"/>
            <w:vAlign w:val="bottom"/>
          </w:tcPr>
          <w:p>
            <w:pPr>
              <w:spacing w:after="0"/>
              <w:rPr>
                <w:sz w:val="1"/>
                <w:szCs w:val="1"/>
                <w:color w:val="auto"/>
              </w:rPr>
            </w:pPr>
          </w:p>
        </w:tc>
      </w:tr>
      <w:tr>
        <w:trPr>
          <w:trHeight w:val="264"/>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Total liabilities, temporary equity and shareholders’ equity</w:t>
            </w:r>
          </w:p>
        </w:tc>
        <w:tc>
          <w:tcPr>
            <w:tcW w:w="2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2,009,249</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1,910,762</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SHENANDOAH TELECOMMUNICATIONS COMPANY AND SUBSIDIARIES</w:t>
            </w: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21"/>
        </w:trPr>
        <w:tc>
          <w:tcPr>
            <w:tcW w:w="82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UNAUDITED CONDENSED CONSOLIDATED STATEMENTS OF CASH FLOWS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gridSpan w:val="5"/>
            <w:vMerge w:val="restart"/>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Nine Months Ended</w:t>
            </w:r>
          </w:p>
        </w:tc>
        <w:tc>
          <w:tcPr>
            <w:tcW w:w="0" w:type="dxa"/>
            <w:vAlign w:val="bottom"/>
          </w:tcPr>
          <w:p>
            <w:pPr>
              <w:spacing w:after="0"/>
              <w:rPr>
                <w:sz w:val="1"/>
                <w:szCs w:val="1"/>
                <w:color w:val="auto"/>
              </w:rPr>
            </w:pPr>
          </w:p>
        </w:tc>
      </w:tr>
      <w:tr>
        <w:trPr>
          <w:trHeight w:val="227"/>
        </w:trPr>
        <w:tc>
          <w:tcPr>
            <w:tcW w:w="8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20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(in thousands)</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right"/>
              <w:ind w:right="752"/>
              <w:spacing w:after="0"/>
              <w:rPr>
                <w:sz w:val="20"/>
                <w:szCs w:val="20"/>
                <w:color w:val="auto"/>
              </w:rPr>
            </w:pPr>
            <w:r>
              <w:rPr>
                <w:rFonts w:ascii="Times New Roman" w:cs="Times New Roman" w:eastAsia="Times New Roman" w:hAnsi="Times New Roman"/>
                <w:sz w:val="22"/>
                <w:szCs w:val="22"/>
                <w:b w:val="1"/>
                <w:bCs w:val="1"/>
                <w:color w:val="auto"/>
              </w:rPr>
              <w:t>September 30,</w:t>
            </w:r>
          </w:p>
        </w:tc>
        <w:tc>
          <w:tcPr>
            <w:tcW w:w="0" w:type="dxa"/>
            <w:vAlign w:val="bottom"/>
          </w:tcPr>
          <w:p>
            <w:pPr>
              <w:spacing w:after="0"/>
              <w:rPr>
                <w:sz w:val="1"/>
                <w:szCs w:val="1"/>
                <w:color w:val="auto"/>
              </w:rPr>
            </w:pPr>
          </w:p>
        </w:tc>
      </w:tr>
      <w:tr>
        <w:trPr>
          <w:trHeight w:val="264"/>
        </w:trPr>
        <w:tc>
          <w:tcPr>
            <w:tcW w:w="82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Cash flows from operating activities:</w:t>
            </w:r>
          </w:p>
        </w:tc>
        <w:tc>
          <w:tcPr>
            <w:tcW w:w="2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0" w:type="dxa"/>
            <w:vAlign w:val="bottom"/>
          </w:tcPr>
          <w:p>
            <w:pPr>
              <w:spacing w:after="0"/>
              <w:rPr>
                <w:sz w:val="1"/>
                <w:szCs w:val="1"/>
                <w:color w:val="auto"/>
              </w:rPr>
            </w:pPr>
          </w:p>
        </w:tc>
      </w:tr>
      <w:tr>
        <w:trPr>
          <w:trHeight w:val="249"/>
        </w:trPr>
        <w:tc>
          <w:tcPr>
            <w:tcW w:w="82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 loss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(32,630)</w:t>
            </w:r>
          </w:p>
        </w:tc>
        <w:tc>
          <w:tcPr>
            <w:tcW w:w="100" w:type="dxa"/>
            <w:vAlign w:val="bottom"/>
          </w:tcPr>
          <w:p>
            <w:pPr>
              <w:spacing w:after="0"/>
              <w:rPr>
                <w:sz w:val="23"/>
                <w:szCs w:val="23"/>
                <w:color w:val="auto"/>
              </w:rPr>
            </w:pPr>
          </w:p>
        </w:tc>
        <w:tc>
          <w:tcPr>
            <w:tcW w:w="38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(27,570)</w:t>
            </w:r>
          </w:p>
        </w:tc>
        <w:tc>
          <w:tcPr>
            <w:tcW w:w="0" w:type="dxa"/>
            <w:vAlign w:val="bottom"/>
          </w:tcPr>
          <w:p>
            <w:pPr>
              <w:spacing w:after="0"/>
              <w:rPr>
                <w:sz w:val="1"/>
                <w:szCs w:val="1"/>
                <w:color w:val="auto"/>
              </w:rPr>
            </w:pPr>
          </w:p>
        </w:tc>
      </w:tr>
      <w:tr>
        <w:trPr>
          <w:trHeight w:val="270"/>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Adjustments to reconcile net loss to net cash provided by operating activities:</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Depreciation and amortization</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98,062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97,611</w:t>
            </w:r>
          </w:p>
        </w:tc>
        <w:tc>
          <w:tcPr>
            <w:tcW w:w="0" w:type="dxa"/>
            <w:vAlign w:val="bottom"/>
          </w:tcPr>
          <w:p>
            <w:pPr>
              <w:spacing w:after="0"/>
              <w:rPr>
                <w:sz w:val="1"/>
                <w:szCs w:val="1"/>
                <w:color w:val="auto"/>
              </w:rPr>
            </w:pPr>
          </w:p>
        </w:tc>
      </w:tr>
      <w:tr>
        <w:trPr>
          <w:trHeight w:val="270"/>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Amortization of intangible assets</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1,215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1,442</w:t>
            </w:r>
          </w:p>
        </w:tc>
        <w:tc>
          <w:tcPr>
            <w:tcW w:w="0" w:type="dxa"/>
            <w:vAlign w:val="bottom"/>
          </w:tcPr>
          <w:p>
            <w:pPr>
              <w:spacing w:after="0"/>
              <w:rPr>
                <w:sz w:val="1"/>
                <w:szCs w:val="1"/>
                <w:color w:val="auto"/>
              </w:rPr>
            </w:pPr>
          </w:p>
        </w:tc>
      </w:tr>
      <w:tr>
        <w:trPr>
          <w:trHeight w:val="270"/>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Stock-based compensation expense, net of amount capitalized</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8,427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7,970</w:t>
            </w:r>
          </w:p>
        </w:tc>
        <w:tc>
          <w:tcPr>
            <w:tcW w:w="0" w:type="dxa"/>
            <w:vAlign w:val="bottom"/>
          </w:tcPr>
          <w:p>
            <w:pPr>
              <w:spacing w:after="0"/>
              <w:rPr>
                <w:sz w:val="1"/>
                <w:szCs w:val="1"/>
                <w:color w:val="auto"/>
              </w:rPr>
            </w:pPr>
          </w:p>
        </w:tc>
      </w:tr>
      <w:tr>
        <w:trPr>
          <w:trHeight w:val="270"/>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Deferred income taxes</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(9,697)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(7,103)</w:t>
            </w:r>
          </w:p>
        </w:tc>
        <w:tc>
          <w:tcPr>
            <w:tcW w:w="0" w:type="dxa"/>
            <w:vAlign w:val="bottom"/>
          </w:tcPr>
          <w:p>
            <w:pPr>
              <w:spacing w:after="0"/>
              <w:rPr>
                <w:sz w:val="1"/>
                <w:szCs w:val="1"/>
                <w:color w:val="auto"/>
              </w:rPr>
            </w:pPr>
          </w:p>
        </w:tc>
      </w:tr>
      <w:tr>
        <w:trPr>
          <w:trHeight w:val="270"/>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Provision for credit losses</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1,402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1,481</w:t>
            </w:r>
          </w:p>
        </w:tc>
        <w:tc>
          <w:tcPr>
            <w:tcW w:w="0" w:type="dxa"/>
            <w:vAlign w:val="bottom"/>
          </w:tcPr>
          <w:p>
            <w:pPr>
              <w:spacing w:after="0"/>
              <w:rPr>
                <w:sz w:val="1"/>
                <w:szCs w:val="1"/>
                <w:color w:val="auto"/>
              </w:rPr>
            </w:pPr>
          </w:p>
        </w:tc>
      </w:tr>
      <w:tr>
        <w:trPr>
          <w:trHeight w:val="270"/>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Other, net</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2,905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w:t>
            </w:r>
          </w:p>
        </w:tc>
        <w:tc>
          <w:tcPr>
            <w:tcW w:w="0" w:type="dxa"/>
            <w:vAlign w:val="bottom"/>
          </w:tcPr>
          <w:p>
            <w:pPr>
              <w:spacing w:after="0"/>
              <w:rPr>
                <w:sz w:val="1"/>
                <w:szCs w:val="1"/>
                <w:color w:val="auto"/>
              </w:rPr>
            </w:pPr>
          </w:p>
        </w:tc>
      </w:tr>
      <w:tr>
        <w:trPr>
          <w:trHeight w:val="270"/>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Changes in assets and liabilities:</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Accounts receivable</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(1,443)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2,234</w:t>
            </w:r>
          </w:p>
        </w:tc>
        <w:tc>
          <w:tcPr>
            <w:tcW w:w="0" w:type="dxa"/>
            <w:vAlign w:val="bottom"/>
          </w:tcPr>
          <w:p>
            <w:pPr>
              <w:spacing w:after="0"/>
              <w:rPr>
                <w:sz w:val="1"/>
                <w:szCs w:val="1"/>
                <w:color w:val="auto"/>
              </w:rPr>
            </w:pPr>
          </w:p>
        </w:tc>
      </w:tr>
      <w:tr>
        <w:trPr>
          <w:trHeight w:val="270"/>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Current income taxes</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187</w:t>
            </w:r>
          </w:p>
        </w:tc>
        <w:tc>
          <w:tcPr>
            <w:tcW w:w="0" w:type="dxa"/>
            <w:vAlign w:val="bottom"/>
          </w:tcPr>
          <w:p>
            <w:pPr>
              <w:spacing w:after="0"/>
              <w:rPr>
                <w:sz w:val="1"/>
                <w:szCs w:val="1"/>
                <w:color w:val="auto"/>
              </w:rPr>
            </w:pPr>
          </w:p>
        </w:tc>
      </w:tr>
      <w:tr>
        <w:trPr>
          <w:trHeight w:val="282"/>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Operating lease assets and liabilities, net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(513)</w:t>
            </w:r>
          </w:p>
        </w:tc>
        <w:tc>
          <w:tcPr>
            <w:tcW w:w="0" w:type="dxa"/>
            <w:vAlign w:val="bottom"/>
          </w:tcPr>
          <w:p>
            <w:pPr>
              <w:spacing w:after="0"/>
              <w:rPr>
                <w:sz w:val="1"/>
                <w:szCs w:val="1"/>
                <w:color w:val="auto"/>
              </w:rPr>
            </w:pPr>
          </w:p>
        </w:tc>
      </w:tr>
    </w:tbl>
    <w:p>
      <w:pPr>
        <w:sectPr>
          <w:pgSz w:w="11900" w:h="16889" w:orient="portrait"/>
          <w:cols w:equalWidth="0" w:num="1">
            <w:col w:w="11220"/>
          </w:cols>
          <w:pgMar w:left="340" w:top="133" w:right="339" w:bottom="0" w:gutter="0" w:footer="0" w:header="0"/>
        </w:sectPr>
      </w:pPr>
    </w:p>
    <w:bookmarkStart w:id="7" w:name="page8"/>
    <w:bookmarkEnd w:id="7"/>
    <w:p>
      <w:pPr>
        <w:spacing w:after="0" w:line="92"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Other assets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(1,329)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(3,176)</w:t>
            </w:r>
          </w:p>
        </w:tc>
        <w:tc>
          <w:tcPr>
            <w:tcW w:w="0" w:type="dxa"/>
            <w:vAlign w:val="bottom"/>
          </w:tcPr>
          <w:p>
            <w:pPr>
              <w:spacing w:after="0"/>
              <w:rPr>
                <w:sz w:val="1"/>
                <w:szCs w:val="1"/>
                <w:color w:val="auto"/>
              </w:rPr>
            </w:pPr>
          </w:p>
        </w:tc>
      </w:tr>
      <w:tr>
        <w:trPr>
          <w:trHeight w:val="270"/>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Accounts payable</w:t>
            </w:r>
          </w:p>
        </w:tc>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3,288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1,462</w:t>
            </w:r>
          </w:p>
        </w:tc>
        <w:tc>
          <w:tcPr>
            <w:tcW w:w="0" w:type="dxa"/>
            <w:vAlign w:val="bottom"/>
          </w:tcPr>
          <w:p>
            <w:pPr>
              <w:spacing w:after="0"/>
              <w:rPr>
                <w:sz w:val="1"/>
                <w:szCs w:val="1"/>
                <w:color w:val="auto"/>
              </w:rPr>
            </w:pPr>
          </w:p>
        </w:tc>
      </w:tr>
      <w:tr>
        <w:trPr>
          <w:trHeight w:val="282"/>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Other deferrals and accruals</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7,467</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531</w:t>
            </w:r>
          </w:p>
        </w:tc>
        <w:tc>
          <w:tcPr>
            <w:tcW w:w="0" w:type="dxa"/>
            <w:vAlign w:val="bottom"/>
          </w:tcPr>
          <w:p>
            <w:pPr>
              <w:spacing w:after="0"/>
              <w:rPr>
                <w:sz w:val="1"/>
                <w:szCs w:val="1"/>
                <w:color w:val="auto"/>
              </w:rPr>
            </w:pPr>
          </w:p>
        </w:tc>
      </w:tr>
      <w:tr>
        <w:trPr>
          <w:trHeight w:val="251"/>
        </w:trPr>
        <w:tc>
          <w:tcPr>
            <w:tcW w:w="8200" w:type="dxa"/>
            <w:vAlign w:val="bottom"/>
          </w:tcPr>
          <w:p>
            <w:pPr>
              <w:ind w:left="260"/>
              <w:spacing w:after="0" w:line="251" w:lineRule="exact"/>
              <w:rPr>
                <w:sz w:val="20"/>
                <w:szCs w:val="20"/>
                <w:color w:val="auto"/>
              </w:rPr>
            </w:pPr>
            <w:r>
              <w:rPr>
                <w:rFonts w:ascii="Times New Roman" w:cs="Times New Roman" w:eastAsia="Times New Roman" w:hAnsi="Times New Roman"/>
                <w:sz w:val="22"/>
                <w:szCs w:val="22"/>
                <w:color w:val="auto"/>
              </w:rPr>
              <w:t>Net cash provided by operating activities - continuing operations</w:t>
            </w:r>
          </w:p>
        </w:tc>
        <w:tc>
          <w:tcPr>
            <w:tcW w:w="340" w:type="dxa"/>
            <w:vAlign w:val="bottom"/>
          </w:tcPr>
          <w:p>
            <w:pPr>
              <w:spacing w:after="0"/>
              <w:rPr>
                <w:sz w:val="21"/>
                <w:szCs w:val="21"/>
                <w:color w:val="auto"/>
              </w:rPr>
            </w:pPr>
          </w:p>
        </w:tc>
        <w:tc>
          <w:tcPr>
            <w:tcW w:w="112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76,645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74,459</w:t>
            </w:r>
          </w:p>
        </w:tc>
        <w:tc>
          <w:tcPr>
            <w:tcW w:w="0" w:type="dxa"/>
            <w:vAlign w:val="bottom"/>
          </w:tcPr>
          <w:p>
            <w:pPr>
              <w:spacing w:after="0"/>
              <w:rPr>
                <w:sz w:val="1"/>
                <w:szCs w:val="1"/>
                <w:color w:val="auto"/>
              </w:rPr>
            </w:pPr>
          </w:p>
        </w:tc>
      </w:tr>
      <w:tr>
        <w:trPr>
          <w:trHeight w:val="282"/>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Net cash used in operating activities - discontinued operations</w:t>
            </w:r>
          </w:p>
        </w:tc>
        <w:tc>
          <w:tcPr>
            <w:tcW w:w="3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(2,251)</w:t>
            </w:r>
          </w:p>
        </w:tc>
        <w:tc>
          <w:tcPr>
            <w:tcW w:w="0" w:type="dxa"/>
            <w:vAlign w:val="bottom"/>
          </w:tcPr>
          <w:p>
            <w:pPr>
              <w:spacing w:after="0"/>
              <w:rPr>
                <w:sz w:val="1"/>
                <w:szCs w:val="1"/>
                <w:color w:val="auto"/>
              </w:rPr>
            </w:pPr>
          </w:p>
        </w:tc>
      </w:tr>
      <w:tr>
        <w:trPr>
          <w:trHeight w:val="265"/>
        </w:trPr>
        <w:tc>
          <w:tcPr>
            <w:tcW w:w="82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Net cash provided by operating activities</w:t>
            </w:r>
          </w:p>
        </w:tc>
        <w:tc>
          <w:tcPr>
            <w:tcW w:w="34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76,645</w:t>
            </w:r>
          </w:p>
        </w:tc>
        <w:tc>
          <w:tcPr>
            <w:tcW w:w="100" w:type="dxa"/>
            <w:vAlign w:val="bottom"/>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72,208</w:t>
            </w:r>
          </w:p>
        </w:tc>
        <w:tc>
          <w:tcPr>
            <w:tcW w:w="0" w:type="dxa"/>
            <w:vAlign w:val="bottom"/>
          </w:tcPr>
          <w:p>
            <w:pPr>
              <w:spacing w:after="0"/>
              <w:rPr>
                <w:sz w:val="1"/>
                <w:szCs w:val="1"/>
                <w:color w:val="auto"/>
              </w:rPr>
            </w:pPr>
          </w:p>
        </w:tc>
      </w:tr>
      <w:tr>
        <w:trPr>
          <w:trHeight w:val="520"/>
        </w:trPr>
        <w:tc>
          <w:tcPr>
            <w:tcW w:w="8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Cash flows from investing activities: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Capital expenditures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(215,014)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(251,546)</w:t>
            </w:r>
          </w:p>
        </w:tc>
        <w:tc>
          <w:tcPr>
            <w:tcW w:w="0" w:type="dxa"/>
            <w:vAlign w:val="bottom"/>
          </w:tcPr>
          <w:p>
            <w:pPr>
              <w:spacing w:after="0"/>
              <w:rPr>
                <w:sz w:val="1"/>
                <w:szCs w:val="1"/>
                <w:color w:val="auto"/>
              </w:rPr>
            </w:pPr>
          </w:p>
        </w:tc>
      </w:tr>
      <w:tr>
        <w:trPr>
          <w:trHeight w:val="270"/>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Government grants received</w:t>
            </w:r>
          </w:p>
        </w:tc>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22,109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39,884</w:t>
            </w:r>
          </w:p>
        </w:tc>
        <w:tc>
          <w:tcPr>
            <w:tcW w:w="0" w:type="dxa"/>
            <w:vAlign w:val="bottom"/>
          </w:tcPr>
          <w:p>
            <w:pPr>
              <w:spacing w:after="0"/>
              <w:rPr>
                <w:sz w:val="1"/>
                <w:szCs w:val="1"/>
                <w:color w:val="auto"/>
              </w:rPr>
            </w:pPr>
          </w:p>
        </w:tc>
      </w:tr>
      <w:tr>
        <w:trPr>
          <w:trHeight w:val="270"/>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Proceeds from escrow related to business acquisition</w:t>
            </w:r>
          </w:p>
        </w:tc>
        <w:tc>
          <w:tcPr>
            <w:tcW w:w="3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6,471</w:t>
            </w:r>
          </w:p>
        </w:tc>
        <w:tc>
          <w:tcPr>
            <w:tcW w:w="0" w:type="dxa"/>
            <w:vAlign w:val="bottom"/>
          </w:tcPr>
          <w:p>
            <w:pPr>
              <w:spacing w:after="0"/>
              <w:rPr>
                <w:sz w:val="1"/>
                <w:szCs w:val="1"/>
                <w:color w:val="auto"/>
              </w:rPr>
            </w:pPr>
          </w:p>
        </w:tc>
      </w:tr>
      <w:tr>
        <w:trPr>
          <w:trHeight w:val="270"/>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Cash disbursed for acquisitions, net of cash acquired</w:t>
            </w:r>
          </w:p>
        </w:tc>
        <w:tc>
          <w:tcPr>
            <w:tcW w:w="3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(5,000)</w:t>
            </w:r>
          </w:p>
        </w:tc>
        <w:tc>
          <w:tcPr>
            <w:tcW w:w="0" w:type="dxa"/>
            <w:vAlign w:val="bottom"/>
          </w:tcPr>
          <w:p>
            <w:pPr>
              <w:spacing w:after="0"/>
              <w:rPr>
                <w:sz w:val="1"/>
                <w:szCs w:val="1"/>
                <w:color w:val="auto"/>
              </w:rPr>
            </w:pPr>
          </w:p>
        </w:tc>
      </w:tr>
      <w:tr>
        <w:trPr>
          <w:trHeight w:val="282"/>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Proceeds from sale of assets and other</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783</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276</w:t>
            </w:r>
          </w:p>
        </w:tc>
        <w:tc>
          <w:tcPr>
            <w:tcW w:w="0" w:type="dxa"/>
            <w:vAlign w:val="bottom"/>
          </w:tcPr>
          <w:p>
            <w:pPr>
              <w:spacing w:after="0"/>
              <w:rPr>
                <w:sz w:val="1"/>
                <w:szCs w:val="1"/>
                <w:color w:val="auto"/>
              </w:rPr>
            </w:pPr>
          </w:p>
        </w:tc>
      </w:tr>
      <w:tr>
        <w:trPr>
          <w:trHeight w:val="265"/>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Net cash used in investing activities</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(192,122)</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(209,915)</w:t>
            </w:r>
          </w:p>
        </w:tc>
        <w:tc>
          <w:tcPr>
            <w:tcW w:w="0" w:type="dxa"/>
            <w:vAlign w:val="bottom"/>
          </w:tcPr>
          <w:p>
            <w:pPr>
              <w:spacing w:after="0"/>
              <w:rPr>
                <w:sz w:val="1"/>
                <w:szCs w:val="1"/>
                <w:color w:val="auto"/>
              </w:rPr>
            </w:pPr>
          </w:p>
        </w:tc>
      </w:tr>
      <w:tr>
        <w:trPr>
          <w:trHeight w:val="520"/>
        </w:trPr>
        <w:tc>
          <w:tcPr>
            <w:tcW w:w="8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Cash flows from financing activities: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Proceeds from credit facility borrowings</w:t>
            </w:r>
          </w:p>
        </w:tc>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144,500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125,000</w:t>
            </w:r>
          </w:p>
        </w:tc>
        <w:tc>
          <w:tcPr>
            <w:tcW w:w="0" w:type="dxa"/>
            <w:vAlign w:val="bottom"/>
          </w:tcPr>
          <w:p>
            <w:pPr>
              <w:spacing w:after="0"/>
              <w:rPr>
                <w:sz w:val="1"/>
                <w:szCs w:val="1"/>
                <w:color w:val="auto"/>
              </w:rPr>
            </w:pPr>
          </w:p>
        </w:tc>
      </w:tr>
      <w:tr>
        <w:trPr>
          <w:trHeight w:val="270"/>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Principal payments on long-term debt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(27,000)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(7,607)</w:t>
            </w:r>
          </w:p>
        </w:tc>
        <w:tc>
          <w:tcPr>
            <w:tcW w:w="0" w:type="dxa"/>
            <w:vAlign w:val="bottom"/>
          </w:tcPr>
          <w:p>
            <w:pPr>
              <w:spacing w:after="0"/>
              <w:rPr>
                <w:sz w:val="1"/>
                <w:szCs w:val="1"/>
                <w:color w:val="auto"/>
              </w:rPr>
            </w:pPr>
          </w:p>
        </w:tc>
      </w:tr>
      <w:tr>
        <w:trPr>
          <w:trHeight w:val="270"/>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Payments for debt issuance and amendment costs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(951)</w:t>
            </w:r>
          </w:p>
        </w:tc>
        <w:tc>
          <w:tcPr>
            <w:tcW w:w="0" w:type="dxa"/>
            <w:vAlign w:val="bottom"/>
          </w:tcPr>
          <w:p>
            <w:pPr>
              <w:spacing w:after="0"/>
              <w:rPr>
                <w:sz w:val="1"/>
                <w:szCs w:val="1"/>
                <w:color w:val="auto"/>
              </w:rPr>
            </w:pPr>
          </w:p>
        </w:tc>
      </w:tr>
      <w:tr>
        <w:trPr>
          <w:trHeight w:val="270"/>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Taxes paid for equity award issuances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(1,804)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(1,035)</w:t>
            </w:r>
          </w:p>
        </w:tc>
        <w:tc>
          <w:tcPr>
            <w:tcW w:w="0" w:type="dxa"/>
            <w:vAlign w:val="bottom"/>
          </w:tcPr>
          <w:p>
            <w:pPr>
              <w:spacing w:after="0"/>
              <w:rPr>
                <w:sz w:val="1"/>
                <w:szCs w:val="1"/>
                <w:color w:val="auto"/>
              </w:rPr>
            </w:pPr>
          </w:p>
        </w:tc>
      </w:tr>
      <w:tr>
        <w:trPr>
          <w:trHeight w:val="282"/>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Payments for financing arrangements and other</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(2,338)</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(1,351)</w:t>
            </w:r>
          </w:p>
        </w:tc>
        <w:tc>
          <w:tcPr>
            <w:tcW w:w="0" w:type="dxa"/>
            <w:vAlign w:val="bottom"/>
          </w:tcPr>
          <w:p>
            <w:pPr>
              <w:spacing w:after="0"/>
              <w:rPr>
                <w:sz w:val="1"/>
                <w:szCs w:val="1"/>
                <w:color w:val="auto"/>
              </w:rPr>
            </w:pPr>
          </w:p>
        </w:tc>
      </w:tr>
      <w:tr>
        <w:trPr>
          <w:trHeight w:val="265"/>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Net cash provided by financing activities</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112,929</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114,056</w:t>
            </w:r>
          </w:p>
        </w:tc>
        <w:tc>
          <w:tcPr>
            <w:tcW w:w="0" w:type="dxa"/>
            <w:vAlign w:val="bottom"/>
          </w:tcPr>
          <w:p>
            <w:pPr>
              <w:spacing w:after="0"/>
              <w:rPr>
                <w:sz w:val="1"/>
                <w:szCs w:val="1"/>
                <w:color w:val="auto"/>
              </w:rPr>
            </w:pPr>
          </w:p>
        </w:tc>
      </w:tr>
      <w:tr>
        <w:trPr>
          <w:trHeight w:val="250"/>
        </w:trPr>
        <w:tc>
          <w:tcPr>
            <w:tcW w:w="8200" w:type="dxa"/>
            <w:vAlign w:val="bottom"/>
          </w:tcPr>
          <w:p>
            <w:pPr>
              <w:ind w:left="200"/>
              <w:spacing w:after="0" w:line="249" w:lineRule="exact"/>
              <w:rPr>
                <w:sz w:val="20"/>
                <w:szCs w:val="20"/>
                <w:color w:val="auto"/>
              </w:rPr>
            </w:pPr>
            <w:r>
              <w:rPr>
                <w:rFonts w:ascii="Times New Roman" w:cs="Times New Roman" w:eastAsia="Times New Roman" w:hAnsi="Times New Roman"/>
                <w:sz w:val="22"/>
                <w:szCs w:val="22"/>
                <w:color w:val="auto"/>
              </w:rPr>
              <w:t>Net decrease in cash and cash equivalents</w:t>
            </w:r>
          </w:p>
        </w:tc>
        <w:tc>
          <w:tcPr>
            <w:tcW w:w="340" w:type="dxa"/>
            <w:vAlign w:val="bottom"/>
          </w:tcPr>
          <w:p>
            <w:pPr>
              <w:spacing w:after="0"/>
              <w:rPr>
                <w:sz w:val="21"/>
                <w:szCs w:val="21"/>
                <w:color w:val="auto"/>
              </w:rPr>
            </w:pPr>
          </w:p>
        </w:tc>
        <w:tc>
          <w:tcPr>
            <w:tcW w:w="112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(2,548)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(23,651)</w:t>
            </w:r>
          </w:p>
        </w:tc>
        <w:tc>
          <w:tcPr>
            <w:tcW w:w="0" w:type="dxa"/>
            <w:vAlign w:val="bottom"/>
          </w:tcPr>
          <w:p>
            <w:pPr>
              <w:spacing w:after="0"/>
              <w:rPr>
                <w:sz w:val="1"/>
                <w:szCs w:val="1"/>
                <w:color w:val="auto"/>
              </w:rPr>
            </w:pPr>
          </w:p>
        </w:tc>
      </w:tr>
      <w:tr>
        <w:trPr>
          <w:trHeight w:val="282"/>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Cash, cash equivalents, and restricted cash, beginning of period</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48,204</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46,272</w:t>
            </w:r>
          </w:p>
        </w:tc>
        <w:tc>
          <w:tcPr>
            <w:tcW w:w="0" w:type="dxa"/>
            <w:vAlign w:val="bottom"/>
          </w:tcPr>
          <w:p>
            <w:pPr>
              <w:spacing w:after="0"/>
              <w:rPr>
                <w:sz w:val="1"/>
                <w:szCs w:val="1"/>
                <w:color w:val="auto"/>
              </w:rPr>
            </w:pPr>
          </w:p>
        </w:tc>
      </w:tr>
      <w:tr>
        <w:trPr>
          <w:trHeight w:val="265"/>
        </w:trPr>
        <w:tc>
          <w:tcPr>
            <w:tcW w:w="82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Cash, cash equivalents, and restricted cash, end of period</w:t>
            </w: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45,656</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22,621</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Supplemental Disclosures of Cash Flow Information</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2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Interest paid, net of amounts capitalized</w:t>
            </w: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(27,063)</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(16,272)</w:t>
            </w:r>
          </w:p>
        </w:tc>
        <w:tc>
          <w:tcPr>
            <w:tcW w:w="0" w:type="dxa"/>
            <w:vAlign w:val="bottom"/>
          </w:tcPr>
          <w:p>
            <w:pPr>
              <w:spacing w:after="0"/>
              <w:rPr>
                <w:sz w:val="1"/>
                <w:szCs w:val="1"/>
                <w:color w:val="auto"/>
              </w:rPr>
            </w:pPr>
          </w:p>
        </w:tc>
      </w:tr>
      <w:tr>
        <w:trPr>
          <w:trHeight w:val="22"/>
        </w:trPr>
        <w:tc>
          <w:tcPr>
            <w:tcW w:w="82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Income taxes paid</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200" w:type="dxa"/>
            <w:vAlign w:val="bottom"/>
            <w:vMerge w:val="continue"/>
          </w:tcPr>
          <w:p>
            <w:pPr>
              <w:spacing w:after="0"/>
              <w:rPr>
                <w:sz w:val="22"/>
                <w:szCs w:val="22"/>
                <w:color w:val="auto"/>
              </w:rPr>
            </w:pP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(903)</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(1,955)</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Adjusted EBITDA and Adjusted EBITDA Margin</w:t>
      </w:r>
    </w:p>
    <w:p>
      <w:pPr>
        <w:spacing w:after="0" w:line="18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Company defines Adjusted EBITDA as (loss) income from operations calculated in accordance with GAAP, adjusted for the impact of depreciation and amortization, impairment expense, other income (expense), net, interest income, interest expense, income tax expense (benefit), stock compensation expense, transaction costs related to acquisition and disposition events (including professional advisory fees, integration costs, and related compensatory matters), restructuring expense, tax on equity award vesting and exercise events, and other non-comparable items. A reconciliation of Net loss, which is the most directly comparable GAAP financial measure, to Adjusted EBITDA is provided below herein.</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Adjusted EBITDA margin is the Company’s calculation of Adjusted EBITDA, divided by revenue calculated in accordance with GAAP.</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Company uses Adjusted EBITDA and Adjusted EBITDA margin as supplemental measures of performance to evaluate operating effectiveness and assess its ability to increase revenues while controlling expense growth and the scalability of the Company’s business growth strategy. Adjusted EBITDA is also a significant performance measure used by the Company in its incentive compensation programs. The Company believes that the exclusion of the expense and income items eliminated in calculating Adjusted EBITDA and Adjusted EBITDA margin provides management and investors a useful measure for period-to-period comparisons of the Company’s core operating results by excluding items that are not comparable across reporting periods or that do not otherwise relate to the Company’s ongoing operations. Accordingly, the Company believes that Adjusted EBITDA and Adjusted EBITDA margin provide useful information to investors and others in understanding and evaluating the Company’s operating results. However, use of Adjusted EBITDA and Adjusted EBITDA margin as analytical tools has limitations, and investors and others should not consider them in isolation or as substitutes for analysis of our financial results as reported under GAAP. In addition, other companies may calculate Adjusted EBITDA and Adjusted EBITDA margin or similarly titled measures differently, which may reduce their usefulness as comparative measures.</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4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40" w:type="dxa"/>
            <w:vAlign w:val="bottom"/>
            <w:gridSpan w:val="5"/>
          </w:tcPr>
          <w:p>
            <w:pPr>
              <w:jc w:val="right"/>
              <w:ind w:right="70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320" w:type="dxa"/>
            <w:vAlign w:val="bottom"/>
          </w:tcPr>
          <w:p>
            <w:pPr>
              <w:spacing w:after="0"/>
              <w:rPr>
                <w:sz w:val="21"/>
                <w:szCs w:val="21"/>
                <w:color w:val="auto"/>
              </w:rPr>
            </w:pPr>
          </w:p>
        </w:tc>
        <w:tc>
          <w:tcPr>
            <w:tcW w:w="2840" w:type="dxa"/>
            <w:vAlign w:val="bottom"/>
            <w:gridSpan w:val="4"/>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Nine Months Ended</w:t>
            </w:r>
          </w:p>
        </w:tc>
        <w:tc>
          <w:tcPr>
            <w:tcW w:w="0" w:type="dxa"/>
            <w:vAlign w:val="bottom"/>
          </w:tcPr>
          <w:p>
            <w:pPr>
              <w:spacing w:after="0"/>
              <w:rPr>
                <w:sz w:val="1"/>
                <w:szCs w:val="1"/>
                <w:color w:val="auto"/>
              </w:rPr>
            </w:pPr>
          </w:p>
        </w:tc>
      </w:tr>
      <w:tr>
        <w:trPr>
          <w:trHeight w:val="287"/>
        </w:trPr>
        <w:tc>
          <w:tcPr>
            <w:tcW w:w="4800" w:type="dxa"/>
            <w:vAlign w:val="bottom"/>
            <w:vMerge w:val="restart"/>
          </w:tcPr>
          <w:p>
            <w:pPr>
              <w:spacing w:after="0"/>
              <w:rPr>
                <w:sz w:val="20"/>
                <w:szCs w:val="20"/>
                <w:color w:val="auto"/>
              </w:rPr>
            </w:pPr>
            <w:r>
              <w:rPr>
                <w:rFonts w:ascii="Times New Roman" w:cs="Times New Roman" w:eastAsia="Times New Roman" w:hAnsi="Times New Roman"/>
                <w:sz w:val="22"/>
                <w:szCs w:val="22"/>
                <w:i w:val="1"/>
                <w:iCs w:val="1"/>
                <w:color w:val="auto"/>
              </w:rPr>
              <w:t>(in thousands)</w:t>
            </w:r>
          </w:p>
        </w:tc>
        <w:tc>
          <w:tcPr>
            <w:tcW w:w="320" w:type="dxa"/>
            <w:vAlign w:val="bottom"/>
          </w:tcPr>
          <w:p>
            <w:pPr>
              <w:spacing w:after="0"/>
              <w:rPr>
                <w:sz w:val="24"/>
                <w:szCs w:val="24"/>
                <w:color w:val="auto"/>
              </w:rPr>
            </w:pPr>
          </w:p>
        </w:tc>
        <w:tc>
          <w:tcPr>
            <w:tcW w:w="2940" w:type="dxa"/>
            <w:vAlign w:val="bottom"/>
            <w:gridSpan w:val="5"/>
          </w:tcPr>
          <w:p>
            <w:pPr>
              <w:ind w:left="600"/>
              <w:spacing w:after="0"/>
              <w:rPr>
                <w:sz w:val="20"/>
                <w:szCs w:val="20"/>
                <w:color w:val="auto"/>
              </w:rPr>
            </w:pPr>
            <w:r>
              <w:rPr>
                <w:rFonts w:ascii="Times New Roman" w:cs="Times New Roman" w:eastAsia="Times New Roman" w:hAnsi="Times New Roman"/>
                <w:sz w:val="22"/>
                <w:szCs w:val="22"/>
                <w:b w:val="1"/>
                <w:bCs w:val="1"/>
                <w:color w:val="auto"/>
              </w:rPr>
              <w:t>September 30,</w:t>
            </w:r>
          </w:p>
        </w:tc>
        <w:tc>
          <w:tcPr>
            <w:tcW w:w="320" w:type="dxa"/>
            <w:vAlign w:val="bottom"/>
          </w:tcPr>
          <w:p>
            <w:pPr>
              <w:spacing w:after="0"/>
              <w:rPr>
                <w:sz w:val="24"/>
                <w:szCs w:val="24"/>
                <w:color w:val="auto"/>
              </w:rPr>
            </w:pPr>
          </w:p>
        </w:tc>
        <w:tc>
          <w:tcPr>
            <w:tcW w:w="2840" w:type="dxa"/>
            <w:vAlign w:val="bottom"/>
            <w:gridSpan w:val="4"/>
          </w:tcPr>
          <w:p>
            <w:pPr>
              <w:jc w:val="right"/>
              <w:ind w:right="812"/>
              <w:spacing w:after="0"/>
              <w:rPr>
                <w:sz w:val="20"/>
                <w:szCs w:val="20"/>
                <w:color w:val="auto"/>
              </w:rPr>
            </w:pPr>
            <w:r>
              <w:rPr>
                <w:rFonts w:ascii="Times New Roman" w:cs="Times New Roman" w:eastAsia="Times New Roman" w:hAnsi="Times New Roman"/>
                <w:sz w:val="22"/>
                <w:szCs w:val="22"/>
                <w:b w:val="1"/>
                <w:bCs w:val="1"/>
                <w:color w:val="auto"/>
              </w:rPr>
              <w:t>September 30,</w:t>
            </w:r>
          </w:p>
        </w:tc>
        <w:tc>
          <w:tcPr>
            <w:tcW w:w="0" w:type="dxa"/>
            <w:vAlign w:val="bottom"/>
          </w:tcPr>
          <w:p>
            <w:pPr>
              <w:spacing w:after="0"/>
              <w:rPr>
                <w:sz w:val="1"/>
                <w:szCs w:val="1"/>
                <w:color w:val="auto"/>
              </w:rPr>
            </w:pPr>
          </w:p>
        </w:tc>
      </w:tr>
      <w:tr>
        <w:trPr>
          <w:trHeight w:val="264"/>
        </w:trPr>
        <w:tc>
          <w:tcPr>
            <w:tcW w:w="4800" w:type="dxa"/>
            <w:vAlign w:val="bottom"/>
            <w:vMerge w:val="continue"/>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2025</w:t>
            </w:r>
          </w:p>
        </w:tc>
        <w:tc>
          <w:tcPr>
            <w:tcW w:w="0" w:type="dxa"/>
            <w:vAlign w:val="bottom"/>
          </w:tcPr>
          <w:p>
            <w:pPr>
              <w:spacing w:after="0"/>
              <w:rPr>
                <w:sz w:val="1"/>
                <w:szCs w:val="1"/>
                <w:color w:val="auto"/>
              </w:rPr>
            </w:pPr>
          </w:p>
        </w:tc>
      </w:tr>
      <w:tr>
        <w:trPr>
          <w:trHeight w:val="250"/>
        </w:trPr>
        <w:tc>
          <w:tcPr>
            <w:tcW w:w="480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Net loss</w:t>
            </w:r>
          </w:p>
        </w:tc>
        <w:tc>
          <w:tcPr>
            <w:tcW w:w="320" w:type="dxa"/>
            <w:vAlign w:val="bottom"/>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Pr>
          <w:p>
            <w:pPr>
              <w:jc w:val="right"/>
              <w:ind w:right="32"/>
              <w:spacing w:after="0" w:line="249" w:lineRule="exact"/>
              <w:rPr>
                <w:sz w:val="20"/>
                <w:szCs w:val="20"/>
                <w:color w:val="auto"/>
              </w:rPr>
            </w:pPr>
            <w:r>
              <w:rPr>
                <w:rFonts w:ascii="Times New Roman" w:cs="Times New Roman" w:eastAsia="Times New Roman" w:hAnsi="Times New Roman"/>
                <w:sz w:val="22"/>
                <w:szCs w:val="22"/>
                <w:color w:val="auto"/>
              </w:rPr>
              <w:t>(9,180)</w:t>
            </w:r>
          </w:p>
        </w:tc>
        <w:tc>
          <w:tcPr>
            <w:tcW w:w="100" w:type="dxa"/>
            <w:vAlign w:val="bottom"/>
          </w:tcPr>
          <w:p>
            <w:pPr>
              <w:spacing w:after="0"/>
              <w:rPr>
                <w:sz w:val="21"/>
                <w:szCs w:val="21"/>
                <w:color w:val="auto"/>
              </w:rPr>
            </w:pPr>
          </w:p>
        </w:tc>
        <w:tc>
          <w:tcPr>
            <w:tcW w:w="320" w:type="dxa"/>
            <w:vAlign w:val="bottom"/>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Pr>
          <w:p>
            <w:pPr>
              <w:jc w:val="right"/>
              <w:ind w:right="32"/>
              <w:spacing w:after="0" w:line="249" w:lineRule="exact"/>
              <w:rPr>
                <w:sz w:val="20"/>
                <w:szCs w:val="20"/>
                <w:color w:val="auto"/>
              </w:rPr>
            </w:pPr>
            <w:r>
              <w:rPr>
                <w:rFonts w:ascii="Times New Roman" w:cs="Times New Roman" w:eastAsia="Times New Roman" w:hAnsi="Times New Roman"/>
                <w:sz w:val="22"/>
                <w:szCs w:val="22"/>
                <w:color w:val="auto"/>
              </w:rPr>
              <w:t>(9,390)</w:t>
            </w:r>
          </w:p>
        </w:tc>
        <w:tc>
          <w:tcPr>
            <w:tcW w:w="100" w:type="dxa"/>
            <w:vAlign w:val="bottom"/>
          </w:tcPr>
          <w:p>
            <w:pPr>
              <w:spacing w:after="0"/>
              <w:rPr>
                <w:sz w:val="21"/>
                <w:szCs w:val="21"/>
                <w:color w:val="auto"/>
              </w:rPr>
            </w:pPr>
          </w:p>
        </w:tc>
        <w:tc>
          <w:tcPr>
            <w:tcW w:w="320" w:type="dxa"/>
            <w:vAlign w:val="bottom"/>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Pr>
          <w:p>
            <w:pPr>
              <w:jc w:val="right"/>
              <w:ind w:right="12"/>
              <w:spacing w:after="0" w:line="249" w:lineRule="exact"/>
              <w:rPr>
                <w:sz w:val="20"/>
                <w:szCs w:val="20"/>
                <w:color w:val="auto"/>
              </w:rPr>
            </w:pPr>
            <w:r>
              <w:rPr>
                <w:rFonts w:ascii="Times New Roman" w:cs="Times New Roman" w:eastAsia="Times New Roman" w:hAnsi="Times New Roman"/>
                <w:sz w:val="22"/>
                <w:szCs w:val="22"/>
                <w:color w:val="auto"/>
              </w:rPr>
              <w:t>(32,630)</w:t>
            </w:r>
          </w:p>
        </w:tc>
        <w:tc>
          <w:tcPr>
            <w:tcW w:w="120" w:type="dxa"/>
            <w:vAlign w:val="bottom"/>
          </w:tcPr>
          <w:p>
            <w:pPr>
              <w:spacing w:after="0"/>
              <w:rPr>
                <w:sz w:val="21"/>
                <w:szCs w:val="21"/>
                <w:color w:val="auto"/>
              </w:rPr>
            </w:pPr>
          </w:p>
        </w:tc>
        <w:tc>
          <w:tcPr>
            <w:tcW w:w="300" w:type="dxa"/>
            <w:vAlign w:val="bottom"/>
          </w:tcPr>
          <w:p>
            <w:pPr>
              <w:jc w:val="right"/>
              <w:ind w:right="72"/>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Pr>
          <w:p>
            <w:pPr>
              <w:jc w:val="right"/>
              <w:ind w:right="32"/>
              <w:spacing w:after="0" w:line="249" w:lineRule="exact"/>
              <w:rPr>
                <w:sz w:val="20"/>
                <w:szCs w:val="20"/>
                <w:color w:val="auto"/>
              </w:rPr>
            </w:pPr>
            <w:r>
              <w:rPr>
                <w:rFonts w:ascii="Times New Roman" w:cs="Times New Roman" w:eastAsia="Times New Roman" w:hAnsi="Times New Roman"/>
                <w:sz w:val="22"/>
                <w:szCs w:val="22"/>
                <w:color w:val="auto"/>
              </w:rPr>
              <w:t>(27,570)</w:t>
            </w:r>
          </w:p>
        </w:tc>
        <w:tc>
          <w:tcPr>
            <w:tcW w:w="0" w:type="dxa"/>
            <w:vAlign w:val="bottom"/>
          </w:tcPr>
          <w:p>
            <w:pPr>
              <w:spacing w:after="0"/>
              <w:rPr>
                <w:sz w:val="1"/>
                <w:szCs w:val="1"/>
                <w:color w:val="auto"/>
              </w:rPr>
            </w:pPr>
          </w:p>
        </w:tc>
      </w:tr>
      <w:tr>
        <w:trPr>
          <w:trHeight w:val="270"/>
        </w:trPr>
        <w:tc>
          <w:tcPr>
            <w:tcW w:w="4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Depreciation and amortization</w:t>
            </w:r>
          </w:p>
        </w:tc>
        <w:tc>
          <w:tcPr>
            <w:tcW w:w="320" w:type="dxa"/>
            <w:vAlign w:val="bottom"/>
          </w:tcPr>
          <w:p>
            <w:pPr>
              <w:spacing w:after="0"/>
              <w:rPr>
                <w:sz w:val="23"/>
                <w:szCs w:val="23"/>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33,687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34,492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99,277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99,053</w:t>
            </w:r>
          </w:p>
        </w:tc>
        <w:tc>
          <w:tcPr>
            <w:tcW w:w="0" w:type="dxa"/>
            <w:vAlign w:val="bottom"/>
          </w:tcPr>
          <w:p>
            <w:pPr>
              <w:spacing w:after="0"/>
              <w:rPr>
                <w:sz w:val="1"/>
                <w:szCs w:val="1"/>
                <w:color w:val="auto"/>
              </w:rPr>
            </w:pPr>
          </w:p>
        </w:tc>
      </w:tr>
      <w:tr>
        <w:trPr>
          <w:trHeight w:val="282"/>
        </w:trPr>
        <w:tc>
          <w:tcPr>
            <w:tcW w:w="4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Interest expense</w:t>
            </w:r>
          </w:p>
        </w:tc>
        <w:tc>
          <w:tcPr>
            <w:tcW w:w="320" w:type="dxa"/>
            <w:vAlign w:val="bottom"/>
          </w:tcPr>
          <w:p>
            <w:pPr>
              <w:spacing w:after="0"/>
              <w:rPr>
                <w:sz w:val="24"/>
                <w:szCs w:val="24"/>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10,497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6,789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29,628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17,684</w:t>
            </w:r>
          </w:p>
        </w:tc>
        <w:tc>
          <w:tcPr>
            <w:tcW w:w="0" w:type="dxa"/>
            <w:vAlign w:val="bottom"/>
          </w:tcPr>
          <w:p>
            <w:pPr>
              <w:spacing w:after="0"/>
              <w:rPr>
                <w:sz w:val="1"/>
                <w:szCs w:val="1"/>
                <w:color w:val="auto"/>
              </w:rPr>
            </w:pPr>
          </w:p>
        </w:tc>
      </w:tr>
    </w:tbl>
    <w:p>
      <w:pPr>
        <w:sectPr>
          <w:pgSz w:w="11900" w:h="16930" w:orient="portrait"/>
          <w:cols w:equalWidth="0" w:num="1">
            <w:col w:w="11240"/>
          </w:cols>
          <w:pgMar w:left="320" w:top="111" w:right="3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Other income, net</w:t>
            </w:r>
          </w:p>
        </w:tc>
        <w:tc>
          <w:tcPr>
            <w:tcW w:w="42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(246)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(1,589)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(763)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(5,337)</w:t>
            </w:r>
          </w:p>
        </w:tc>
        <w:tc>
          <w:tcPr>
            <w:tcW w:w="0" w:type="dxa"/>
            <w:vAlign w:val="bottom"/>
          </w:tcPr>
          <w:p>
            <w:pPr>
              <w:spacing w:after="0"/>
              <w:rPr>
                <w:sz w:val="1"/>
                <w:szCs w:val="1"/>
                <w:color w:val="auto"/>
              </w:rPr>
            </w:pPr>
          </w:p>
        </w:tc>
      </w:tr>
      <w:tr>
        <w:trPr>
          <w:trHeight w:val="270"/>
        </w:trPr>
        <w:tc>
          <w:tcPr>
            <w:tcW w:w="4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Income tax benefit</w:t>
            </w:r>
          </w:p>
        </w:tc>
        <w:tc>
          <w:tcPr>
            <w:tcW w:w="42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(3,048)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(2,974)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(9,697)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(7,141)</w:t>
            </w:r>
          </w:p>
        </w:tc>
        <w:tc>
          <w:tcPr>
            <w:tcW w:w="0" w:type="dxa"/>
            <w:vAlign w:val="bottom"/>
          </w:tcPr>
          <w:p>
            <w:pPr>
              <w:spacing w:after="0"/>
              <w:rPr>
                <w:sz w:val="1"/>
                <w:szCs w:val="1"/>
                <w:color w:val="auto"/>
              </w:rPr>
            </w:pPr>
          </w:p>
        </w:tc>
      </w:tr>
      <w:tr>
        <w:trPr>
          <w:trHeight w:val="270"/>
        </w:trPr>
        <w:tc>
          <w:tcPr>
            <w:tcW w:w="4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Stock-based compensation</w:t>
            </w:r>
          </w:p>
        </w:tc>
        <w:tc>
          <w:tcPr>
            <w:tcW w:w="420" w:type="dxa"/>
            <w:vAlign w:val="bottom"/>
          </w:tcPr>
          <w:p>
            <w:pPr>
              <w:spacing w:after="0"/>
              <w:rPr>
                <w:sz w:val="23"/>
                <w:szCs w:val="23"/>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1,326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2,066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8,427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7,970</w:t>
            </w:r>
          </w:p>
        </w:tc>
        <w:tc>
          <w:tcPr>
            <w:tcW w:w="0" w:type="dxa"/>
            <w:vAlign w:val="bottom"/>
          </w:tcPr>
          <w:p>
            <w:pPr>
              <w:spacing w:after="0"/>
              <w:rPr>
                <w:sz w:val="1"/>
                <w:szCs w:val="1"/>
                <w:color w:val="auto"/>
              </w:rPr>
            </w:pPr>
          </w:p>
        </w:tc>
      </w:tr>
      <w:tr>
        <w:trPr>
          <w:trHeight w:val="283"/>
        </w:trPr>
        <w:tc>
          <w:tcPr>
            <w:tcW w:w="4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Restructuring, integration and acquisition</w:t>
            </w:r>
          </w:p>
        </w:tc>
        <w:tc>
          <w:tcPr>
            <w:tcW w:w="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152</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293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2,726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1,009</w:t>
            </w:r>
          </w:p>
        </w:tc>
        <w:tc>
          <w:tcPr>
            <w:tcW w:w="0" w:type="dxa"/>
            <w:vAlign w:val="bottom"/>
          </w:tcPr>
          <w:p>
            <w:pPr>
              <w:spacing w:after="0"/>
              <w:rPr>
                <w:sz w:val="1"/>
                <w:szCs w:val="1"/>
                <w:color w:val="auto"/>
              </w:rPr>
            </w:pPr>
          </w:p>
        </w:tc>
      </w:tr>
      <w:tr>
        <w:trPr>
          <w:trHeight w:val="264"/>
        </w:trPr>
        <w:tc>
          <w:tcPr>
            <w:tcW w:w="4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Adjusted EBITDA</w:t>
            </w:r>
          </w:p>
        </w:tc>
        <w:tc>
          <w:tcPr>
            <w:tcW w:w="4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33,188</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29,687</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96,968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22"/>
                <w:szCs w:val="22"/>
                <w:color w:val="auto"/>
              </w:rPr>
              <w:t>$</w:t>
            </w: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85,668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2"/>
        </w:trPr>
        <w:tc>
          <w:tcPr>
            <w:tcW w:w="4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Adjusted EBITDA margin</w:t>
            </w:r>
          </w:p>
        </w:tc>
        <w:tc>
          <w:tcPr>
            <w:tcW w:w="4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c>
          <w:tcPr>
            <w:tcW w:w="0" w:type="dxa"/>
            <w:vAlign w:val="bottom"/>
          </w:tcPr>
          <w:p>
            <w:pPr>
              <w:spacing w:after="0"/>
              <w:rPr>
                <w:sz w:val="1"/>
                <w:szCs w:val="1"/>
                <w:color w:val="auto"/>
              </w:rPr>
            </w:pPr>
          </w:p>
        </w:tc>
      </w:tr>
      <w:tr>
        <w:trPr>
          <w:trHeight w:val="931"/>
        </w:trPr>
        <w:tc>
          <w:tcPr>
            <w:tcW w:w="48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Supplemental Information</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8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Operating Statistics</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4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gridSpan w:val="6"/>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Three Months Ended</w:t>
            </w:r>
          </w:p>
        </w:tc>
        <w:tc>
          <w:tcPr>
            <w:tcW w:w="0" w:type="dxa"/>
            <w:vAlign w:val="bottom"/>
          </w:tcPr>
          <w:p>
            <w:pPr>
              <w:spacing w:after="0"/>
              <w:rPr>
                <w:sz w:val="1"/>
                <w:szCs w:val="1"/>
                <w:color w:val="auto"/>
              </w:rPr>
            </w:pPr>
          </w:p>
        </w:tc>
      </w:tr>
      <w:tr>
        <w:trPr>
          <w:trHeight w:val="287"/>
        </w:trPr>
        <w:tc>
          <w:tcPr>
            <w:tcW w:w="4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September 30,</w:t>
            </w:r>
          </w:p>
        </w:tc>
        <w:tc>
          <w:tcPr>
            <w:tcW w:w="0" w:type="dxa"/>
            <w:vAlign w:val="bottom"/>
          </w:tcPr>
          <w:p>
            <w:pPr>
              <w:spacing w:after="0"/>
              <w:rPr>
                <w:sz w:val="1"/>
                <w:szCs w:val="1"/>
                <w:color w:val="auto"/>
              </w:rPr>
            </w:pPr>
          </w:p>
        </w:tc>
      </w:tr>
      <w:tr>
        <w:trPr>
          <w:trHeight w:val="264"/>
        </w:trPr>
        <w:tc>
          <w:tcPr>
            <w:tcW w:w="4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0" w:type="dxa"/>
            <w:vAlign w:val="bottom"/>
          </w:tcPr>
          <w:p>
            <w:pPr>
              <w:spacing w:after="0"/>
              <w:rPr>
                <w:sz w:val="1"/>
                <w:szCs w:val="1"/>
                <w:color w:val="auto"/>
              </w:rPr>
            </w:pPr>
          </w:p>
        </w:tc>
      </w:tr>
      <w:tr>
        <w:trPr>
          <w:trHeight w:val="246"/>
        </w:trPr>
        <w:tc>
          <w:tcPr>
            <w:tcW w:w="4820" w:type="dxa"/>
            <w:vAlign w:val="bottom"/>
          </w:tcPr>
          <w:p>
            <w:pPr>
              <w:ind w:left="20"/>
              <w:spacing w:after="0" w:line="245" w:lineRule="exact"/>
              <w:rPr>
                <w:sz w:val="20"/>
                <w:szCs w:val="20"/>
                <w:color w:val="auto"/>
              </w:rPr>
            </w:pPr>
            <w:r>
              <w:rPr>
                <w:rFonts w:ascii="Times New Roman" w:cs="Times New Roman" w:eastAsia="Times New Roman" w:hAnsi="Times New Roman"/>
                <w:sz w:val="22"/>
                <w:szCs w:val="22"/>
                <w:color w:val="auto"/>
              </w:rPr>
              <w:t>Homes and businesses passed (1)</w:t>
            </w: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20" w:type="dxa"/>
            <w:vAlign w:val="bottom"/>
          </w:tcPr>
          <w:p>
            <w:pPr>
              <w:ind w:left="340"/>
              <w:spacing w:after="0"/>
              <w:rPr>
                <w:sz w:val="20"/>
                <w:szCs w:val="20"/>
                <w:color w:val="auto"/>
              </w:rPr>
            </w:pPr>
            <w:r>
              <w:rPr>
                <w:rFonts w:ascii="Times New Roman" w:cs="Times New Roman" w:eastAsia="Times New Roman" w:hAnsi="Times New Roman"/>
                <w:sz w:val="22"/>
                <w:szCs w:val="22"/>
                <w:i w:val="1"/>
                <w:iCs w:val="1"/>
                <w:color w:val="auto"/>
              </w:rPr>
              <w:t>Incumbent Broadband Markets</w:t>
            </w:r>
          </w:p>
        </w:tc>
        <w:tc>
          <w:tcPr>
            <w:tcW w:w="4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254,019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i w:val="1"/>
                <w:iCs w:val="1"/>
                <w:color w:val="auto"/>
              </w:rPr>
              <w:t>248,002</w:t>
            </w:r>
          </w:p>
        </w:tc>
        <w:tc>
          <w:tcPr>
            <w:tcW w:w="0" w:type="dxa"/>
            <w:vAlign w:val="bottom"/>
          </w:tcPr>
          <w:p>
            <w:pPr>
              <w:spacing w:after="0"/>
              <w:rPr>
                <w:sz w:val="1"/>
                <w:szCs w:val="1"/>
                <w:color w:val="auto"/>
              </w:rPr>
            </w:pPr>
          </w:p>
        </w:tc>
      </w:tr>
      <w:tr>
        <w:trPr>
          <w:trHeight w:val="287"/>
        </w:trPr>
        <w:tc>
          <w:tcPr>
            <w:tcW w:w="4820" w:type="dxa"/>
            <w:vAlign w:val="bottom"/>
          </w:tcPr>
          <w:p>
            <w:pPr>
              <w:ind w:left="340"/>
              <w:spacing w:after="0"/>
              <w:rPr>
                <w:sz w:val="20"/>
                <w:szCs w:val="20"/>
                <w:color w:val="auto"/>
              </w:rPr>
            </w:pPr>
            <w:r>
              <w:rPr>
                <w:rFonts w:ascii="Times New Roman" w:cs="Times New Roman" w:eastAsia="Times New Roman" w:hAnsi="Times New Roman"/>
                <w:sz w:val="22"/>
                <w:szCs w:val="22"/>
                <w:i w:val="1"/>
                <w:iCs w:val="1"/>
                <w:color w:val="auto"/>
              </w:rPr>
              <w:t>Glo Fiber Expansion Markets</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i w:val="1"/>
                <w:iCs w:val="1"/>
                <w:color w:val="auto"/>
              </w:rPr>
              <w:t>500,584</w:t>
            </w: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i w:val="1"/>
                <w:iCs w:val="1"/>
                <w:color w:val="auto"/>
              </w:rPr>
              <w:t>400,323</w:t>
            </w:r>
          </w:p>
        </w:tc>
        <w:tc>
          <w:tcPr>
            <w:tcW w:w="0" w:type="dxa"/>
            <w:vAlign w:val="bottom"/>
          </w:tcPr>
          <w:p>
            <w:pPr>
              <w:spacing w:after="0"/>
              <w:rPr>
                <w:sz w:val="1"/>
                <w:szCs w:val="1"/>
                <w:color w:val="auto"/>
              </w:rPr>
            </w:pPr>
          </w:p>
        </w:tc>
      </w:tr>
      <w:tr>
        <w:trPr>
          <w:trHeight w:val="264"/>
        </w:trPr>
        <w:tc>
          <w:tcPr>
            <w:tcW w:w="4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Total homes and businesses passed</w:t>
            </w:r>
          </w:p>
        </w:tc>
        <w:tc>
          <w:tcPr>
            <w:tcW w:w="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754,603</w:t>
            </w:r>
          </w:p>
        </w:tc>
        <w:tc>
          <w:tcPr>
            <w:tcW w:w="1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648,325</w:t>
            </w:r>
          </w:p>
        </w:tc>
        <w:tc>
          <w:tcPr>
            <w:tcW w:w="0" w:type="dxa"/>
            <w:vAlign w:val="bottom"/>
          </w:tcPr>
          <w:p>
            <w:pPr>
              <w:spacing w:after="0"/>
              <w:rPr>
                <w:sz w:val="1"/>
                <w:szCs w:val="1"/>
                <w:color w:val="auto"/>
              </w:rPr>
            </w:pPr>
          </w:p>
        </w:tc>
      </w:tr>
      <w:tr>
        <w:trPr>
          <w:trHeight w:val="21"/>
        </w:trPr>
        <w:tc>
          <w:tcPr>
            <w:tcW w:w="8080" w:type="dxa"/>
            <w:vAlign w:val="bottom"/>
            <w:gridSpan w:val="7"/>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Residential &amp; Small and Medium Business ("SMB") Revenue Generating Units</w:t>
            </w:r>
          </w:p>
        </w:tc>
        <w:tc>
          <w:tcPr>
            <w:tcW w:w="1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9"/>
        </w:trPr>
        <w:tc>
          <w:tcPr>
            <w:tcW w:w="8080" w:type="dxa"/>
            <w:vAlign w:val="bottom"/>
            <w:gridSpan w:val="7"/>
            <w:vMerge w:val="continue"/>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2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("RGUs"):</w:t>
            </w:r>
          </w:p>
        </w:tc>
        <w:tc>
          <w:tcPr>
            <w:tcW w:w="4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20" w:type="dxa"/>
            <w:vAlign w:val="bottom"/>
          </w:tcPr>
          <w:p>
            <w:pPr>
              <w:ind w:left="420"/>
              <w:spacing w:after="0"/>
              <w:rPr>
                <w:sz w:val="20"/>
                <w:szCs w:val="20"/>
                <w:color w:val="auto"/>
              </w:rPr>
            </w:pPr>
            <w:r>
              <w:rPr>
                <w:rFonts w:ascii="Times New Roman" w:cs="Times New Roman" w:eastAsia="Times New Roman" w:hAnsi="Times New Roman"/>
                <w:sz w:val="22"/>
                <w:szCs w:val="22"/>
                <w:i w:val="1"/>
                <w:iCs w:val="1"/>
                <w:color w:val="auto"/>
              </w:rPr>
              <w:t>Incumbent Broadband Markets</w:t>
            </w:r>
          </w:p>
        </w:tc>
        <w:tc>
          <w:tcPr>
            <w:tcW w:w="4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110,032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i w:val="1"/>
                <w:iCs w:val="1"/>
                <w:color w:val="auto"/>
              </w:rPr>
              <w:t>111,900</w:t>
            </w:r>
          </w:p>
        </w:tc>
        <w:tc>
          <w:tcPr>
            <w:tcW w:w="0" w:type="dxa"/>
            <w:vAlign w:val="bottom"/>
          </w:tcPr>
          <w:p>
            <w:pPr>
              <w:spacing w:after="0"/>
              <w:rPr>
                <w:sz w:val="1"/>
                <w:szCs w:val="1"/>
                <w:color w:val="auto"/>
              </w:rPr>
            </w:pPr>
          </w:p>
        </w:tc>
      </w:tr>
      <w:tr>
        <w:trPr>
          <w:trHeight w:val="286"/>
        </w:trPr>
        <w:tc>
          <w:tcPr>
            <w:tcW w:w="4820" w:type="dxa"/>
            <w:vAlign w:val="bottom"/>
          </w:tcPr>
          <w:p>
            <w:pPr>
              <w:ind w:left="420"/>
              <w:spacing w:after="0"/>
              <w:rPr>
                <w:sz w:val="20"/>
                <w:szCs w:val="20"/>
                <w:color w:val="auto"/>
              </w:rPr>
            </w:pPr>
            <w:r>
              <w:rPr>
                <w:rFonts w:ascii="Times New Roman" w:cs="Times New Roman" w:eastAsia="Times New Roman" w:hAnsi="Times New Roman"/>
                <w:sz w:val="22"/>
                <w:szCs w:val="22"/>
                <w:i w:val="1"/>
                <w:iCs w:val="1"/>
                <w:color w:val="auto"/>
              </w:rPr>
              <w:t>Glo Fiber Expansion Markets</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i w:val="1"/>
                <w:iCs w:val="1"/>
                <w:color w:val="auto"/>
              </w:rPr>
              <w:t>108,787</w:t>
            </w: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i w:val="1"/>
                <w:iCs w:val="1"/>
                <w:color w:val="auto"/>
              </w:rPr>
              <w:t>82,662</w:t>
            </w:r>
          </w:p>
        </w:tc>
        <w:tc>
          <w:tcPr>
            <w:tcW w:w="0" w:type="dxa"/>
            <w:vAlign w:val="bottom"/>
          </w:tcPr>
          <w:p>
            <w:pPr>
              <w:spacing w:after="0"/>
              <w:rPr>
                <w:sz w:val="1"/>
                <w:szCs w:val="1"/>
                <w:color w:val="auto"/>
              </w:rPr>
            </w:pPr>
          </w:p>
        </w:tc>
      </w:tr>
      <w:tr>
        <w:trPr>
          <w:trHeight w:val="251"/>
        </w:trPr>
        <w:tc>
          <w:tcPr>
            <w:tcW w:w="4820" w:type="dxa"/>
            <w:vAlign w:val="bottom"/>
          </w:tcPr>
          <w:p>
            <w:pPr>
              <w:ind w:left="140"/>
              <w:spacing w:after="0" w:line="251" w:lineRule="exact"/>
              <w:rPr>
                <w:sz w:val="20"/>
                <w:szCs w:val="20"/>
                <w:color w:val="auto"/>
              </w:rPr>
            </w:pPr>
            <w:r>
              <w:rPr>
                <w:rFonts w:ascii="Times New Roman" w:cs="Times New Roman" w:eastAsia="Times New Roman" w:hAnsi="Times New Roman"/>
                <w:sz w:val="22"/>
                <w:szCs w:val="22"/>
                <w:color w:val="auto"/>
              </w:rPr>
              <w:t>Broadband Data</w:t>
            </w: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218,819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194,562</w:t>
            </w:r>
          </w:p>
        </w:tc>
        <w:tc>
          <w:tcPr>
            <w:tcW w:w="0" w:type="dxa"/>
            <w:vAlign w:val="bottom"/>
          </w:tcPr>
          <w:p>
            <w:pPr>
              <w:spacing w:after="0"/>
              <w:rPr>
                <w:sz w:val="1"/>
                <w:szCs w:val="1"/>
                <w:color w:val="auto"/>
              </w:rPr>
            </w:pPr>
          </w:p>
        </w:tc>
      </w:tr>
      <w:tr>
        <w:trPr>
          <w:trHeight w:val="270"/>
        </w:trPr>
        <w:tc>
          <w:tcPr>
            <w:tcW w:w="4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Video</w:t>
            </w:r>
          </w:p>
        </w:tc>
        <w:tc>
          <w:tcPr>
            <w:tcW w:w="4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34,325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36,601</w:t>
            </w:r>
          </w:p>
        </w:tc>
        <w:tc>
          <w:tcPr>
            <w:tcW w:w="0" w:type="dxa"/>
            <w:vAlign w:val="bottom"/>
          </w:tcPr>
          <w:p>
            <w:pPr>
              <w:spacing w:after="0"/>
              <w:rPr>
                <w:sz w:val="1"/>
                <w:szCs w:val="1"/>
                <w:color w:val="auto"/>
              </w:rPr>
            </w:pPr>
          </w:p>
        </w:tc>
      </w:tr>
      <w:tr>
        <w:trPr>
          <w:trHeight w:val="283"/>
        </w:trPr>
        <w:tc>
          <w:tcPr>
            <w:tcW w:w="4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Voice</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27,350</w:t>
            </w: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26,477</w:t>
            </w:r>
          </w:p>
        </w:tc>
        <w:tc>
          <w:tcPr>
            <w:tcW w:w="0" w:type="dxa"/>
            <w:vAlign w:val="bottom"/>
          </w:tcPr>
          <w:p>
            <w:pPr>
              <w:spacing w:after="0"/>
              <w:rPr>
                <w:sz w:val="1"/>
                <w:szCs w:val="1"/>
                <w:color w:val="auto"/>
              </w:rPr>
            </w:pPr>
          </w:p>
        </w:tc>
      </w:tr>
      <w:tr>
        <w:trPr>
          <w:trHeight w:val="264"/>
        </w:trPr>
        <w:tc>
          <w:tcPr>
            <w:tcW w:w="482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Total Residential &amp; SMB RGUs (excludes RLEC)</w:t>
            </w:r>
          </w:p>
        </w:tc>
        <w:tc>
          <w:tcPr>
            <w:tcW w:w="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280,494</w:t>
            </w:r>
          </w:p>
        </w:tc>
        <w:tc>
          <w:tcPr>
            <w:tcW w:w="1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257,640</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Residential &amp; SMB Penetration (2)</w:t>
            </w: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6"/>
        </w:trPr>
        <w:tc>
          <w:tcPr>
            <w:tcW w:w="48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20" w:type="dxa"/>
            <w:vAlign w:val="bottom"/>
          </w:tcPr>
          <w:p>
            <w:pPr>
              <w:ind w:left="420"/>
              <w:spacing w:after="0"/>
              <w:rPr>
                <w:sz w:val="20"/>
                <w:szCs w:val="20"/>
                <w:color w:val="auto"/>
              </w:rPr>
            </w:pPr>
            <w:r>
              <w:rPr>
                <w:rFonts w:ascii="Times New Roman" w:cs="Times New Roman" w:eastAsia="Times New Roman" w:hAnsi="Times New Roman"/>
                <w:sz w:val="22"/>
                <w:szCs w:val="22"/>
                <w:i w:val="1"/>
                <w:iCs w:val="1"/>
                <w:color w:val="auto"/>
              </w:rPr>
              <w:t>Incumbent Broadband Markets</w:t>
            </w:r>
          </w:p>
        </w:tc>
        <w:tc>
          <w:tcPr>
            <w:tcW w:w="4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i w:val="1"/>
                <w:iCs w:val="1"/>
                <w:color w:val="auto"/>
              </w:rPr>
              <w:t>43.3%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45.1%</w:t>
            </w:r>
          </w:p>
        </w:tc>
        <w:tc>
          <w:tcPr>
            <w:tcW w:w="0" w:type="dxa"/>
            <w:vAlign w:val="bottom"/>
          </w:tcPr>
          <w:p>
            <w:pPr>
              <w:spacing w:after="0"/>
              <w:rPr>
                <w:sz w:val="1"/>
                <w:szCs w:val="1"/>
                <w:color w:val="auto"/>
              </w:rPr>
            </w:pPr>
          </w:p>
        </w:tc>
      </w:tr>
      <w:tr>
        <w:trPr>
          <w:trHeight w:val="274"/>
        </w:trPr>
        <w:tc>
          <w:tcPr>
            <w:tcW w:w="4820" w:type="dxa"/>
            <w:vAlign w:val="bottom"/>
          </w:tcPr>
          <w:p>
            <w:pPr>
              <w:ind w:left="420"/>
              <w:spacing w:after="0"/>
              <w:rPr>
                <w:sz w:val="20"/>
                <w:szCs w:val="20"/>
                <w:color w:val="auto"/>
              </w:rPr>
            </w:pPr>
            <w:r>
              <w:rPr>
                <w:rFonts w:ascii="Times New Roman" w:cs="Times New Roman" w:eastAsia="Times New Roman" w:hAnsi="Times New Roman"/>
                <w:sz w:val="22"/>
                <w:szCs w:val="22"/>
                <w:i w:val="1"/>
                <w:iCs w:val="1"/>
                <w:color w:val="auto"/>
              </w:rPr>
              <w:t>Glo Fiber Expansion Markets</w:t>
            </w:r>
          </w:p>
        </w:tc>
        <w:tc>
          <w:tcPr>
            <w:tcW w:w="4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i w:val="1"/>
                <w:iCs w:val="1"/>
                <w:color w:val="auto"/>
              </w:rPr>
              <w:t>21.7%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20.6%</w:t>
            </w:r>
          </w:p>
        </w:tc>
        <w:tc>
          <w:tcPr>
            <w:tcW w:w="0" w:type="dxa"/>
            <w:vAlign w:val="bottom"/>
          </w:tcPr>
          <w:p>
            <w:pPr>
              <w:spacing w:after="0"/>
              <w:rPr>
                <w:sz w:val="1"/>
                <w:szCs w:val="1"/>
                <w:color w:val="auto"/>
              </w:rPr>
            </w:pPr>
          </w:p>
        </w:tc>
      </w:tr>
      <w:tr>
        <w:trPr>
          <w:trHeight w:val="270"/>
        </w:trPr>
        <w:tc>
          <w:tcPr>
            <w:tcW w:w="4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Broadband Data</w:t>
            </w:r>
          </w:p>
        </w:tc>
        <w:tc>
          <w:tcPr>
            <w:tcW w:w="4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29.0%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30.0%</w:t>
            </w:r>
          </w:p>
        </w:tc>
        <w:tc>
          <w:tcPr>
            <w:tcW w:w="0" w:type="dxa"/>
            <w:vAlign w:val="bottom"/>
          </w:tcPr>
          <w:p>
            <w:pPr>
              <w:spacing w:after="0"/>
              <w:rPr>
                <w:sz w:val="1"/>
                <w:szCs w:val="1"/>
                <w:color w:val="auto"/>
              </w:rPr>
            </w:pPr>
          </w:p>
        </w:tc>
      </w:tr>
      <w:tr>
        <w:trPr>
          <w:trHeight w:val="270"/>
        </w:trPr>
        <w:tc>
          <w:tcPr>
            <w:tcW w:w="4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Video</w:t>
            </w:r>
          </w:p>
        </w:tc>
        <w:tc>
          <w:tcPr>
            <w:tcW w:w="4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c>
          <w:tcPr>
            <w:tcW w:w="0" w:type="dxa"/>
            <w:vAlign w:val="bottom"/>
          </w:tcPr>
          <w:p>
            <w:pPr>
              <w:spacing w:after="0"/>
              <w:rPr>
                <w:sz w:val="1"/>
                <w:szCs w:val="1"/>
                <w:color w:val="auto"/>
              </w:rPr>
            </w:pPr>
          </w:p>
        </w:tc>
      </w:tr>
      <w:tr>
        <w:trPr>
          <w:trHeight w:val="282"/>
        </w:trPr>
        <w:tc>
          <w:tcPr>
            <w:tcW w:w="4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Voice</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c>
          <w:tcPr>
            <w:tcW w:w="0" w:type="dxa"/>
            <w:vAlign w:val="bottom"/>
          </w:tcPr>
          <w:p>
            <w:pPr>
              <w:spacing w:after="0"/>
              <w:rPr>
                <w:sz w:val="1"/>
                <w:szCs w:val="1"/>
                <w:color w:val="auto"/>
              </w:rPr>
            </w:pPr>
          </w:p>
        </w:tc>
      </w:tr>
      <w:tr>
        <w:trPr>
          <w:trHeight w:val="528"/>
        </w:trPr>
        <w:tc>
          <w:tcPr>
            <w:tcW w:w="4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Fiber route miles</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20,085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18,077</w:t>
            </w:r>
          </w:p>
        </w:tc>
        <w:tc>
          <w:tcPr>
            <w:tcW w:w="0" w:type="dxa"/>
            <w:vAlign w:val="bottom"/>
          </w:tcPr>
          <w:p>
            <w:pPr>
              <w:spacing w:after="0"/>
              <w:rPr>
                <w:sz w:val="1"/>
                <w:szCs w:val="1"/>
                <w:color w:val="auto"/>
              </w:rPr>
            </w:pPr>
          </w:p>
        </w:tc>
      </w:tr>
      <w:tr>
        <w:trPr>
          <w:trHeight w:val="282"/>
        </w:trPr>
        <w:tc>
          <w:tcPr>
            <w:tcW w:w="4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Total fiber miles (3)</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2,133,729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1,957,272</w:t>
            </w: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w:t>
      </w:r>
    </w:p>
    <w:p>
      <w:pPr>
        <w:spacing w:after="0" w:line="19" w:lineRule="exact"/>
        <w:rPr>
          <w:sz w:val="20"/>
          <w:szCs w:val="20"/>
          <w:color w:val="auto"/>
        </w:rPr>
      </w:pPr>
    </w:p>
    <w:p>
      <w:pPr>
        <w:ind w:right="380" w:firstLine="8"/>
        <w:spacing w:after="0" w:line="270"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Homes and businesses are considered passed (“passings”) if we can connect them to our network without further extending the distribution system. Passings is an estimate based upon the best available information. Passings will vary among video, broadband data and voice services.</w:t>
      </w: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Penetration is calculated by dividing the number of users by the number of passings or available homes, as appropriate.</w:t>
      </w:r>
    </w:p>
    <w:p>
      <w:pPr>
        <w:spacing w:after="0" w:line="36" w:lineRule="exact"/>
        <w:rPr>
          <w:rFonts w:ascii="Times New Roman" w:cs="Times New Roman" w:eastAsia="Times New Roman" w:hAnsi="Times New Roman"/>
          <w:sz w:val="18"/>
          <w:szCs w:val="18"/>
          <w:color w:val="auto"/>
        </w:rPr>
      </w:pPr>
    </w:p>
    <w:p>
      <w:pPr>
        <w:ind w:right="320" w:firstLine="8"/>
        <w:spacing w:after="0" w:line="313"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fiber miles are measured by taking the number of fiber strands in a cable and multiplying that number by the route distance. For example, a 10 mile route with 144 fiber strands would equal 1,440 fiber miles.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55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Residential &amp; SMB ARPU</w:t>
            </w:r>
          </w:p>
        </w:tc>
        <w:tc>
          <w:tcPr>
            <w:tcW w:w="260" w:type="dxa"/>
            <w:vAlign w:val="bottom"/>
          </w:tcPr>
          <w:p>
            <w:pPr>
              <w:spacing w:after="0"/>
              <w:rPr>
                <w:sz w:val="24"/>
                <w:szCs w:val="24"/>
                <w:color w:val="auto"/>
              </w:rPr>
            </w:pPr>
          </w:p>
        </w:tc>
        <w:tc>
          <w:tcPr>
            <w:tcW w:w="2660" w:type="dxa"/>
            <w:vAlign w:val="bottom"/>
            <w:gridSpan w:val="5"/>
            <w:vMerge w:val="restart"/>
          </w:tcPr>
          <w:p>
            <w:pPr>
              <w:jc w:val="center"/>
              <w:ind w:right="380"/>
              <w:spacing w:after="0"/>
              <w:rPr>
                <w:sz w:val="20"/>
                <w:szCs w:val="20"/>
                <w:color w:val="auto"/>
              </w:rPr>
            </w:pPr>
            <w:r>
              <w:rPr>
                <w:rFonts w:ascii="Times New Roman" w:cs="Times New Roman" w:eastAsia="Times New Roman" w:hAnsi="Times New Roman"/>
                <w:sz w:val="22"/>
                <w:szCs w:val="22"/>
                <w:b w:val="1"/>
                <w:bCs w:val="1"/>
                <w:color w:val="auto"/>
                <w:w w:val="97"/>
              </w:rPr>
              <w:t>Three Months Ended</w:t>
            </w:r>
          </w:p>
        </w:tc>
        <w:tc>
          <w:tcPr>
            <w:tcW w:w="300" w:type="dxa"/>
            <w:vAlign w:val="bottom"/>
          </w:tcPr>
          <w:p>
            <w:pPr>
              <w:spacing w:after="0"/>
              <w:rPr>
                <w:sz w:val="24"/>
                <w:szCs w:val="24"/>
                <w:color w:val="auto"/>
              </w:rPr>
            </w:pPr>
          </w:p>
        </w:tc>
        <w:tc>
          <w:tcPr>
            <w:tcW w:w="2500" w:type="dxa"/>
            <w:vAlign w:val="bottom"/>
            <w:gridSpan w:val="4"/>
            <w:vMerge w:val="restart"/>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Nine Months Ended</w:t>
            </w:r>
          </w:p>
        </w:tc>
        <w:tc>
          <w:tcPr>
            <w:tcW w:w="0" w:type="dxa"/>
            <w:vAlign w:val="bottom"/>
          </w:tcPr>
          <w:p>
            <w:pPr>
              <w:spacing w:after="0"/>
              <w:rPr>
                <w:sz w:val="1"/>
                <w:szCs w:val="1"/>
                <w:color w:val="auto"/>
              </w:rPr>
            </w:pPr>
          </w:p>
        </w:tc>
      </w:tr>
      <w:tr>
        <w:trPr>
          <w:trHeight w:val="227"/>
        </w:trPr>
        <w:tc>
          <w:tcPr>
            <w:tcW w:w="26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gridSpan w:val="5"/>
            <w:vMerge w:val="continue"/>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i w:val="1"/>
                <w:iCs w:val="1"/>
                <w:color w:val="auto"/>
              </w:rPr>
              <w:t>($ in thousands, except ARPU)</w:t>
            </w:r>
          </w:p>
        </w:tc>
        <w:tc>
          <w:tcPr>
            <w:tcW w:w="260" w:type="dxa"/>
            <w:vAlign w:val="bottom"/>
          </w:tcPr>
          <w:p>
            <w:pPr>
              <w:spacing w:after="0"/>
              <w:rPr>
                <w:sz w:val="24"/>
                <w:szCs w:val="24"/>
                <w:color w:val="auto"/>
              </w:rPr>
            </w:pPr>
          </w:p>
        </w:tc>
        <w:tc>
          <w:tcPr>
            <w:tcW w:w="2660" w:type="dxa"/>
            <w:vAlign w:val="bottom"/>
            <w:gridSpan w:val="5"/>
          </w:tcPr>
          <w:p>
            <w:pPr>
              <w:jc w:val="center"/>
              <w:ind w:right="380"/>
              <w:spacing w:after="0"/>
              <w:rPr>
                <w:sz w:val="20"/>
                <w:szCs w:val="20"/>
                <w:color w:val="auto"/>
              </w:rPr>
            </w:pPr>
            <w:r>
              <w:rPr>
                <w:rFonts w:ascii="Times New Roman" w:cs="Times New Roman" w:eastAsia="Times New Roman" w:hAnsi="Times New Roman"/>
                <w:sz w:val="22"/>
                <w:szCs w:val="22"/>
                <w:b w:val="1"/>
                <w:bCs w:val="1"/>
                <w:color w:val="auto"/>
                <w:w w:val="98"/>
              </w:rPr>
              <w:t>September 30,</w:t>
            </w:r>
          </w:p>
        </w:tc>
        <w:tc>
          <w:tcPr>
            <w:tcW w:w="300" w:type="dxa"/>
            <w:vAlign w:val="bottom"/>
          </w:tcPr>
          <w:p>
            <w:pPr>
              <w:spacing w:after="0"/>
              <w:rPr>
                <w:sz w:val="24"/>
                <w:szCs w:val="24"/>
                <w:color w:val="auto"/>
              </w:rPr>
            </w:pPr>
          </w:p>
        </w:tc>
        <w:tc>
          <w:tcPr>
            <w:tcW w:w="2500" w:type="dxa"/>
            <w:vAlign w:val="bottom"/>
            <w:gridSpan w:val="4"/>
          </w:tcPr>
          <w:p>
            <w:pPr>
              <w:jc w:val="right"/>
              <w:ind w:right="632"/>
              <w:spacing w:after="0"/>
              <w:rPr>
                <w:sz w:val="20"/>
                <w:szCs w:val="20"/>
                <w:color w:val="auto"/>
              </w:rPr>
            </w:pPr>
            <w:r>
              <w:rPr>
                <w:rFonts w:ascii="Times New Roman" w:cs="Times New Roman" w:eastAsia="Times New Roman" w:hAnsi="Times New Roman"/>
                <w:sz w:val="22"/>
                <w:szCs w:val="22"/>
                <w:b w:val="1"/>
                <w:bCs w:val="1"/>
                <w:color w:val="auto"/>
              </w:rPr>
              <w:t>September 30,</w:t>
            </w:r>
          </w:p>
        </w:tc>
        <w:tc>
          <w:tcPr>
            <w:tcW w:w="0" w:type="dxa"/>
            <w:vAlign w:val="bottom"/>
          </w:tcPr>
          <w:p>
            <w:pPr>
              <w:spacing w:after="0"/>
              <w:rPr>
                <w:sz w:val="1"/>
                <w:szCs w:val="1"/>
                <w:color w:val="auto"/>
              </w:rPr>
            </w:pPr>
          </w:p>
        </w:tc>
      </w:tr>
      <w:tr>
        <w:trPr>
          <w:trHeight w:val="264"/>
        </w:trPr>
        <w:tc>
          <w:tcPr>
            <w:tcW w:w="5500" w:type="dxa"/>
            <w:vAlign w:val="bottom"/>
            <w:gridSpan w:val="2"/>
            <w:vMerge w:val="continue"/>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0" w:type="dxa"/>
            <w:vAlign w:val="bottom"/>
          </w:tcPr>
          <w:p>
            <w:pPr>
              <w:spacing w:after="0"/>
              <w:rPr>
                <w:sz w:val="1"/>
                <w:szCs w:val="1"/>
                <w:color w:val="auto"/>
              </w:rPr>
            </w:pPr>
          </w:p>
        </w:tc>
      </w:tr>
      <w:tr>
        <w:trPr>
          <w:trHeight w:val="196"/>
        </w:trPr>
        <w:tc>
          <w:tcPr>
            <w:tcW w:w="5500" w:type="dxa"/>
            <w:vAlign w:val="bottom"/>
            <w:gridSpan w:val="2"/>
          </w:tcPr>
          <w:p>
            <w:pPr>
              <w:spacing w:after="0" w:line="196" w:lineRule="exact"/>
              <w:rPr>
                <w:sz w:val="20"/>
                <w:szCs w:val="20"/>
                <w:color w:val="auto"/>
              </w:rPr>
            </w:pPr>
            <w:r>
              <w:rPr>
                <w:rFonts w:ascii="Times New Roman" w:cs="Times New Roman" w:eastAsia="Times New Roman" w:hAnsi="Times New Roman"/>
                <w:sz w:val="22"/>
                <w:szCs w:val="22"/>
                <w:b w:val="1"/>
                <w:bCs w:val="1"/>
                <w:i w:val="1"/>
                <w:iCs w:val="1"/>
                <w:color w:val="auto"/>
              </w:rPr>
              <w:t>Residential &amp; SMB Revenue:</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2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5500" w:type="dxa"/>
            <w:vAlign w:val="bottom"/>
            <w:gridSpan w:val="2"/>
          </w:tcPr>
          <w:p>
            <w:pPr>
              <w:ind w:left="120"/>
              <w:spacing w:after="0"/>
              <w:rPr>
                <w:sz w:val="20"/>
                <w:szCs w:val="20"/>
                <w:color w:val="auto"/>
              </w:rPr>
            </w:pPr>
            <w:r>
              <w:rPr>
                <w:rFonts w:ascii="Times New Roman" w:cs="Times New Roman" w:eastAsia="Times New Roman" w:hAnsi="Times New Roman"/>
                <w:sz w:val="22"/>
                <w:szCs w:val="22"/>
                <w:i w:val="1"/>
                <w:iCs w:val="1"/>
                <w:color w:val="auto"/>
              </w:rPr>
              <w:t>Incumbent Broadband Markets</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i w:val="1"/>
                <w:iCs w:val="1"/>
                <w:color w:val="auto"/>
                <w:w w:val="9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26,413</w:t>
            </w:r>
          </w:p>
        </w:tc>
        <w:tc>
          <w:tcPr>
            <w:tcW w:w="120" w:type="dxa"/>
            <w:vAlign w:val="bottom"/>
          </w:tcPr>
          <w:p>
            <w:pPr>
              <w:spacing w:after="0"/>
              <w:rPr>
                <w:sz w:val="24"/>
                <w:szCs w:val="24"/>
                <w:color w:val="auto"/>
              </w:rPr>
            </w:pP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i w:val="1"/>
                <w:iCs w:val="1"/>
                <w:color w:val="auto"/>
                <w:w w:val="9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27,635</w:t>
            </w:r>
          </w:p>
        </w:tc>
        <w:tc>
          <w:tcPr>
            <w:tcW w:w="120" w:type="dxa"/>
            <w:vAlign w:val="bottom"/>
          </w:tcPr>
          <w:p>
            <w:pPr>
              <w:spacing w:after="0"/>
              <w:rPr>
                <w:sz w:val="24"/>
                <w:szCs w:val="24"/>
                <w:color w:val="auto"/>
              </w:rPr>
            </w:pP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i w:val="1"/>
                <w:iCs w:val="1"/>
                <w:color w:val="auto"/>
                <w:w w:val="9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80,841</w:t>
            </w:r>
          </w:p>
        </w:tc>
        <w:tc>
          <w:tcPr>
            <w:tcW w:w="100" w:type="dxa"/>
            <w:vAlign w:val="bottom"/>
          </w:tcPr>
          <w:p>
            <w:pPr>
              <w:spacing w:after="0"/>
              <w:rPr>
                <w:sz w:val="24"/>
                <w:szCs w:val="24"/>
                <w:color w:val="auto"/>
              </w:rPr>
            </w:pPr>
          </w:p>
        </w:tc>
        <w:tc>
          <w:tcPr>
            <w:tcW w:w="320" w:type="dxa"/>
            <w:vAlign w:val="bottom"/>
          </w:tcPr>
          <w:p>
            <w:pPr>
              <w:jc w:val="right"/>
              <w:ind w:right="72"/>
              <w:spacing w:after="0"/>
              <w:rPr>
                <w:sz w:val="20"/>
                <w:szCs w:val="20"/>
                <w:color w:val="auto"/>
              </w:rPr>
            </w:pPr>
            <w:r>
              <w:rPr>
                <w:rFonts w:ascii="Times New Roman" w:cs="Times New Roman" w:eastAsia="Times New Roman" w:hAnsi="Times New Roman"/>
                <w:sz w:val="22"/>
                <w:szCs w:val="22"/>
                <w:i w:val="1"/>
                <w:i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83,360</w:t>
            </w:r>
          </w:p>
        </w:tc>
        <w:tc>
          <w:tcPr>
            <w:tcW w:w="0" w:type="dxa"/>
            <w:vAlign w:val="bottom"/>
          </w:tcPr>
          <w:p>
            <w:pPr>
              <w:spacing w:after="0"/>
              <w:rPr>
                <w:sz w:val="1"/>
                <w:szCs w:val="1"/>
                <w:color w:val="auto"/>
              </w:rPr>
            </w:pPr>
          </w:p>
        </w:tc>
      </w:tr>
      <w:tr>
        <w:trPr>
          <w:trHeight w:val="286"/>
        </w:trPr>
        <w:tc>
          <w:tcPr>
            <w:tcW w:w="5500" w:type="dxa"/>
            <w:vAlign w:val="bottom"/>
            <w:gridSpan w:val="2"/>
          </w:tcPr>
          <w:p>
            <w:pPr>
              <w:ind w:left="120"/>
              <w:spacing w:after="0"/>
              <w:rPr>
                <w:sz w:val="20"/>
                <w:szCs w:val="20"/>
                <w:color w:val="auto"/>
              </w:rPr>
            </w:pPr>
            <w:r>
              <w:rPr>
                <w:rFonts w:ascii="Times New Roman" w:cs="Times New Roman" w:eastAsia="Times New Roman" w:hAnsi="Times New Roman"/>
                <w:sz w:val="22"/>
                <w:szCs w:val="22"/>
                <w:i w:val="1"/>
                <w:iCs w:val="1"/>
                <w:color w:val="auto"/>
              </w:rPr>
              <w:t>Glo Fiber Expansion Markets</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i w:val="1"/>
                <w:iCs w:val="1"/>
                <w:color w:val="auto"/>
              </w:rPr>
              <w:t>23,884</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i w:val="1"/>
                <w:iCs w:val="1"/>
                <w:color w:val="auto"/>
              </w:rPr>
              <w:t>18,325</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i w:val="1"/>
                <w:iCs w:val="1"/>
                <w:color w:val="auto"/>
              </w:rPr>
              <w:t>67,237</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i w:val="1"/>
                <w:iCs w:val="1"/>
                <w:color w:val="auto"/>
              </w:rPr>
              <w:t>51,009</w:t>
            </w:r>
          </w:p>
        </w:tc>
        <w:tc>
          <w:tcPr>
            <w:tcW w:w="0" w:type="dxa"/>
            <w:vAlign w:val="bottom"/>
          </w:tcPr>
          <w:p>
            <w:pPr>
              <w:spacing w:after="0"/>
              <w:rPr>
                <w:sz w:val="1"/>
                <w:szCs w:val="1"/>
                <w:color w:val="auto"/>
              </w:rPr>
            </w:pPr>
          </w:p>
        </w:tc>
      </w:tr>
      <w:tr>
        <w:trPr>
          <w:trHeight w:val="251"/>
        </w:trPr>
        <w:tc>
          <w:tcPr>
            <w:tcW w:w="5500" w:type="dxa"/>
            <w:vAlign w:val="bottom"/>
            <w:gridSpan w:val="2"/>
          </w:tcPr>
          <w:p>
            <w:pPr>
              <w:spacing w:after="0" w:line="251" w:lineRule="exact"/>
              <w:rPr>
                <w:sz w:val="20"/>
                <w:szCs w:val="20"/>
                <w:color w:val="auto"/>
              </w:rPr>
            </w:pPr>
            <w:r>
              <w:rPr>
                <w:rFonts w:ascii="Times New Roman" w:cs="Times New Roman" w:eastAsia="Times New Roman" w:hAnsi="Times New Roman"/>
                <w:sz w:val="22"/>
                <w:szCs w:val="22"/>
                <w:color w:val="auto"/>
              </w:rPr>
              <w:t>Broadband Data</w:t>
            </w:r>
          </w:p>
        </w:tc>
        <w:tc>
          <w:tcPr>
            <w:tcW w:w="260" w:type="dxa"/>
            <w:vAlign w:val="bottom"/>
          </w:tcPr>
          <w:p>
            <w:pPr>
              <w:spacing w:after="0"/>
              <w:rPr>
                <w:sz w:val="21"/>
                <w:szCs w:val="21"/>
                <w:color w:val="auto"/>
              </w:rPr>
            </w:pPr>
          </w:p>
        </w:tc>
        <w:tc>
          <w:tcPr>
            <w:tcW w:w="10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50,297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45,960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148,078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134,369</w:t>
            </w:r>
          </w:p>
        </w:tc>
        <w:tc>
          <w:tcPr>
            <w:tcW w:w="0" w:type="dxa"/>
            <w:vAlign w:val="bottom"/>
          </w:tcPr>
          <w:p>
            <w:pPr>
              <w:spacing w:after="0"/>
              <w:rPr>
                <w:sz w:val="1"/>
                <w:szCs w:val="1"/>
                <w:color w:val="auto"/>
              </w:rPr>
            </w:pPr>
          </w:p>
        </w:tc>
      </w:tr>
      <w:tr>
        <w:trPr>
          <w:trHeight w:val="270"/>
        </w:trPr>
        <w:tc>
          <w:tcPr>
            <w:tcW w:w="5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Video</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13,387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13,947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41,093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42,901</w:t>
            </w:r>
          </w:p>
        </w:tc>
        <w:tc>
          <w:tcPr>
            <w:tcW w:w="0" w:type="dxa"/>
            <w:vAlign w:val="bottom"/>
          </w:tcPr>
          <w:p>
            <w:pPr>
              <w:spacing w:after="0"/>
              <w:rPr>
                <w:sz w:val="1"/>
                <w:szCs w:val="1"/>
                <w:color w:val="auto"/>
              </w:rPr>
            </w:pPr>
          </w:p>
        </w:tc>
      </w:tr>
      <w:tr>
        <w:trPr>
          <w:trHeight w:val="270"/>
        </w:trPr>
        <w:tc>
          <w:tcPr>
            <w:tcW w:w="5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Voice</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2,597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2,573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7,815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7,689</w:t>
            </w:r>
          </w:p>
        </w:tc>
        <w:tc>
          <w:tcPr>
            <w:tcW w:w="0" w:type="dxa"/>
            <w:vAlign w:val="bottom"/>
          </w:tcPr>
          <w:p>
            <w:pPr>
              <w:spacing w:after="0"/>
              <w:rPr>
                <w:sz w:val="1"/>
                <w:szCs w:val="1"/>
                <w:color w:val="auto"/>
              </w:rPr>
            </w:pPr>
          </w:p>
        </w:tc>
      </w:tr>
      <w:tr>
        <w:trPr>
          <w:trHeight w:val="282"/>
        </w:trPr>
        <w:tc>
          <w:tcPr>
            <w:tcW w:w="5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Other</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988</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760</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2,825</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2,717</w:t>
            </w:r>
          </w:p>
        </w:tc>
        <w:tc>
          <w:tcPr>
            <w:tcW w:w="0" w:type="dxa"/>
            <w:vAlign w:val="bottom"/>
          </w:tcPr>
          <w:p>
            <w:pPr>
              <w:spacing w:after="0"/>
              <w:rPr>
                <w:sz w:val="1"/>
                <w:szCs w:val="1"/>
                <w:color w:val="auto"/>
              </w:rPr>
            </w:pPr>
          </w:p>
        </w:tc>
      </w:tr>
      <w:tr>
        <w:trPr>
          <w:trHeight w:val="265"/>
        </w:trPr>
        <w:tc>
          <w:tcPr>
            <w:tcW w:w="55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Total Residential &amp; SMB Revenue</w:t>
            </w:r>
          </w:p>
        </w:tc>
        <w:tc>
          <w:tcPr>
            <w:tcW w:w="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67,269</w:t>
            </w:r>
          </w:p>
        </w:tc>
        <w:tc>
          <w:tcPr>
            <w:tcW w:w="120" w:type="dxa"/>
            <w:vAlign w:val="bottom"/>
          </w:tcPr>
          <w:p>
            <w:pPr>
              <w:spacing w:after="0"/>
              <w:rPr>
                <w:sz w:val="23"/>
                <w:szCs w:val="23"/>
                <w:color w:val="auto"/>
              </w:rPr>
            </w:pP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63,240</w:t>
            </w:r>
          </w:p>
        </w:tc>
        <w:tc>
          <w:tcPr>
            <w:tcW w:w="120" w:type="dxa"/>
            <w:vAlign w:val="bottom"/>
          </w:tcPr>
          <w:p>
            <w:pPr>
              <w:spacing w:after="0"/>
              <w:rPr>
                <w:sz w:val="23"/>
                <w:szCs w:val="23"/>
                <w:color w:val="auto"/>
              </w:rPr>
            </w:pP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199,811</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187,676</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9" w:right="339" w:bottom="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Average RGUs:</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i w:val="1"/>
          <w:iCs w:val="1"/>
          <w:color w:val="auto"/>
        </w:rPr>
        <w:t>Incumbent Broadband Markets</w:t>
      </w:r>
    </w:p>
    <w:p>
      <w:pPr>
        <w:spacing w:after="0" w:line="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i w:val="1"/>
          <w:iCs w:val="1"/>
          <w:color w:val="auto"/>
        </w:rPr>
        <w:t>Glo Fiber Expansion Markets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Broadband Data</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Video</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Voice</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i w:val="1"/>
                <w:iCs w:val="1"/>
                <w:color w:val="auto"/>
                <w:w w:val="96"/>
              </w:rPr>
              <w:t>ARPU: (1)</w:t>
            </w:r>
          </w:p>
        </w:tc>
        <w:tc>
          <w:tcPr>
            <w:tcW w:w="32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86"/>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22"/>
                <w:szCs w:val="22"/>
                <w:i w:val="1"/>
                <w:iCs w:val="1"/>
                <w:color w:val="auto"/>
              </w:rPr>
              <w:t>Incumbent Broadband Markets</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w:t>
            </w:r>
          </w:p>
        </w:tc>
      </w:tr>
      <w:tr>
        <w:trPr>
          <w:trHeight w:val="274"/>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22"/>
                <w:szCs w:val="22"/>
                <w:i w:val="1"/>
                <w:iCs w:val="1"/>
                <w:color w:val="auto"/>
              </w:rPr>
              <w:t>Glo Fiber Expansion Markets</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w:t>
            </w:r>
          </w:p>
        </w:tc>
      </w:tr>
      <w:tr>
        <w:trPr>
          <w:trHeight w:val="270"/>
        </w:trPr>
        <w:tc>
          <w:tcPr>
            <w:tcW w:w="4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Broadband Data</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4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Video</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82"/>
        </w:trPr>
        <w:tc>
          <w:tcPr>
            <w:tcW w:w="4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Voice</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______________________________________________________</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76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w w:val="95"/>
              </w:rPr>
              <w:t>110,280</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111,865</w:t>
            </w: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110,987</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111,724</w:t>
            </w:r>
          </w:p>
        </w:tc>
      </w:tr>
      <w:tr>
        <w:trPr>
          <w:trHeight w:val="274"/>
        </w:trPr>
        <w:tc>
          <w:tcPr>
            <w:tcW w:w="76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w w:val="95"/>
              </w:rPr>
              <w:t>104,802</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79,530</w:t>
            </w: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97,558</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73,637</w:t>
            </w:r>
          </w:p>
        </w:tc>
      </w:tr>
      <w:tr>
        <w:trPr>
          <w:trHeight w:val="270"/>
        </w:trPr>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5"/>
              </w:rPr>
              <w:t>215,082</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191,395</w:t>
            </w: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208,545</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185,361</w:t>
            </w:r>
          </w:p>
        </w:tc>
      </w:tr>
      <w:tr>
        <w:trPr>
          <w:trHeight w:val="270"/>
        </w:trPr>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34,631</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37,080</w:t>
            </w: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34,807</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38,137</w:t>
            </w:r>
          </w:p>
        </w:tc>
      </w:tr>
      <w:tr>
        <w:trPr>
          <w:trHeight w:val="282"/>
        </w:trPr>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27,162</w:t>
            </w: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26,292</w:t>
            </w:r>
          </w:p>
        </w:tc>
        <w:tc>
          <w:tcPr>
            <w:tcW w:w="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26,963</w:t>
            </w: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26,077</w:t>
            </w:r>
          </w:p>
        </w:tc>
      </w:tr>
      <w:tr>
        <w:trPr>
          <w:trHeight w:val="794"/>
        </w:trPr>
        <w:tc>
          <w:tcPr>
            <w:tcW w:w="76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79.84</w:t>
            </w:r>
          </w:p>
        </w:tc>
        <w:tc>
          <w:tcPr>
            <w:tcW w:w="440" w:type="dxa"/>
            <w:vAlign w:val="bottom"/>
          </w:tcPr>
          <w:p>
            <w:pPr>
              <w:jc w:val="right"/>
              <w:ind w:right="152"/>
              <w:spacing w:after="0"/>
              <w:rPr>
                <w:sz w:val="20"/>
                <w:szCs w:val="20"/>
                <w:color w:val="auto"/>
              </w:rPr>
            </w:pPr>
            <w:r>
              <w:rPr>
                <w:rFonts w:ascii="Times New Roman" w:cs="Times New Roman" w:eastAsia="Times New Roman" w:hAnsi="Times New Roman"/>
                <w:sz w:val="22"/>
                <w:szCs w:val="22"/>
                <w:i w:val="1"/>
                <w:i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82.34</w:t>
            </w:r>
          </w:p>
        </w:tc>
        <w:tc>
          <w:tcPr>
            <w:tcW w:w="420" w:type="dxa"/>
            <w:vAlign w:val="bottom"/>
          </w:tcPr>
          <w:p>
            <w:pPr>
              <w:jc w:val="right"/>
              <w:ind w:right="132"/>
              <w:spacing w:after="0"/>
              <w:rPr>
                <w:sz w:val="20"/>
                <w:szCs w:val="20"/>
                <w:color w:val="auto"/>
              </w:rPr>
            </w:pPr>
            <w:r>
              <w:rPr>
                <w:rFonts w:ascii="Times New Roman" w:cs="Times New Roman" w:eastAsia="Times New Roman" w:hAnsi="Times New Roman"/>
                <w:sz w:val="22"/>
                <w:szCs w:val="22"/>
                <w:i w:val="1"/>
                <w:i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80.93</w:t>
            </w:r>
          </w:p>
        </w:tc>
        <w:tc>
          <w:tcPr>
            <w:tcW w:w="420" w:type="dxa"/>
            <w:vAlign w:val="bottom"/>
          </w:tcPr>
          <w:p>
            <w:pPr>
              <w:jc w:val="right"/>
              <w:ind w:right="132"/>
              <w:spacing w:after="0"/>
              <w:rPr>
                <w:sz w:val="20"/>
                <w:szCs w:val="20"/>
                <w:color w:val="auto"/>
              </w:rPr>
            </w:pPr>
            <w:r>
              <w:rPr>
                <w:rFonts w:ascii="Times New Roman" w:cs="Times New Roman" w:eastAsia="Times New Roman" w:hAnsi="Times New Roman"/>
                <w:sz w:val="22"/>
                <w:szCs w:val="22"/>
                <w:i w:val="1"/>
                <w:i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82.90</w:t>
            </w:r>
          </w:p>
        </w:tc>
      </w:tr>
      <w:tr>
        <w:trPr>
          <w:trHeight w:val="274"/>
        </w:trPr>
        <w:tc>
          <w:tcPr>
            <w:tcW w:w="76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75.96</w:t>
            </w:r>
          </w:p>
        </w:tc>
        <w:tc>
          <w:tcPr>
            <w:tcW w:w="440" w:type="dxa"/>
            <w:vAlign w:val="bottom"/>
          </w:tcPr>
          <w:p>
            <w:pPr>
              <w:jc w:val="right"/>
              <w:ind w:right="152"/>
              <w:spacing w:after="0"/>
              <w:rPr>
                <w:sz w:val="20"/>
                <w:szCs w:val="20"/>
                <w:color w:val="auto"/>
              </w:rPr>
            </w:pPr>
            <w:r>
              <w:rPr>
                <w:rFonts w:ascii="Times New Roman" w:cs="Times New Roman" w:eastAsia="Times New Roman" w:hAnsi="Times New Roman"/>
                <w:sz w:val="22"/>
                <w:szCs w:val="22"/>
                <w:i w:val="1"/>
                <w:i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76.81</w:t>
            </w:r>
          </w:p>
        </w:tc>
        <w:tc>
          <w:tcPr>
            <w:tcW w:w="420" w:type="dxa"/>
            <w:vAlign w:val="bottom"/>
          </w:tcPr>
          <w:p>
            <w:pPr>
              <w:jc w:val="right"/>
              <w:ind w:right="132"/>
              <w:spacing w:after="0"/>
              <w:rPr>
                <w:sz w:val="20"/>
                <w:szCs w:val="20"/>
                <w:color w:val="auto"/>
              </w:rPr>
            </w:pPr>
            <w:r>
              <w:rPr>
                <w:rFonts w:ascii="Times New Roman" w:cs="Times New Roman" w:eastAsia="Times New Roman" w:hAnsi="Times New Roman"/>
                <w:sz w:val="22"/>
                <w:szCs w:val="22"/>
                <w:i w:val="1"/>
                <w:i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76.58</w:t>
            </w:r>
          </w:p>
        </w:tc>
        <w:tc>
          <w:tcPr>
            <w:tcW w:w="420" w:type="dxa"/>
            <w:vAlign w:val="bottom"/>
          </w:tcPr>
          <w:p>
            <w:pPr>
              <w:jc w:val="right"/>
              <w:ind w:right="132"/>
              <w:spacing w:after="0"/>
              <w:rPr>
                <w:sz w:val="20"/>
                <w:szCs w:val="20"/>
                <w:color w:val="auto"/>
              </w:rPr>
            </w:pPr>
            <w:r>
              <w:rPr>
                <w:rFonts w:ascii="Times New Roman" w:cs="Times New Roman" w:eastAsia="Times New Roman" w:hAnsi="Times New Roman"/>
                <w:sz w:val="22"/>
                <w:szCs w:val="22"/>
                <w:i w:val="1"/>
                <w:i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76.97</w:t>
            </w:r>
          </w:p>
        </w:tc>
      </w:tr>
      <w:tr>
        <w:trPr>
          <w:trHeight w:val="270"/>
        </w:trPr>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77.95</w:t>
            </w:r>
          </w:p>
        </w:tc>
        <w:tc>
          <w:tcPr>
            <w:tcW w:w="4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80.03</w:t>
            </w:r>
          </w:p>
        </w:tc>
        <w:tc>
          <w:tcPr>
            <w:tcW w:w="4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78.89</w:t>
            </w:r>
          </w:p>
        </w:tc>
        <w:tc>
          <w:tcPr>
            <w:tcW w:w="4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80.55</w:t>
            </w:r>
          </w:p>
        </w:tc>
      </w:tr>
      <w:tr>
        <w:trPr>
          <w:trHeight w:val="270"/>
        </w:trPr>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128.85</w:t>
            </w:r>
          </w:p>
        </w:tc>
        <w:tc>
          <w:tcPr>
            <w:tcW w:w="4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125.38</w:t>
            </w:r>
          </w:p>
        </w:tc>
        <w:tc>
          <w:tcPr>
            <w:tcW w:w="4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131.18</w:t>
            </w:r>
          </w:p>
        </w:tc>
        <w:tc>
          <w:tcPr>
            <w:tcW w:w="4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124.99</w:t>
            </w:r>
          </w:p>
        </w:tc>
      </w:tr>
      <w:tr>
        <w:trPr>
          <w:trHeight w:val="282"/>
        </w:trPr>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31.87</w:t>
            </w:r>
          </w:p>
        </w:tc>
        <w:tc>
          <w:tcPr>
            <w:tcW w:w="4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32.62</w:t>
            </w:r>
          </w:p>
        </w:tc>
        <w:tc>
          <w:tcPr>
            <w:tcW w:w="4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32.20</w:t>
            </w:r>
          </w:p>
        </w:tc>
        <w:tc>
          <w:tcPr>
            <w:tcW w:w="4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32.76</w:t>
            </w:r>
          </w:p>
        </w:tc>
      </w:tr>
    </w:tbl>
    <w:p>
      <w:pPr>
        <w:spacing w:after="0" w:line="462" w:lineRule="exact"/>
        <w:rPr>
          <w:sz w:val="20"/>
          <w:szCs w:val="20"/>
          <w:color w:val="auto"/>
        </w:rPr>
      </w:pPr>
    </w:p>
    <w:p>
      <w:pPr>
        <w:sectPr>
          <w:pgSz w:w="11900" w:h="16838" w:orient="portrait"/>
          <w:cols w:equalWidth="0" w:num="2">
            <w:col w:w="5840" w:space="320"/>
            <w:col w:w="5060"/>
          </w:cols>
          <w:pgMar w:left="320" w:top="376" w:right="35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(1)  Average Revenue Per RGU calculation = (Residential &amp; SMB Revenue) / average RGUs / number of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See “Non-GAAP Financial Measures” below for a reconciliation to the most comparable GAAP measure.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Glo Fiber Expansion Markets consists of fiber to the home (“FTTH”) passings in greenfield expansion markets.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Incumbent Broadband Markets consists of incumbent cable markets and incumbent telephone markets with FTTH passings.</w:t>
      </w:r>
    </w:p>
    <w:sectPr>
      <w:pgSz w:w="11900" w:h="16838" w:orient="portrait"/>
      <w:cols w:equalWidth="0" w:num="1">
        <w:col w:w="11220"/>
      </w:cols>
      <w:pgMar w:left="320" w:top="37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04"/>
    </w:lvl>
  </w:abstractNum>
  <w:abstractNum w:abstractNumId="2">
    <w:nsid w:val="625558EC"/>
    <w:multiLevelType w:val="hybridMultilevel"/>
    <w:lvl w:ilvl="0">
      <w:lvlJc w:val="left"/>
      <w:lvlText w:val="(%1)"/>
      <w:numFmt w:val="lowerRoman"/>
      <w:start w:val="3"/>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2026-10-28T06:03:05Z</dcterms:created>
  <dcterms:modified xsi:type="dcterms:W3CDTF">2026-10-28T06:03:05Z</dcterms:modified>
</cp:coreProperties>
</file>