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ind w:left="360" w:hanging="258"/>
        <w:spacing w:after="0" w:line="218" w:lineRule="auto"/>
        <w:tabs>
          <w:tab w:leader="none" w:pos="360" w:val="left"/>
        </w:tabs>
        <w:numPr>
          <w:ilvl w:val="0"/>
          <w:numId w:val="1"/>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September 30, 2022</w:t>
      </w:r>
    </w:p>
    <w:p>
      <w:pPr>
        <w:spacing w:after="0" w:line="239" w:lineRule="exact"/>
        <w:rPr>
          <w:sz w:val="24"/>
          <w:szCs w:val="24"/>
          <w:color w:val="auto"/>
        </w:rPr>
      </w:pPr>
    </w:p>
    <w:p>
      <w:pPr>
        <w:ind w:left="3540" w:right="2200" w:hanging="3438"/>
        <w:spacing w:after="0" w:line="452" w:lineRule="auto"/>
        <w:tabs>
          <w:tab w:leader="none" w:pos="350" w:val="left"/>
        </w:tabs>
        <w:numPr>
          <w:ilvl w:val="0"/>
          <w:numId w:val="2"/>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TRANSITION REPORT PURSUANT TO SECTION 13 OR 15(d) OF THE SECURITIES EXCHANGE ACT OF 1934 For the transition period from__________ to __________</w:t>
      </w:r>
    </w:p>
    <w:p>
      <w:pPr>
        <w:spacing w:after="0" w:line="63" w:lineRule="exact"/>
        <w:rPr>
          <w:rFonts w:ascii="MS PGothic" w:cs="MS PGothic" w:eastAsia="MS PGothic" w:hAnsi="MS PGothic"/>
          <w:sz w:val="29"/>
          <w:szCs w:val="29"/>
          <w:color w:val="auto"/>
          <w:vertAlign w:val="superscript"/>
        </w:rPr>
      </w:pPr>
    </w:p>
    <w:p>
      <w:pPr>
        <w:ind w:left="4420"/>
        <w:spacing w:after="0"/>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171450</wp:posOffset>
            </wp:positionV>
            <wp:extent cx="1843405"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3405"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SHENANDOAH TELECOMMUNICATIONS COMPANY</w:t>
      </w:r>
    </w:p>
    <w:p>
      <w:pPr>
        <w:spacing w:after="0" w:line="51"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8900" w:type="dxa"/>
            <w:vAlign w:val="bottom"/>
            <w:gridSpan w:val="4"/>
          </w:tcPr>
          <w:p>
            <w:pPr>
              <w:jc w:val="center"/>
              <w:ind w:right="205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326"/>
        </w:trPr>
        <w:tc>
          <w:tcPr>
            <w:tcW w:w="1840" w:type="dxa"/>
            <w:vAlign w:val="bottom"/>
          </w:tcPr>
          <w:p>
            <w:pPr>
              <w:spacing w:after="0"/>
              <w:rPr>
                <w:sz w:val="24"/>
                <w:szCs w:val="24"/>
                <w:color w:val="auto"/>
              </w:rPr>
            </w:pPr>
          </w:p>
        </w:tc>
        <w:tc>
          <w:tcPr>
            <w:tcW w:w="164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w w:val="99"/>
              </w:rPr>
              <w:t>Virginia</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60" w:type="dxa"/>
            <w:vAlign w:val="bottom"/>
          </w:tcPr>
          <w:p>
            <w:pPr>
              <w:jc w:val="right"/>
              <w:ind w:right="2418"/>
              <w:spacing w:after="0"/>
              <w:rPr>
                <w:sz w:val="20"/>
                <w:szCs w:val="20"/>
                <w:color w:val="auto"/>
              </w:rPr>
            </w:pPr>
            <w:r>
              <w:rPr>
                <w:rFonts w:ascii="Times New Roman" w:cs="Times New Roman" w:eastAsia="Times New Roman" w:hAnsi="Times New Roman"/>
                <w:sz w:val="18"/>
                <w:szCs w:val="18"/>
                <w:b w:val="1"/>
                <w:bCs w:val="1"/>
                <w:color w:val="auto"/>
              </w:rPr>
              <w:t>54-1162807</w:t>
            </w:r>
          </w:p>
        </w:tc>
        <w:tc>
          <w:tcPr>
            <w:tcW w:w="0" w:type="dxa"/>
            <w:vAlign w:val="bottom"/>
          </w:tcPr>
          <w:p>
            <w:pPr>
              <w:spacing w:after="0"/>
              <w:rPr>
                <w:sz w:val="1"/>
                <w:szCs w:val="1"/>
                <w:color w:val="auto"/>
              </w:rPr>
            </w:pPr>
          </w:p>
        </w:tc>
      </w:tr>
      <w:tr>
        <w:trPr>
          <w:trHeight w:val="234"/>
        </w:trPr>
        <w:tc>
          <w:tcPr>
            <w:tcW w:w="628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460" w:type="dxa"/>
            <w:vAlign w:val="bottom"/>
          </w:tcPr>
          <w:p>
            <w:pPr>
              <w:jc w:val="center"/>
              <w:ind w:right="131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535"/>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Shentel Way, Edinburg, Virginia</w:t>
            </w:r>
          </w:p>
        </w:tc>
        <w:tc>
          <w:tcPr>
            <w:tcW w:w="4460" w:type="dxa"/>
            <w:vAlign w:val="bottom"/>
          </w:tcPr>
          <w:p>
            <w:pPr>
              <w:jc w:val="right"/>
              <w:ind w:right="3798"/>
              <w:spacing w:after="0"/>
              <w:rPr>
                <w:sz w:val="20"/>
                <w:szCs w:val="20"/>
                <w:color w:val="auto"/>
              </w:rPr>
            </w:pPr>
            <w:r>
              <w:rPr>
                <w:rFonts w:ascii="Times New Roman" w:cs="Times New Roman" w:eastAsia="Times New Roman" w:hAnsi="Times New Roman"/>
                <w:sz w:val="18"/>
                <w:szCs w:val="18"/>
                <w:color w:val="auto"/>
              </w:rPr>
              <w:t>22824</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4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60" w:type="dxa"/>
            <w:vAlign w:val="bottom"/>
          </w:tcPr>
          <w:p>
            <w:pPr>
              <w:jc w:val="right"/>
              <w:ind w:right="355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441"/>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(540) 984-4141</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8900" w:type="dxa"/>
            <w:vAlign w:val="bottom"/>
            <w:gridSpan w:val="4"/>
          </w:tcPr>
          <w:p>
            <w:pPr>
              <w:jc w:val="center"/>
              <w:ind w:right="2098"/>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2340" w:type="dxa"/>
            <w:vAlign w:val="bottom"/>
            <w:gridSpan w:val="2"/>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4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1840" w:type="dxa"/>
            <w:vAlign w:val="bottom"/>
          </w:tcPr>
          <w:p>
            <w:pPr>
              <w:spacing w:after="0"/>
              <w:rPr>
                <w:sz w:val="24"/>
                <w:szCs w:val="24"/>
                <w:color w:val="auto"/>
              </w:rPr>
            </w:pPr>
          </w:p>
        </w:tc>
        <w:tc>
          <w:tcPr>
            <w:tcW w:w="8900" w:type="dxa"/>
            <w:vAlign w:val="bottom"/>
            <w:gridSpan w:val="4"/>
          </w:tcPr>
          <w:p>
            <w:pPr>
              <w:jc w:val="center"/>
              <w:ind w:right="205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92"/>
        </w:trPr>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(No Par Value)</w:t>
            </w:r>
          </w:p>
        </w:tc>
        <w:tc>
          <w:tcPr>
            <w:tcW w:w="1640" w:type="dxa"/>
            <w:vAlign w:val="bottom"/>
          </w:tcPr>
          <w:p>
            <w:pPr>
              <w:jc w:val="center"/>
              <w:ind w:left="338"/>
              <w:spacing w:after="0"/>
              <w:rPr>
                <w:sz w:val="20"/>
                <w:szCs w:val="20"/>
                <w:color w:val="auto"/>
              </w:rPr>
            </w:pPr>
            <w:r>
              <w:rPr>
                <w:rFonts w:ascii="Times New Roman" w:cs="Times New Roman" w:eastAsia="Times New Roman" w:hAnsi="Times New Roman"/>
                <w:sz w:val="14"/>
                <w:szCs w:val="14"/>
                <w:color w:val="auto"/>
              </w:rPr>
              <w:t>SHEN</w:t>
            </w:r>
          </w:p>
        </w:tc>
        <w:tc>
          <w:tcPr>
            <w:tcW w:w="2800" w:type="dxa"/>
            <w:vAlign w:val="bottom"/>
            <w:gridSpan w:val="2"/>
          </w:tcPr>
          <w:p>
            <w:pPr>
              <w:jc w:val="center"/>
              <w:ind w:left="239"/>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4460" w:type="dxa"/>
            <w:vAlign w:val="bottom"/>
          </w:tcPr>
          <w:p>
            <w:pPr>
              <w:jc w:val="center"/>
              <w:ind w:left="278"/>
              <w:spacing w:after="0"/>
              <w:rPr>
                <w:sz w:val="20"/>
                <w:szCs w:val="20"/>
                <w:color w:val="auto"/>
              </w:rPr>
            </w:pPr>
            <w:r>
              <w:rPr>
                <w:rFonts w:ascii="Times New Roman" w:cs="Times New Roman" w:eastAsia="Times New Roman" w:hAnsi="Times New Roman"/>
                <w:sz w:val="14"/>
                <w:szCs w:val="14"/>
                <w:color w:val="auto"/>
              </w:rPr>
              <w:t>50,098,304</w:t>
            </w:r>
          </w:p>
        </w:tc>
        <w:tc>
          <w:tcPr>
            <w:tcW w:w="0" w:type="dxa"/>
            <w:vAlign w:val="bottom"/>
          </w:tcPr>
          <w:p>
            <w:pPr>
              <w:spacing w:after="0"/>
              <w:rPr>
                <w:sz w:val="1"/>
                <w:szCs w:val="1"/>
                <w:color w:val="auto"/>
              </w:rPr>
            </w:pPr>
          </w:p>
        </w:tc>
      </w:tr>
      <w:tr>
        <w:trPr>
          <w:trHeight w:val="158"/>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(Title of Class)</w:t>
            </w:r>
          </w:p>
        </w:tc>
        <w:tc>
          <w:tcPr>
            <w:tcW w:w="1640" w:type="dxa"/>
            <w:vAlign w:val="bottom"/>
            <w:vMerge w:val="restart"/>
          </w:tcPr>
          <w:p>
            <w:pPr>
              <w:jc w:val="center"/>
              <w:ind w:left="338"/>
              <w:spacing w:after="0"/>
              <w:rPr>
                <w:sz w:val="20"/>
                <w:szCs w:val="20"/>
                <w:color w:val="auto"/>
              </w:rPr>
            </w:pPr>
            <w:r>
              <w:rPr>
                <w:rFonts w:ascii="Times New Roman" w:cs="Times New Roman" w:eastAsia="Times New Roman" w:hAnsi="Times New Roman"/>
                <w:sz w:val="14"/>
                <w:szCs w:val="14"/>
                <w:color w:val="auto"/>
              </w:rPr>
              <w:t>(Trading Symbol)</w:t>
            </w:r>
          </w:p>
        </w:tc>
        <w:tc>
          <w:tcPr>
            <w:tcW w:w="2800" w:type="dxa"/>
            <w:vAlign w:val="bottom"/>
            <w:gridSpan w:val="2"/>
            <w:vMerge w:val="restart"/>
          </w:tcPr>
          <w:p>
            <w:pPr>
              <w:jc w:val="center"/>
              <w:ind w:left="259"/>
              <w:spacing w:after="0"/>
              <w:rPr>
                <w:sz w:val="20"/>
                <w:szCs w:val="20"/>
                <w:color w:val="auto"/>
              </w:rPr>
            </w:pPr>
            <w:r>
              <w:rPr>
                <w:rFonts w:ascii="Times New Roman" w:cs="Times New Roman" w:eastAsia="Times New Roman" w:hAnsi="Times New Roman"/>
                <w:sz w:val="14"/>
                <w:szCs w:val="14"/>
                <w:color w:val="auto"/>
              </w:rPr>
              <w:t>(Name of Exchange on which Registered)</w:t>
            </w:r>
          </w:p>
        </w:tc>
        <w:tc>
          <w:tcPr>
            <w:tcW w:w="4460" w:type="dxa"/>
            <w:vAlign w:val="bottom"/>
          </w:tcPr>
          <w:p>
            <w:pPr>
              <w:jc w:val="center"/>
              <w:ind w:left="278"/>
              <w:spacing w:after="0" w:line="159" w:lineRule="exact"/>
              <w:rPr>
                <w:sz w:val="20"/>
                <w:szCs w:val="20"/>
                <w:color w:val="auto"/>
              </w:rPr>
            </w:pPr>
            <w:r>
              <w:rPr>
                <w:rFonts w:ascii="Times New Roman" w:cs="Times New Roman" w:eastAsia="Times New Roman" w:hAnsi="Times New Roman"/>
                <w:sz w:val="14"/>
                <w:szCs w:val="14"/>
                <w:color w:val="auto"/>
              </w:rPr>
              <w:t>(The number of shares of the registrant's common stock outstanding on</w:t>
            </w:r>
          </w:p>
        </w:tc>
        <w:tc>
          <w:tcPr>
            <w:tcW w:w="0" w:type="dxa"/>
            <w:vAlign w:val="bottom"/>
          </w:tcPr>
          <w:p>
            <w:pPr>
              <w:spacing w:after="0"/>
              <w:rPr>
                <w:sz w:val="1"/>
                <w:szCs w:val="1"/>
                <w:color w:val="auto"/>
              </w:rPr>
            </w:pPr>
          </w:p>
        </w:tc>
      </w:tr>
      <w:tr>
        <w:trPr>
          <w:trHeight w:val="112"/>
        </w:trPr>
        <w:tc>
          <w:tcPr>
            <w:tcW w:w="1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4460" w:type="dxa"/>
            <w:vAlign w:val="bottom"/>
            <w:vMerge w:val="restart"/>
          </w:tcPr>
          <w:p>
            <w:pPr>
              <w:jc w:val="center"/>
              <w:ind w:left="278"/>
              <w:spacing w:after="0"/>
              <w:rPr>
                <w:sz w:val="20"/>
                <w:szCs w:val="20"/>
                <w:color w:val="auto"/>
              </w:rPr>
            </w:pPr>
            <w:r>
              <w:rPr>
                <w:rFonts w:ascii="Times New Roman" w:cs="Times New Roman" w:eastAsia="Times New Roman" w:hAnsi="Times New Roman"/>
                <w:sz w:val="14"/>
                <w:szCs w:val="14"/>
                <w:color w:val="auto"/>
              </w:rPr>
              <w:t>October 26, 2022)</w:t>
            </w:r>
          </w:p>
        </w:tc>
        <w:tc>
          <w:tcPr>
            <w:tcW w:w="0" w:type="dxa"/>
            <w:vAlign w:val="bottom"/>
          </w:tcPr>
          <w:p>
            <w:pPr>
              <w:spacing w:after="0"/>
              <w:rPr>
                <w:sz w:val="1"/>
                <w:szCs w:val="1"/>
                <w:color w:val="auto"/>
              </w:rPr>
            </w:pPr>
          </w:p>
        </w:tc>
      </w:tr>
      <w:tr>
        <w:trPr>
          <w:trHeight w:val="77"/>
        </w:trPr>
        <w:tc>
          <w:tcPr>
            <w:tcW w:w="1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81" w:lineRule="exact"/>
        <w:tabs>
          <w:tab w:leader="none" w:pos="1660" w:val="left"/>
          <w:tab w:leader="none" w:pos="2040" w:val="left"/>
          <w:tab w:leader="none" w:pos="3320" w:val="left"/>
          <w:tab w:leader="none" w:pos="3700" w:val="left"/>
          <w:tab w:leader="none" w:pos="5280" w:val="left"/>
          <w:tab w:leader="none" w:pos="5660" w:val="left"/>
          <w:tab w:leader="none" w:pos="7640" w:val="left"/>
          <w:tab w:leader="none" w:pos="8040" w:val="left"/>
          <w:tab w:leader="none" w:pos="100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120" w:type="dxa"/>
            <w:vAlign w:val="bottom"/>
            <w:gridSpan w:val="5"/>
          </w:tcPr>
          <w:p>
            <w:pPr>
              <w:jc w:val="center"/>
              <w:ind w:left="137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34"/>
        </w:trPr>
        <w:tc>
          <w:tcPr>
            <w:tcW w:w="80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120" w:type="dxa"/>
            <w:vAlign w:val="bottom"/>
            <w:gridSpan w:val="5"/>
          </w:tcPr>
          <w:p>
            <w:pPr>
              <w:jc w:val="center"/>
              <w:ind w:left="1370"/>
              <w:spacing w:after="0"/>
              <w:rPr>
                <w:sz w:val="20"/>
                <w:szCs w:val="20"/>
                <w:color w:val="auto"/>
              </w:rPr>
            </w:pPr>
            <w:r>
              <w:rPr>
                <w:rFonts w:ascii="Times New Roman" w:cs="Times New Roman" w:eastAsia="Times New Roman" w:hAnsi="Times New Roman"/>
                <w:sz w:val="18"/>
                <w:szCs w:val="18"/>
                <w:color w:val="auto"/>
                <w:w w:val="99"/>
              </w:rPr>
              <w:t>Numbers</w:t>
            </w: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INFORMATION</w:t>
            </w: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5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8"/>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Balance Sheets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Comprehensive (Loss) Income</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Shareholders’ Equity</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19</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80" w:type="dxa"/>
            <w:vAlign w:val="bottom"/>
            <w:gridSpan w:val="4"/>
          </w:tcPr>
          <w:p>
            <w:pPr>
              <w:jc w:val="center"/>
              <w:ind w:left="1610"/>
              <w:spacing w:after="0"/>
              <w:rPr>
                <w:sz w:val="20"/>
                <w:szCs w:val="20"/>
                <w:color w:val="auto"/>
              </w:rPr>
            </w:pPr>
            <w:r>
              <w:rPr>
                <w:rFonts w:ascii="Times New Roman" w:cs="Times New Roman" w:eastAsia="Times New Roman" w:hAnsi="Times New Roman"/>
                <w:sz w:val="18"/>
                <w:szCs w:val="18"/>
                <w:color w:val="0000FF"/>
                <w:w w:val="99"/>
              </w:rPr>
              <w:t>28</w:t>
            </w:r>
          </w:p>
        </w:tc>
        <w:tc>
          <w:tcPr>
            <w:tcW w:w="240" w:type="dxa"/>
            <w:vAlign w:val="bottom"/>
          </w:tcPr>
          <w:p>
            <w:pPr>
              <w:spacing w:after="0"/>
              <w:rPr>
                <w:sz w:val="24"/>
                <w:szCs w:val="24"/>
                <w:color w:val="auto"/>
              </w:rPr>
            </w:pPr>
          </w:p>
        </w:tc>
      </w:tr>
      <w:tr>
        <w:trPr>
          <w:trHeight w:val="48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17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4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240" w:type="dxa"/>
            <w:vAlign w:val="bottom"/>
          </w:tcPr>
          <w:p>
            <w:pPr>
              <w:spacing w:after="0"/>
              <w:rPr>
                <w:sz w:val="24"/>
                <w:szCs w:val="24"/>
                <w:color w:val="auto"/>
              </w:rPr>
            </w:pPr>
          </w:p>
        </w:tc>
      </w:tr>
      <w:tr>
        <w:trPr>
          <w:trHeight w:val="47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Signatures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228"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960"/>
        <w:spacing w:after="0" w:line="317" w:lineRule="auto"/>
        <w:rPr>
          <w:sz w:val="20"/>
          <w:szCs w:val="20"/>
          <w:color w:val="auto"/>
        </w:rPr>
      </w:pPr>
      <w:r>
        <w:rPr>
          <w:rFonts w:ascii="Times New Roman" w:cs="Times New Roman" w:eastAsia="Times New Roman" w:hAnsi="Times New Roman"/>
          <w:sz w:val="17"/>
          <w:szCs w:val="17"/>
          <w:b w:val="1"/>
          <w:bCs w:val="1"/>
          <w:color w:val="auto"/>
        </w:rPr>
        <w:t>SHENANDOAH TELECOMMUNICATIONS COMPANY AND SUBSIDIARIES UNAUDITED CONDENSED CONSOLIDATED BALANCE SHEETS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02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5"/>
        </w:trPr>
        <w:tc>
          <w:tcPr>
            <w:tcW w:w="802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84,344</w:t>
            </w: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$371 and $352, respectively</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22,005</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30,188</w:t>
            </w: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29,830</w:t>
            </w:r>
          </w:p>
        </w:tc>
        <w:tc>
          <w:tcPr>
            <w:tcW w:w="0" w:type="dxa"/>
            <w:vAlign w:val="bottom"/>
          </w:tcPr>
          <w:p>
            <w:pPr>
              <w:spacing w:after="0"/>
              <w:rPr>
                <w:sz w:val="1"/>
                <w:szCs w:val="1"/>
                <w:color w:val="auto"/>
              </w:rPr>
            </w:pPr>
          </w:p>
        </w:tc>
      </w:tr>
      <w:tr>
        <w:trPr>
          <w:trHeight w:val="234"/>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166,367</w:t>
            </w: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554,162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and goodwill</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8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922,458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890,733</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8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 net of unamortized loan fees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28,542</w:t>
            </w: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Advanced billings and customer deposits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0" w:type="dxa"/>
            <w:vAlign w:val="bottom"/>
          </w:tcPr>
          <w:p>
            <w:pPr>
              <w:spacing w:after="0"/>
              <w:rPr>
                <w:sz w:val="1"/>
                <w:szCs w:val="1"/>
                <w:color w:val="auto"/>
              </w:rPr>
            </w:pPr>
          </w:p>
        </w:tc>
      </w:tr>
      <w:tr>
        <w:trPr>
          <w:trHeight w:val="234"/>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78,941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67,290</w:t>
            </w:r>
          </w:p>
        </w:tc>
        <w:tc>
          <w:tcPr>
            <w:tcW w:w="0" w:type="dxa"/>
            <w:vAlign w:val="bottom"/>
          </w:tcPr>
          <w:p>
            <w:pPr>
              <w:spacing w:after="0"/>
              <w:rPr>
                <w:sz w:val="1"/>
                <w:szCs w:val="1"/>
                <w:color w:val="auto"/>
              </w:rPr>
            </w:pPr>
          </w:p>
        </w:tc>
      </w:tr>
      <w:tr>
        <w:trPr>
          <w:trHeight w:val="21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maturities, net of unamortized loan fees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86,014</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 plan obligations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51,692</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21,824</w:t>
            </w:r>
          </w:p>
        </w:tc>
        <w:tc>
          <w:tcPr>
            <w:tcW w:w="0" w:type="dxa"/>
            <w:vAlign w:val="bottom"/>
          </w:tcPr>
          <w:p>
            <w:pPr>
              <w:spacing w:after="0"/>
              <w:rPr>
                <w:sz w:val="1"/>
                <w:szCs w:val="1"/>
                <w:color w:val="auto"/>
              </w:rPr>
            </w:pPr>
          </w:p>
        </w:tc>
      </w:tr>
      <w:tr>
        <w:trPr>
          <w:trHeight w:val="234"/>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18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23"/>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176,137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181,168</w:t>
            </w:r>
          </w:p>
        </w:tc>
        <w:tc>
          <w:tcPr>
            <w:tcW w:w="0" w:type="dxa"/>
            <w:vAlign w:val="bottom"/>
          </w:tcPr>
          <w:p>
            <w:pPr>
              <w:spacing w:after="0"/>
              <w:rPr>
                <w:sz w:val="1"/>
                <w:szCs w:val="1"/>
                <w:color w:val="auto"/>
              </w:rPr>
            </w:pPr>
          </w:p>
        </w:tc>
      </w:tr>
      <w:tr>
        <w:trPr>
          <w:trHeight w:val="205"/>
        </w:trPr>
        <w:tc>
          <w:tcPr>
            <w:tcW w:w="80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Commitments and contingencies (Note 12)</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02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Common stock, no par value, authorized 96,000; 50,098 and 49,965 issued and outstanding at September 30,</w:t>
            </w:r>
          </w:p>
        </w:tc>
        <w:tc>
          <w:tcPr>
            <w:tcW w:w="180" w:type="dxa"/>
            <w:vAlign w:val="bottom"/>
          </w:tcPr>
          <w:p>
            <w:pPr>
              <w:spacing w:after="0"/>
              <w:rPr>
                <w:sz w:val="15"/>
                <w:szCs w:val="15"/>
                <w:color w:val="auto"/>
              </w:rPr>
            </w:pPr>
          </w:p>
        </w:tc>
        <w:tc>
          <w:tcPr>
            <w:tcW w:w="158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 and December 31, 2021, respectively</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49,351</w:t>
            </w:r>
          </w:p>
        </w:tc>
        <w:tc>
          <w:tcPr>
            <w:tcW w:w="0" w:type="dxa"/>
            <w:vAlign w:val="bottom"/>
          </w:tcPr>
          <w:p>
            <w:pPr>
              <w:spacing w:after="0"/>
              <w:rPr>
                <w:sz w:val="1"/>
                <w:szCs w:val="1"/>
                <w:color w:val="auto"/>
              </w:rPr>
            </w:pPr>
          </w:p>
        </w:tc>
      </w:tr>
      <w:tr>
        <w:trPr>
          <w:trHeight w:val="234"/>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586,368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592,924</w:t>
            </w:r>
          </w:p>
        </w:tc>
        <w:tc>
          <w:tcPr>
            <w:tcW w:w="0" w:type="dxa"/>
            <w:vAlign w:val="bottom"/>
          </w:tcPr>
          <w:p>
            <w:pPr>
              <w:spacing w:after="0"/>
              <w:rPr>
                <w:sz w:val="1"/>
                <w:szCs w:val="1"/>
                <w:color w:val="auto"/>
              </w:rPr>
            </w:pPr>
          </w:p>
        </w:tc>
      </w:tr>
      <w:tr>
        <w:trPr>
          <w:trHeight w:val="223"/>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642,511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642,275</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922,458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890,733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COMPREHENSIVE (LOSS) INCOME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300" w:type="dxa"/>
            <w:vAlign w:val="bottom"/>
          </w:tcPr>
          <w:p>
            <w:pPr>
              <w:spacing w:after="0"/>
              <w:rPr>
                <w:sz w:val="14"/>
                <w:szCs w:val="14"/>
                <w:color w:val="auto"/>
              </w:rPr>
            </w:pPr>
          </w:p>
        </w:tc>
        <w:tc>
          <w:tcPr>
            <w:tcW w:w="2600" w:type="dxa"/>
            <w:vAlign w:val="bottom"/>
            <w:gridSpan w:val="5"/>
          </w:tcPr>
          <w:p>
            <w:pPr>
              <w:ind w:left="340"/>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4"/>
                <w:szCs w:val="14"/>
                <w:color w:val="auto"/>
              </w:rPr>
            </w:pPr>
          </w:p>
        </w:tc>
        <w:tc>
          <w:tcPr>
            <w:tcW w:w="2480" w:type="dxa"/>
            <w:vAlign w:val="bottom"/>
            <w:gridSpan w:val="4"/>
          </w:tcPr>
          <w:p>
            <w:pPr>
              <w:jc w:val="right"/>
              <w:ind w:right="619"/>
              <w:spacing w:after="0" w:line="168"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54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8"/>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 and other</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66,924</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62,244</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197,359</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182,635</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services exclusive of 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27,477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80,572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73,819</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69,152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60,711</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17,873</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14,248</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47,008</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40,714</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68,695</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61,393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202,647</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177,164</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(loss) income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(5,288)</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5,471</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0" w:type="dxa"/>
            <w:vAlign w:val="bottom"/>
          </w:tcPr>
          <w:p>
            <w:pPr>
              <w:spacing w:after="0"/>
              <w:rPr>
                <w:sz w:val="1"/>
                <w:szCs w:val="1"/>
                <w:color w:val="auto"/>
              </w:rPr>
            </w:pPr>
          </w:p>
        </w:tc>
      </w:tr>
      <w:tr>
        <w:trPr>
          <w:trHeight w:val="210"/>
        </w:trPr>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income from continuing operations before income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8,547</w:t>
            </w: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benefit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(5,506)</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income from continuing operations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Discontinued operations: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income from discontinued operations, net of tax</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99,632</w:t>
            </w:r>
          </w:p>
        </w:tc>
        <w:tc>
          <w:tcPr>
            <w:tcW w:w="0" w:type="dxa"/>
            <w:vAlign w:val="bottom"/>
          </w:tcPr>
          <w:p>
            <w:pPr>
              <w:spacing w:after="0"/>
              <w:rPr>
                <w:sz w:val="1"/>
                <w:szCs w:val="1"/>
                <w:color w:val="auto"/>
              </w:rPr>
            </w:pPr>
          </w:p>
        </w:tc>
      </w:tr>
      <w:tr>
        <w:trPr>
          <w:trHeight w:val="216"/>
        </w:trPr>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on the sale of discontinued operations, net of tax</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886,732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886,732</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income from discontinued operations, net of tax</w:t>
            </w: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886,326</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986,364</w:t>
            </w:r>
          </w:p>
        </w:tc>
        <w:tc>
          <w:tcPr>
            <w:tcW w:w="0" w:type="dxa"/>
            <w:vAlign w:val="bottom"/>
          </w:tcPr>
          <w:p>
            <w:pPr>
              <w:spacing w:after="0"/>
              <w:rPr>
                <w:sz w:val="1"/>
                <w:szCs w:val="1"/>
                <w:color w:val="auto"/>
              </w:rPr>
            </w:pPr>
          </w:p>
        </w:tc>
      </w:tr>
      <w:tr>
        <w:trPr>
          <w:trHeight w:val="209"/>
        </w:trPr>
        <w:tc>
          <w:tcPr>
            <w:tcW w:w="5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892,821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(6,556)</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997,430</w:t>
            </w:r>
          </w:p>
        </w:tc>
        <w:tc>
          <w:tcPr>
            <w:tcW w:w="0" w:type="dxa"/>
            <w:vAlign w:val="bottom"/>
          </w:tcPr>
          <w:p>
            <w:pPr>
              <w:spacing w:after="0"/>
              <w:rPr>
                <w:sz w:val="1"/>
                <w:szCs w:val="1"/>
                <w:color w:val="auto"/>
              </w:rPr>
            </w:pPr>
          </w:p>
        </w:tc>
      </w:tr>
      <w:tr>
        <w:trPr>
          <w:trHeight w:val="26"/>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5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income on interest rate hedge, net of tax</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4,706</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896,441</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(6,556)</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1,002,136</w:t>
            </w:r>
          </w:p>
        </w:tc>
        <w:tc>
          <w:tcPr>
            <w:tcW w:w="0" w:type="dxa"/>
            <w:vAlign w:val="bottom"/>
          </w:tcPr>
          <w:p>
            <w:pPr>
              <w:spacing w:after="0"/>
              <w:rPr>
                <w:sz w:val="1"/>
                <w:szCs w:val="1"/>
                <w:color w:val="auto"/>
              </w:rPr>
            </w:pPr>
          </w:p>
        </w:tc>
      </w:tr>
      <w:tr>
        <w:trPr>
          <w:trHeight w:val="26"/>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income per share, basic and diluted:</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5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 - (Loss) income from continuing operations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 - Income from discontinued operations, net of tax</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0" w:type="dxa"/>
            <w:vAlign w:val="bottom"/>
          </w:tcPr>
          <w:p>
            <w:pPr>
              <w:spacing w:after="0"/>
              <w:rPr>
                <w:sz w:val="1"/>
                <w:szCs w:val="1"/>
                <w:color w:val="auto"/>
              </w:rPr>
            </w:pPr>
          </w:p>
        </w:tc>
      </w:tr>
      <w:tr>
        <w:trPr>
          <w:trHeight w:val="213"/>
        </w:trPr>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 net (loss) income per share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 - (Loss) income from continuing operations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4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4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 - Income from discontinued operations, net of tax</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0" w:type="dxa"/>
            <w:vAlign w:val="bottom"/>
          </w:tcPr>
          <w:p>
            <w:pPr>
              <w:spacing w:after="0"/>
              <w:rPr>
                <w:sz w:val="1"/>
                <w:szCs w:val="1"/>
                <w:color w:val="auto"/>
              </w:rPr>
            </w:pPr>
          </w:p>
        </w:tc>
      </w:tr>
      <w:tr>
        <w:trPr>
          <w:trHeight w:val="213"/>
        </w:trPr>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 net (loss) income per share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shares outstanding, basic</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50,183</w:t>
            </w: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49,984</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50,153</w:t>
            </w: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49,984</w:t>
            </w:r>
          </w:p>
        </w:tc>
        <w:tc>
          <w:tcPr>
            <w:tcW w:w="0" w:type="dxa"/>
            <w:vAlign w:val="bottom"/>
          </w:tcPr>
          <w:p>
            <w:pPr>
              <w:spacing w:after="0"/>
              <w:rPr>
                <w:sz w:val="1"/>
                <w:szCs w:val="1"/>
                <w:color w:val="auto"/>
              </w:rPr>
            </w:pPr>
          </w:p>
        </w:tc>
      </w:tr>
      <w:tr>
        <w:trPr>
          <w:trHeight w:val="27"/>
        </w:trPr>
        <w:tc>
          <w:tcPr>
            <w:tcW w:w="55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54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50,183</w:t>
            </w: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50,120</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50,153</w:t>
            </w: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50,136</w:t>
            </w: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ind w:left="20" w:right="356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SHAREHOLDERS' EQUITY </w:t>
      </w:r>
      <w:r>
        <w:rPr>
          <w:rFonts w:ascii="Times New Roman" w:cs="Times New Roman" w:eastAsia="Times New Roman" w:hAnsi="Times New Roman"/>
          <w:sz w:val="18"/>
          <w:szCs w:val="18"/>
          <w:i w:val="1"/>
          <w:iCs w:val="1"/>
          <w:color w:val="auto"/>
        </w:rPr>
        <w:t>(in thousands)</w:t>
      </w:r>
    </w:p>
    <w:tbl>
      <w:tblPr>
        <w:tblLayout w:type="fixed"/>
        <w:tblInd w:w="20" w:type="dxa"/>
        <w:tblCellMar>
          <w:top w:w="0" w:type="dxa"/>
          <w:left w:w="0" w:type="dxa"/>
          <w:bottom w:w="0" w:type="dxa"/>
          <w:right w:w="0" w:type="dxa"/>
        </w:tblCellMar>
      </w:tblPr>
      <w:tr>
        <w:trPr>
          <w:trHeight w:val="137"/>
        </w:trPr>
        <w:tc>
          <w:tcPr>
            <w:tcW w:w="5000" w:type="dxa"/>
            <w:vAlign w:val="bottom"/>
          </w:tcPr>
          <w:p>
            <w:pPr>
              <w:spacing w:after="0"/>
              <w:rPr>
                <w:sz w:val="11"/>
                <w:szCs w:val="11"/>
                <w:color w:val="auto"/>
              </w:rPr>
            </w:pPr>
          </w:p>
        </w:tc>
        <w:tc>
          <w:tcPr>
            <w:tcW w:w="13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14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00" w:type="dxa"/>
            <w:vAlign w:val="bottom"/>
          </w:tcPr>
          <w:p>
            <w:pPr>
              <w:spacing w:after="0"/>
              <w:rPr>
                <w:sz w:val="12"/>
                <w:szCs w:val="12"/>
                <w:color w:val="auto"/>
              </w:rPr>
            </w:pP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 (no par</w:t>
            </w:r>
          </w:p>
        </w:tc>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June 30, 2022</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000" w:type="dxa"/>
            <w:vAlign w:val="bottom"/>
            <w:vMerge w:val="continue"/>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50,077</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54,274</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589,096</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643,370</w:t>
            </w:r>
          </w:p>
        </w:tc>
        <w:tc>
          <w:tcPr>
            <w:tcW w:w="0" w:type="dxa"/>
            <w:vAlign w:val="bottom"/>
          </w:tcPr>
          <w:p>
            <w:pPr>
              <w:spacing w:after="0"/>
              <w:rPr>
                <w:sz w:val="1"/>
                <w:szCs w:val="1"/>
                <w:color w:val="auto"/>
              </w:rPr>
            </w:pPr>
          </w:p>
        </w:tc>
      </w:tr>
      <w:tr>
        <w:trPr>
          <w:trHeight w:val="19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surrendered for settlement of employee taxes upon issuance of vested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2"/>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awards</w:t>
            </w: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2022</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50,098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56,143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586,368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642,511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14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000" w:type="dxa"/>
            <w:vAlign w:val="bottom"/>
          </w:tcPr>
          <w:p>
            <w:pPr>
              <w:spacing w:after="0"/>
              <w:rPr>
                <w:sz w:val="12"/>
                <w:szCs w:val="12"/>
                <w:color w:val="auto"/>
              </w:rPr>
            </w:pP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 (no par</w:t>
            </w:r>
          </w:p>
        </w:tc>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000" w:type="dxa"/>
            <w:vAlign w:val="bottom"/>
            <w:vMerge w:val="continue"/>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49,965</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49,351</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592,924</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642,275</w:t>
            </w:r>
          </w:p>
        </w:tc>
        <w:tc>
          <w:tcPr>
            <w:tcW w:w="0" w:type="dxa"/>
            <w:vAlign w:val="bottom"/>
          </w:tcPr>
          <w:p>
            <w:pPr>
              <w:spacing w:after="0"/>
              <w:rPr>
                <w:sz w:val="1"/>
                <w:szCs w:val="1"/>
                <w:color w:val="auto"/>
              </w:rPr>
            </w:pPr>
          </w:p>
        </w:tc>
      </w:tr>
      <w:tr>
        <w:trPr>
          <w:trHeight w:val="19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(6,556)</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7,751</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surrendered for settlement of employee taxes upon issuance of vested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192"/>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awards</w:t>
            </w: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2022</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50,098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56,143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586,368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642,511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14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000" w:type="dxa"/>
            <w:vAlign w:val="bottom"/>
          </w:tcPr>
          <w:p>
            <w:pPr>
              <w:spacing w:after="0"/>
              <w:rPr>
                <w:sz w:val="12"/>
                <w:szCs w:val="12"/>
                <w:color w:val="auto"/>
              </w:rPr>
            </w:pP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 (no par</w:t>
            </w:r>
          </w:p>
        </w:tc>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June 30, 2021</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000" w:type="dxa"/>
            <w:vAlign w:val="bottom"/>
            <w:vMerge w:val="continue"/>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49,950</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46,681</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639,049</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682,110</w:t>
            </w:r>
          </w:p>
        </w:tc>
        <w:tc>
          <w:tcPr>
            <w:tcW w:w="0" w:type="dxa"/>
            <w:vAlign w:val="bottom"/>
          </w:tcPr>
          <w:p>
            <w:pPr>
              <w:spacing w:after="0"/>
              <w:rPr>
                <w:sz w:val="1"/>
                <w:szCs w:val="1"/>
                <w:color w:val="auto"/>
              </w:rPr>
            </w:pPr>
          </w:p>
        </w:tc>
      </w:tr>
      <w:tr>
        <w:trPr>
          <w:trHeight w:val="19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892,821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892,821</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Unrealized income on interest rate hedge, net of tax</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declared ($18.75 per share)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(936,850)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(936,850)</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 exercised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3"/>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2021</w:t>
            </w: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00" w:type="dxa"/>
            <w:vAlign w:val="bottom"/>
            <w:vMerge w:val="continue"/>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49,965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47,832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595,020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642,852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14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000" w:type="dxa"/>
            <w:vAlign w:val="bottom"/>
          </w:tcPr>
          <w:p>
            <w:pPr>
              <w:spacing w:after="0"/>
              <w:rPr>
                <w:sz w:val="12"/>
                <w:szCs w:val="12"/>
                <w:color w:val="auto"/>
              </w:rPr>
            </w:pP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 (no par</w:t>
            </w:r>
          </w:p>
        </w:tc>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000" w:type="dxa"/>
            <w:vAlign w:val="bottom"/>
            <w:vMerge w:val="continue"/>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49,868</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47,317</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534,440</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(4,706)</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577,051</w:t>
            </w:r>
          </w:p>
        </w:tc>
        <w:tc>
          <w:tcPr>
            <w:tcW w:w="0" w:type="dxa"/>
            <w:vAlign w:val="bottom"/>
          </w:tcPr>
          <w:p>
            <w:pPr>
              <w:spacing w:after="0"/>
              <w:rPr>
                <w:sz w:val="1"/>
                <w:szCs w:val="1"/>
                <w:color w:val="auto"/>
              </w:rPr>
            </w:pPr>
          </w:p>
        </w:tc>
      </w:tr>
      <w:tr>
        <w:trPr>
          <w:trHeight w:val="19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997,430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997,430</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Unrealized income on interest rate hedge, net of tax</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4,706</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declared ($18.75 per share)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(936,850)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(936,850)</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 exercised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2"/>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surrendered for settlement of employee taxes upon issuance of vested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0" w:type="dxa"/>
            <w:vAlign w:val="bottom"/>
          </w:tcPr>
          <w:p>
            <w:pPr>
              <w:spacing w:after="0"/>
              <w:rPr>
                <w:sz w:val="1"/>
                <w:szCs w:val="1"/>
                <w:color w:val="auto"/>
              </w:rPr>
            </w:pPr>
          </w:p>
        </w:tc>
      </w:tr>
      <w:tr>
        <w:trPr>
          <w:trHeight w:val="192"/>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awards</w:t>
            </w: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2021</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49,965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47,832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595,020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642,852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2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4"/>
                <w:szCs w:val="14"/>
                <w:color w:val="auto"/>
              </w:rPr>
            </w:pPr>
          </w:p>
        </w:tc>
        <w:tc>
          <w:tcPr>
            <w:tcW w:w="2680" w:type="dxa"/>
            <w:vAlign w:val="bottom"/>
            <w:gridSpan w:val="4"/>
          </w:tcPr>
          <w:p>
            <w:pPr>
              <w:jc w:val="right"/>
              <w:ind w:right="719"/>
              <w:spacing w:after="0" w:line="168"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82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(6,556)</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997,430</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986,364</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income from continuing operations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(6,556)</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11,066</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40,714</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0" w:type="dxa"/>
            <w:vAlign w:val="bottom"/>
          </w:tcPr>
          <w:p>
            <w:pPr>
              <w:spacing w:after="0"/>
              <w:rPr>
                <w:sz w:val="1"/>
                <w:szCs w:val="1"/>
                <w:color w:val="auto"/>
              </w:rPr>
            </w:pPr>
          </w:p>
        </w:tc>
      </w:tr>
      <w:tr>
        <w:trPr>
          <w:trHeight w:val="216"/>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Bad debt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(6,870)</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assets and liabilities,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(8,066)</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deferrals and accruals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(5,193)</w:t>
            </w:r>
          </w:p>
        </w:tc>
        <w:tc>
          <w:tcPr>
            <w:tcW w:w="0" w:type="dxa"/>
            <w:vAlign w:val="bottom"/>
          </w:tcPr>
          <w:p>
            <w:pPr>
              <w:spacing w:after="0"/>
              <w:rPr>
                <w:sz w:val="1"/>
                <w:szCs w:val="1"/>
                <w:color w:val="auto"/>
              </w:rPr>
            </w:pPr>
          </w:p>
        </w:tc>
      </w:tr>
      <w:tr>
        <w:trPr>
          <w:trHeight w:val="210"/>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 - continuing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56,205</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31,572</w:t>
            </w:r>
          </w:p>
        </w:tc>
        <w:tc>
          <w:tcPr>
            <w:tcW w:w="0" w:type="dxa"/>
            <w:vAlign w:val="bottom"/>
          </w:tcPr>
          <w:p>
            <w:pPr>
              <w:spacing w:after="0"/>
              <w:rPr>
                <w:sz w:val="1"/>
                <w:szCs w:val="1"/>
                <w:color w:val="auto"/>
              </w:rPr>
            </w:pPr>
          </w:p>
        </w:tc>
      </w:tr>
      <w:tr>
        <w:trPr>
          <w:trHeight w:val="209"/>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 - discontinued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121,067</w:t>
            </w:r>
          </w:p>
        </w:tc>
        <w:tc>
          <w:tcPr>
            <w:tcW w:w="0" w:type="dxa"/>
            <w:vAlign w:val="bottom"/>
          </w:tcPr>
          <w:p>
            <w:pPr>
              <w:spacing w:after="0"/>
              <w:rPr>
                <w:sz w:val="1"/>
                <w:szCs w:val="1"/>
                <w:color w:val="auto"/>
              </w:rPr>
            </w:pPr>
          </w:p>
        </w:tc>
      </w:tr>
      <w:tr>
        <w:trPr>
          <w:trHeight w:val="209"/>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56,205</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152,639</w:t>
            </w:r>
          </w:p>
        </w:tc>
        <w:tc>
          <w:tcPr>
            <w:tcW w:w="0" w:type="dxa"/>
            <w:vAlign w:val="bottom"/>
          </w:tcPr>
          <w:p>
            <w:pPr>
              <w:spacing w:after="0"/>
              <w:rPr>
                <w:sz w:val="1"/>
                <w:szCs w:val="1"/>
                <w:color w:val="auto"/>
              </w:rPr>
            </w:pPr>
          </w:p>
        </w:tc>
      </w:tr>
      <w:tr>
        <w:trPr>
          <w:trHeight w:val="30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(132,357)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(118,800)</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assets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 -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(130,642)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(118,600)</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provided by investing activities - discontinued operations</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1,944,063</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(130,642)</w:t>
            </w: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1,825,463</w:t>
            </w:r>
          </w:p>
        </w:tc>
        <w:tc>
          <w:tcPr>
            <w:tcW w:w="0" w:type="dxa"/>
            <w:vAlign w:val="bottom"/>
          </w:tcPr>
          <w:p>
            <w:pPr>
              <w:spacing w:after="0"/>
              <w:rPr>
                <w:sz w:val="1"/>
                <w:szCs w:val="1"/>
                <w:color w:val="auto"/>
              </w:rPr>
            </w:pPr>
          </w:p>
        </w:tc>
      </w:tr>
      <w:tr>
        <w:trPr>
          <w:trHeight w:val="30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credit facility borrowings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 paid for equity award issuances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paid, net of dividends reinvested</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(936,850)</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financing arrangements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provided by (used in) financing activities -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(940,399)</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 - discontinued operations</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(700,556)</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23,126</w:t>
            </w: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(1,640,955)</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(51,311)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337,147</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84,344</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195,397</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33,033</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532,544</w:t>
            </w:r>
          </w:p>
        </w:tc>
        <w:tc>
          <w:tcPr>
            <w:tcW w:w="0" w:type="dxa"/>
            <w:vAlign w:val="bottom"/>
          </w:tcPr>
          <w:p>
            <w:pPr>
              <w:spacing w:after="0"/>
              <w:rPr>
                <w:sz w:val="1"/>
                <w:szCs w:val="1"/>
                <w:color w:val="auto"/>
              </w:rPr>
            </w:pPr>
          </w:p>
        </w:tc>
      </w:tr>
      <w:tr>
        <w:trPr>
          <w:trHeight w:val="26"/>
        </w:trPr>
        <w:tc>
          <w:tcPr>
            <w:tcW w:w="82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paid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10,397</w:t>
            </w:r>
          </w:p>
        </w:tc>
        <w:tc>
          <w:tcPr>
            <w:tcW w:w="0" w:type="dxa"/>
            <w:vAlign w:val="bottom"/>
          </w:tcPr>
          <w:p>
            <w:pPr>
              <w:spacing w:after="0"/>
              <w:rPr>
                <w:sz w:val="1"/>
                <w:szCs w:val="1"/>
                <w:color w:val="auto"/>
              </w:rPr>
            </w:pPr>
          </w:p>
        </w:tc>
      </w:tr>
      <w:tr>
        <w:trPr>
          <w:trHeight w:val="26"/>
        </w:trPr>
        <w:tc>
          <w:tcPr>
            <w:tcW w:w="82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Income taxes paid</w:t>
            </w: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220" w:type="dxa"/>
            <w:vAlign w:val="bottom"/>
            <w:vMerge w:val="continue"/>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24,900</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Other Information</w:t>
      </w:r>
    </w:p>
    <w:p>
      <w:pPr>
        <w:spacing w:after="0" w:line="256" w:lineRule="exact"/>
        <w:rPr>
          <w:sz w:val="20"/>
          <w:szCs w:val="20"/>
          <w:color w:val="auto"/>
        </w:rPr>
      </w:pPr>
    </w:p>
    <w:p>
      <w:pPr>
        <w:ind w:right="2040"/>
        <w:spacing w:after="0" w:line="312" w:lineRule="auto"/>
        <w:rPr>
          <w:sz w:val="20"/>
          <w:szCs w:val="20"/>
          <w:color w:val="auto"/>
        </w:rPr>
      </w:pPr>
      <w:r>
        <w:rPr>
          <w:rFonts w:ascii="Times New Roman" w:cs="Times New Roman" w:eastAsia="Times New Roman" w:hAnsi="Times New Roman"/>
          <w:sz w:val="17"/>
          <w:szCs w:val="17"/>
          <w:color w:val="212529"/>
        </w:rPr>
        <w:t>Shenandoah Telecommunications Company (“Shentel”, “we”, “our”, “us”, or the “Company”) is a provider of a comprehensive range of broadband communication services and cell tower colocation space in the Mid-Atlantic portion of the United States.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Times New Roman" w:cs="Times New Roman" w:eastAsia="Times New Roman" w:hAnsi="Times New Roman"/>
          <w:sz w:val="18"/>
          <w:szCs w:val="18"/>
          <w:color w:val="000000"/>
        </w:rPr>
        <w:t>year ended December 31,</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2021. As discussed in Notes 1 and 16 to the audited consolidated financial statements contained in our Annual Report on Form 10-K for the year ended December 31, 2021, </w:t>
      </w:r>
      <w:r>
        <w:rPr>
          <w:rFonts w:ascii="Times New Roman" w:cs="Times New Roman" w:eastAsia="Times New Roman" w:hAnsi="Times New Roman"/>
          <w:sz w:val="18"/>
          <w:szCs w:val="18"/>
          <w:color w:val="212529"/>
        </w:rPr>
        <w:t>(the "2021 Form 10-K"), the Company determined that an immaterial error existed in our previously issued financial statements. As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such, the Company revised its historical unaudited condensed consolidated financial statements as of and for the three and nine months ended September 30, 2021. Refer to the table below for a summary of these revisions.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right="460"/>
        <w:spacing w:after="0" w:line="238" w:lineRule="auto"/>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10"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7"/>
          <w:szCs w:val="17"/>
          <w:color w:val="auto"/>
        </w:rPr>
        <w:t>Unaudited Condensed Consolidated Statement of Comprehensive Income: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960" w:type="dxa"/>
            <w:vAlign w:val="bottom"/>
            <w:gridSpan w:val="5"/>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2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 2021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Pre-Adjustment</w:t>
            </w:r>
          </w:p>
        </w:tc>
        <w:tc>
          <w:tcPr>
            <w:tcW w:w="140" w:type="dxa"/>
            <w:vAlign w:val="bottom"/>
          </w:tcPr>
          <w:p>
            <w:pPr>
              <w:spacing w:after="0"/>
              <w:rPr>
                <w:sz w:val="14"/>
                <w:szCs w:val="14"/>
                <w:color w:val="auto"/>
              </w:rPr>
            </w:pPr>
          </w:p>
        </w:tc>
        <w:tc>
          <w:tcPr>
            <w:tcW w:w="1540" w:type="dxa"/>
            <w:vAlign w:val="bottom"/>
            <w:gridSpan w:val="3"/>
          </w:tcPr>
          <w:p>
            <w:pPr>
              <w:jc w:val="center"/>
              <w:ind w:right="260"/>
              <w:spacing w:after="0" w:line="171" w:lineRule="exact"/>
              <w:rPr>
                <w:sz w:val="20"/>
                <w:szCs w:val="20"/>
                <w:color w:val="auto"/>
              </w:rPr>
            </w:pPr>
            <w:r>
              <w:rPr>
                <w:rFonts w:ascii="Times New Roman" w:cs="Times New Roman" w:eastAsia="Times New Roman" w:hAnsi="Times New Roman"/>
                <w:sz w:val="18"/>
                <w:szCs w:val="18"/>
                <w:b w:val="1"/>
                <w:bCs w:val="1"/>
                <w:color w:val="auto"/>
                <w:w w:val="97"/>
              </w:rPr>
              <w:t>Error</w:t>
            </w:r>
          </w:p>
        </w:tc>
        <w:tc>
          <w:tcPr>
            <w:tcW w:w="1160" w:type="dxa"/>
            <w:vAlign w:val="bottom"/>
          </w:tcPr>
          <w:p>
            <w:pPr>
              <w:jc w:val="center"/>
              <w:ind w:right="30"/>
              <w:spacing w:after="0" w:line="171" w:lineRule="exact"/>
              <w:rPr>
                <w:sz w:val="20"/>
                <w:szCs w:val="20"/>
                <w:color w:val="auto"/>
              </w:rPr>
            </w:pPr>
            <w:r>
              <w:rPr>
                <w:rFonts w:ascii="Times New Roman" w:cs="Times New Roman" w:eastAsia="Times New Roman" w:hAnsi="Times New Roman"/>
                <w:sz w:val="18"/>
                <w:szCs w:val="18"/>
                <w:b w:val="1"/>
                <w:bCs w:val="1"/>
                <w:color w:val="auto"/>
              </w:rPr>
              <w:t>Post-</w:t>
            </w:r>
          </w:p>
        </w:tc>
        <w:tc>
          <w:tcPr>
            <w:tcW w:w="100" w:type="dxa"/>
            <w:vAlign w:val="bottom"/>
          </w:tcPr>
          <w:p>
            <w:pPr>
              <w:spacing w:after="0"/>
              <w:rPr>
                <w:sz w:val="14"/>
                <w:szCs w:val="14"/>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Pre-Adjustment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220"/>
              <w:spacing w:after="0" w:line="171" w:lineRule="exact"/>
              <w:rPr>
                <w:sz w:val="20"/>
                <w:szCs w:val="20"/>
                <w:color w:val="auto"/>
              </w:rPr>
            </w:pPr>
            <w:r>
              <w:rPr>
                <w:rFonts w:ascii="Times New Roman" w:cs="Times New Roman" w:eastAsia="Times New Roman" w:hAnsi="Times New Roman"/>
                <w:sz w:val="18"/>
                <w:szCs w:val="18"/>
                <w:b w:val="1"/>
                <w:bCs w:val="1"/>
                <w:color w:val="auto"/>
                <w:w w:val="97"/>
              </w:rPr>
              <w:t>Error</w:t>
            </w:r>
          </w:p>
        </w:tc>
        <w:tc>
          <w:tcPr>
            <w:tcW w:w="1180" w:type="dxa"/>
            <w:vAlign w:val="bottom"/>
          </w:tcPr>
          <w:p>
            <w:pPr>
              <w:jc w:val="center"/>
              <w:ind w:right="30"/>
              <w:spacing w:after="0" w:line="171" w:lineRule="exact"/>
              <w:rPr>
                <w:sz w:val="20"/>
                <w:szCs w:val="20"/>
                <w:color w:val="auto"/>
              </w:rPr>
            </w:pPr>
            <w:r>
              <w:rPr>
                <w:rFonts w:ascii="Times New Roman" w:cs="Times New Roman" w:eastAsia="Times New Roman" w:hAnsi="Times New Roman"/>
                <w:sz w:val="18"/>
                <w:szCs w:val="18"/>
                <w:b w:val="1"/>
                <w:bCs w:val="1"/>
                <w:color w:val="auto"/>
                <w:w w:val="97"/>
              </w:rPr>
              <w:t>Post-</w:t>
            </w:r>
          </w:p>
        </w:tc>
        <w:tc>
          <w:tcPr>
            <w:tcW w:w="0" w:type="dxa"/>
            <w:vAlign w:val="bottom"/>
          </w:tcPr>
          <w:p>
            <w:pPr>
              <w:spacing w:after="0"/>
              <w:rPr>
                <w:sz w:val="1"/>
                <w:szCs w:val="1"/>
                <w:color w:val="auto"/>
              </w:rPr>
            </w:pPr>
          </w:p>
        </w:tc>
      </w:tr>
      <w:tr>
        <w:trPr>
          <w:trHeight w:val="243"/>
        </w:trPr>
        <w:tc>
          <w:tcPr>
            <w:tcW w:w="1280" w:type="dxa"/>
            <w:vAlign w:val="bottom"/>
            <w:tcBorders>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Correction</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00" w:type="dxa"/>
            <w:vAlign w:val="bottom"/>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Correction</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0" w:type="dxa"/>
            <w:vAlign w:val="bottom"/>
          </w:tcPr>
          <w:p>
            <w:pPr>
              <w:spacing w:after="0"/>
              <w:rPr>
                <w:sz w:val="1"/>
                <w:szCs w:val="1"/>
                <w:color w:val="auto"/>
              </w:rPr>
            </w:pPr>
          </w:p>
        </w:tc>
      </w:tr>
    </w:tbl>
    <w:p>
      <w:pPr>
        <w:spacing w:after="0" w:line="399" w:lineRule="exact"/>
        <w:rPr>
          <w:sz w:val="20"/>
          <w:szCs w:val="20"/>
          <w:color w:val="auto"/>
        </w:rPr>
      </w:pPr>
    </w:p>
    <w:p>
      <w:pPr>
        <w:sectPr>
          <w:pgSz w:w="11900" w:h="16838" w:orient="portrait"/>
          <w:cols w:equalWidth="0" w:num="2">
            <w:col w:w="2740" w:space="200"/>
            <w:col w:w="8300"/>
          </w:cols>
          <w:pgMar w:left="320" w:top="119" w:right="339" w:bottom="1440" w:gutter="0" w:footer="0" w:header="0"/>
          <w:type w:val="continuous"/>
        </w:sectPr>
      </w:pPr>
    </w:p>
    <w:tbl>
      <w:tblPr>
        <w:tblLayout w:type="fixed"/>
        <w:tblInd w:w="140" w:type="dxa"/>
        <w:tblCellMar>
          <w:top w:w="0" w:type="dxa"/>
          <w:left w:w="0" w:type="dxa"/>
          <w:bottom w:w="0" w:type="dxa"/>
          <w:right w:w="0" w:type="dxa"/>
        </w:tblCellMar>
      </w:tblPr>
      <w:tr>
        <w:trPr>
          <w:trHeight w:val="229"/>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25,426</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321</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25,747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73,044</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6"/>
              </w:rPr>
              <w:t>775</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73,819</w:t>
            </w:r>
          </w:p>
        </w:tc>
      </w:tr>
      <w:tr>
        <w:trPr>
          <w:trHeight w:val="180"/>
        </w:trPr>
        <w:tc>
          <w:tcPr>
            <w:tcW w:w="25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Income (loss) from continuing</w:t>
            </w: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operations before income taxes</w:t>
            </w:r>
          </w:p>
        </w:tc>
        <w:tc>
          <w:tcPr>
            <w:tcW w:w="6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1,310</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989</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9,322</w:t>
            </w:r>
          </w:p>
        </w:tc>
        <w:tc>
          <w:tcPr>
            <w:tcW w:w="540" w:type="dxa"/>
            <w:vAlign w:val="bottom"/>
          </w:tcPr>
          <w:p>
            <w:pPr>
              <w:spacing w:after="0"/>
              <w:rPr>
                <w:sz w:val="20"/>
                <w:szCs w:val="20"/>
                <w:color w:val="auto"/>
              </w:rPr>
            </w:pP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(775)</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w:t>
            </w:r>
          </w:p>
        </w:tc>
      </w:tr>
      <w:tr>
        <w:trPr>
          <w:trHeight w:val="23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540" w:type="dxa"/>
            <w:vAlign w:val="bottom"/>
          </w:tcPr>
          <w:p>
            <w:pPr>
              <w:spacing w:after="0"/>
              <w:rPr>
                <w:sz w:val="19"/>
                <w:szCs w:val="19"/>
                <w:color w:val="auto"/>
              </w:rPr>
            </w:pP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(204)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r>
      <w:tr>
        <w:trPr>
          <w:trHeight w:val="180"/>
        </w:trPr>
        <w:tc>
          <w:tcPr>
            <w:tcW w:w="25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Income (loss) from continuing</w:t>
            </w: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6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6,732</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6,495</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11,637</w:t>
            </w:r>
          </w:p>
        </w:tc>
        <w:tc>
          <w:tcPr>
            <w:tcW w:w="540" w:type="dxa"/>
            <w:vAlign w:val="bottom"/>
          </w:tcPr>
          <w:p>
            <w:pPr>
              <w:spacing w:after="0"/>
              <w:rPr>
                <w:sz w:val="20"/>
                <w:szCs w:val="20"/>
                <w:color w:val="auto"/>
              </w:rPr>
            </w:pP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(571)</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11,066</w:t>
            </w:r>
          </w:p>
        </w:tc>
      </w:tr>
      <w:tr>
        <w:trPr>
          <w:trHeight w:val="23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893,058</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892,821</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998,001</w:t>
            </w:r>
          </w:p>
        </w:tc>
        <w:tc>
          <w:tcPr>
            <w:tcW w:w="540" w:type="dxa"/>
            <w:vAlign w:val="bottom"/>
          </w:tcPr>
          <w:p>
            <w:pPr>
              <w:spacing w:after="0"/>
              <w:rPr>
                <w:sz w:val="19"/>
                <w:szCs w:val="19"/>
                <w:color w:val="auto"/>
              </w:rPr>
            </w:pP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(571)</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997,430</w:t>
            </w: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6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896,678</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896,441</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1,002,707</w:t>
            </w:r>
          </w:p>
        </w:tc>
        <w:tc>
          <w:tcPr>
            <w:tcW w:w="540" w:type="dxa"/>
            <w:vAlign w:val="bottom"/>
          </w:tcPr>
          <w:p>
            <w:pPr>
              <w:spacing w:after="0"/>
              <w:rPr>
                <w:sz w:val="20"/>
                <w:szCs w:val="20"/>
                <w:color w:val="auto"/>
              </w:rPr>
            </w:pP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(571)</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1,002,136</w:t>
            </w:r>
          </w:p>
        </w:tc>
      </w:tr>
    </w:tbl>
    <w:p>
      <w:pPr>
        <w:ind w:left="20"/>
        <w:spacing w:after="0"/>
        <w:rPr>
          <w:sz w:val="20"/>
          <w:szCs w:val="20"/>
          <w:color w:val="auto"/>
        </w:rPr>
      </w:pPr>
      <w:r>
        <w:rPr>
          <w:rFonts w:ascii="Times New Roman" w:cs="Times New Roman" w:eastAsia="Times New Roman" w:hAnsi="Times New Roman"/>
          <w:sz w:val="18"/>
          <w:szCs w:val="18"/>
          <w:color w:val="auto"/>
        </w:rPr>
        <w:t>Net income per share, basic and diluted:</w:t>
      </w:r>
    </w:p>
    <w:tbl>
      <w:tblPr>
        <w:tblLayout w:type="fixed"/>
        <w:tblInd w:w="140" w:type="dxa"/>
        <w:tblCellMar>
          <w:top w:w="0" w:type="dxa"/>
          <w:left w:w="0" w:type="dxa"/>
          <w:bottom w:w="0" w:type="dxa"/>
          <w:right w:w="0" w:type="dxa"/>
        </w:tblCellMar>
      </w:tblP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 Income from continuing</w:t>
            </w: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6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Basic - Net income per share</w:t>
            </w:r>
          </w:p>
        </w:tc>
        <w:tc>
          <w:tcPr>
            <w:tcW w:w="6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17.86</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19.96</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180"/>
        </w:trPr>
        <w:tc>
          <w:tcPr>
            <w:tcW w:w="2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Diluted - Income from continuing</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3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6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Diluted - Net income per share</w:t>
            </w:r>
          </w:p>
        </w:tc>
        <w:tc>
          <w:tcPr>
            <w:tcW w:w="6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17.81</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19.90</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r>
    </w:tbl>
    <w:p>
      <w:pPr>
        <w:spacing w:after="0" w:line="3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212529"/>
        </w:rPr>
        <w:t>The preparation of the unaudited condensed consolidated financial statements in conformity with U.S. GAAP requires management to make estimates and assumptions that affect reported amounts of assets, liabilities, revenues and expenses and related disclosures. On an on-going basis we evaluate significant estimates and assumptions, including, but not limited to, revenue recognition, stock-based compensation, estimated useful lives of assets, intangible assets subject to amortization, and the computation of income taxes.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 evaluates and updates assumptions and estimates on an ongoing basis. Actual results may differ from these estimates under different assumptions or conditions.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Adoption of New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2021, the Financial Accounting Standards Board ("FASB") issued Accounting Standards Update ("ASU") 2021-10, “Government Assistance (Topic 832), Disclosures by Business Entities About Government Assistance,” ("ASU 2021-10") which requires entities to provide disclosures on material government assistance transactions for annual reporting periods. The disclosures include information about the nature of the assistance, the related accounting policies used to account for government assistance, the effect of government assistance on the entity’s financial statements and any significant terms and conditions of the agreements, including commitments and contingencies. On July 1, 2022, we adopted ASU 2021-10 and have included the new disclosure requirements in Note 11, </w:t>
      </w:r>
      <w:r>
        <w:rPr>
          <w:rFonts w:ascii="Times New Roman" w:cs="Times New Roman" w:eastAsia="Times New Roman" w:hAnsi="Times New Roman"/>
          <w:sz w:val="18"/>
          <w:szCs w:val="18"/>
          <w:i w:val="1"/>
          <w:iCs w:val="1"/>
          <w:color w:val="auto"/>
        </w:rPr>
        <w:t>Government Grants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matter described above, there have been no material developments related to recently issued accounting standards, including the expected dates of adoption and estimated effects on the Company's unaudited condensed consolidated financial statements and note disclosures, from those disclosed in the Company's 2021 Form 10-K, that would be expected to impact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from Contracts with Customers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Broadband segment provides broadband data, video and voice services to residential and commercial customers in portions of Virginia, West Virginia, Maryland, Pennsylvania, and Kentucky via fiber optic, hybrid fiber coaxial cable, and fixed wireless networks. The Broadband segment also provides voice and DSL telephone services to customers in Virginia’s Shenandoah County and portions of adjacent counties as a Rural Local Exchange Carrier (“RLEC”).</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contracts are generally cancellable at the customer’s discretion without penalty at any time. We allocate the total transaction price in these transactions based upon the standalone selling price of each distinct good or service. We generally recognize these revenues over time as customers simultaneously receive and consume the benefits of the service, with the exception of equipment sales and home wiring, which are recognized as revenue at a point in time when control transfers and when installation is complete, respectively. Installation fees, charged upfront without transfer of commensurate goods or services to the customer, are allocated to services and are recognized ratably over the longer of the contract term or the period in which the unrecognized fee remains material to the contract, which we estimate to be one year. Additionally, the Company incurs commission expenses related to in-house and third-party vendors which are capitalized and amortized over the expected weighted average customer life which is approximately six years. Amortization of capitalized commission expenses is recorded in selling, general and administrative expenses in the Company's unaudited condensed consolidated statements of comprehensive (loss) income.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Broadband segment's capitalized contract acquisition costs: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480" w:type="dxa"/>
            <w:vAlign w:val="bottom"/>
            <w:gridSpan w:val="4"/>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27"/>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14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8"/>
              </w:rPr>
              <w:t>8,147</w:t>
            </w:r>
          </w:p>
        </w:tc>
        <w:tc>
          <w:tcPr>
            <w:tcW w:w="12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7,358</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Contract payments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8"/>
              </w:rPr>
              <w:t>2,630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2,535</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433"/>
              <w:spacing w:after="0"/>
              <w:rPr>
                <w:sz w:val="20"/>
                <w:szCs w:val="20"/>
                <w:color w:val="auto"/>
              </w:rPr>
            </w:pPr>
            <w:r>
              <w:rPr>
                <w:rFonts w:ascii="Times New Roman" w:cs="Times New Roman" w:eastAsia="Times New Roman" w:hAnsi="Times New Roman"/>
                <w:sz w:val="18"/>
                <w:szCs w:val="18"/>
                <w:color w:val="auto"/>
                <w:w w:val="98"/>
              </w:rPr>
              <w:t>(2,096)</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(1,882)</w:t>
            </w: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8"/>
                <w:szCs w:val="18"/>
                <w:color w:val="auto"/>
                <w:w w:val="98"/>
              </w:rPr>
              <w:t>8,681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3"/>
              </w:rPr>
              <w:t>8,011</w:t>
            </w:r>
          </w:p>
        </w:tc>
      </w:tr>
      <w:tr>
        <w:trPr>
          <w:trHeight w:val="20"/>
        </w:trPr>
        <w:tc>
          <w:tcPr>
            <w:tcW w:w="5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Broadband segment also provides Ethernet and Wavelength fiber optic services to commercial fiber customers under capacity agreements, and the related revenue is recognized over time. In some cases, non-refundable upfront fees are charged for connecting commercial fiber customers to our fiber network. Those amounts are recognized ratably over the longer of the contract term or the period in which the unrecognized fee remains material to the respective contract. A related contract liability of $4.1 million at September 30, 2022 is recorded in other liabilities on the Company's unaudited condensed consolidated balance sheet and is expected to be recognized into revenue at the rate of approximately $0.2 million per year.</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Broadband segment also leases dedicated fiber optic strands to customers as part of “dark fiber” agreements, which are accounted for as leases under Accounting Standards Codification ("ASC") 842, Leases, ("ASC 842"). Our Tower segment leases space on owned cell towers to our Broadband segment, and to other wireless carriers. Revenue from these leases is accounted for under ASC 842. Refer to Note 13,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for a summary of these revenue streams.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SERP investments at fair value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method investments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0"/>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r>
      <w:tr>
        <w:trPr>
          <w:trHeight w:val="229"/>
        </w:trPr>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11,004</w:t>
            </w:r>
          </w:p>
        </w:tc>
      </w:tr>
      <w:tr>
        <w:trPr>
          <w:trHeight w:val="234"/>
        </w:trPr>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13,661</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20" w:space="720"/>
            <w:col w:w="3100"/>
          </w:cols>
          <w:pgMar w:left="320" w:top="119" w:right="339" w:bottom="1440" w:gutter="0" w:footer="0" w:header="0"/>
        </w:sectPr>
      </w:pP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SERP Investments at Fair Value: </w:t>
      </w:r>
      <w:r>
        <w:rPr>
          <w:rFonts w:ascii="Times New Roman" w:cs="Times New Roman" w:eastAsia="Times New Roman" w:hAnsi="Times New Roman"/>
          <w:sz w:val="18"/>
          <w:szCs w:val="18"/>
          <w:color w:val="auto"/>
        </w:rPr>
        <w:t>The Supplemental Executive Retirement Plan (“SERP”) is a benefit plan that provides deferred compensation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employees. The Company holds the related investments in a rabbi trust as a source of funding for future payments under the plan. The SERP’s investments were designated as trading securities and will be liquidated and paid out to the participants upon retirement. The benefit obligation to participants is always equal to the value of the SERP assets under ASC 710,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fair value of the SERP investments are based on unadjusted quoted prices in active markets and are classified as Level 1 of the fair value hierarchy. Changes to the investments' fair value are presented in Other income (expense), while the reciprocal changes in the liability are presented in selling, general and administrative expense. At December 31, 2021, $0.8 million of SERP investments were presented as prepaid expenses and other (current assets). Those investments were liquidated in July 2022 to pay the current portion of our SERP obligation.</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Cost Method Investments</w:t>
      </w:r>
      <w:r>
        <w:rPr>
          <w:rFonts w:ascii="Times New Roman" w:cs="Times New Roman" w:eastAsia="Times New Roman" w:hAnsi="Times New Roman"/>
          <w:sz w:val="18"/>
          <w:szCs w:val="18"/>
          <w:color w:val="auto"/>
        </w:rPr>
        <w:t>: Our investment in CoBank ACB’s Class A common stock represented substantially all of our cost method investments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of $10.0 million and $10.3 million at September 30, 2022 and December 31, 2021, respectively. We recognized approximately $13.7 thousand and $0.5 million of patronage income in other income for the three months ended September 30, 2022 and 2021, respectively, and approximately $40.5 thousand and $1.5 million during the nine months ended September 30, 2022 and 2021, respectively. Historically, approximately 75% of the patronage distributions were received in cash and 25% in equity.</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Method Investments: </w:t>
      </w:r>
      <w:r>
        <w:rPr>
          <w:rFonts w:ascii="Times New Roman" w:cs="Times New Roman" w:eastAsia="Times New Roman" w:hAnsi="Times New Roman"/>
          <w:sz w:val="18"/>
          <w:szCs w:val="18"/>
          <w:color w:val="auto"/>
        </w:rPr>
        <w:t>At September 30, 2022 and December 31, 2021, the Company had a 20.0% ownership interest in Valley Network Partnership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(“ValleyNet”). The Company and ValleyNet purchase capacity on one another’s fiber network, through related party transactions. We recognized revenue of $0.1 million and $0.2 million during the three months ended September 30, 2022 and 2021, respectively, and $0.5 million and $0.5 million during the nine months ended September 30, 2022 and 2021, respectively. We recognized cost of service of $19.2 thousand and $30 thousand for the three months ended September 30, 2022 and 2021, respectively, and $73.6 thousand and $1.1 million for the nine months ended September 30, 2022 and 2021,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Property, Plant and Equipment</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Estimated Useful</w:t>
            </w:r>
          </w:p>
        </w:tc>
        <w:tc>
          <w:tcPr>
            <w:tcW w:w="18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5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Lives</w:t>
            </w: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10 years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structures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- 45 years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96,323</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Cable and fiber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- 30 years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453,405</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- 8 years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370,620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391,293</w:t>
            </w:r>
          </w:p>
        </w:tc>
        <w:tc>
          <w:tcPr>
            <w:tcW w:w="0" w:type="dxa"/>
            <w:vAlign w:val="bottom"/>
          </w:tcPr>
          <w:p>
            <w:pPr>
              <w:spacing w:after="0"/>
              <w:rPr>
                <w:sz w:val="1"/>
                <w:szCs w:val="1"/>
                <w:color w:val="auto"/>
              </w:rPr>
            </w:pPr>
          </w:p>
        </w:tc>
      </w:tr>
      <w:tr>
        <w:trPr>
          <w:trHeight w:val="218"/>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in service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1,033,535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948,270</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under construction</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124,921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79,963</w:t>
            </w:r>
          </w:p>
        </w:tc>
        <w:tc>
          <w:tcPr>
            <w:tcW w:w="0" w:type="dxa"/>
            <w:vAlign w:val="bottom"/>
          </w:tcPr>
          <w:p>
            <w:pPr>
              <w:spacing w:after="0"/>
              <w:rPr>
                <w:sz w:val="1"/>
                <w:szCs w:val="1"/>
                <w:color w:val="auto"/>
              </w:rPr>
            </w:pPr>
          </w:p>
        </w:tc>
      </w:tr>
      <w:tr>
        <w:trPr>
          <w:trHeight w:val="218"/>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1,158,456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1,028,233</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517,049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474,071</w:t>
            </w:r>
          </w:p>
        </w:tc>
        <w:tc>
          <w:tcPr>
            <w:tcW w:w="0" w:type="dxa"/>
            <w:vAlign w:val="bottom"/>
          </w:tcPr>
          <w:p>
            <w:pPr>
              <w:spacing w:after="0"/>
              <w:rPr>
                <w:sz w:val="1"/>
                <w:szCs w:val="1"/>
                <w:color w:val="auto"/>
              </w:rPr>
            </w:pPr>
          </w:p>
        </w:tc>
      </w:tr>
      <w:tr>
        <w:trPr>
          <w:trHeight w:val="22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641,407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554,162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net, increases were primarily attributable to capital expenditures in the Broadband segment due to expansion of Glo Fiber assets and market expansion. Depreciation expense was $17.7 million and $14.1 million during the</w:t>
      </w:r>
    </w:p>
    <w:p>
      <w:pPr>
        <w:sectPr>
          <w:pgSz w:w="11900" w:h="16838" w:orient="portrait"/>
          <w:cols w:equalWidth="0" w:num="1">
            <w:col w:w="11240"/>
          </w:cols>
          <w:pgMar w:left="320" w:top="119"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three months ended September 30, 2022 and 2021, respectively, and $46.4 million and $40.2 million for the nine months ended September 30, 2022 and 2021, respectively.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fourth quarter of 2021, due to the availability of grants awarded under various governmental initiatives in support of rural fiber to the home ("FTTH") broadband network expansion projects, we decided to cease further expansion of our Beam branded fixed wireless edge-out strategy, which is offered under our Broadband segment. During the second quarter of 2022, the Company permanently ceased operating 20 of our 55 Beam fixed wireless sites. Consequently, Shentel recorded an impairment charge of $4.1 million. On August 23, 2022, the Company entered into a definitive asset purchase agreement (the "Spectrum Purchase Agreement") with a wireless carrier pursuant to which the Company agreed to sell certain Federal Communications Commission ("FCC") spectrum licenses and leases utilized in the Company's Beam branded fixed wireless service for total consideration of approximately $21.1 million, composed of $17.3 million cash and approximately $3.8 million of liabilities to be assumed by the wireless carrier (the "Spectrum Transaction"). The Spectrum Transaction is expected to close in the first half of 2023, subject to the receipt of regulatory approvals and other customary closing conditions. As a result of the Spectrum Transaction, the Company plans to cease its Beam operations at the remaining Beam fixed wireless sites upon or prior to the closing of the Spectrum Transaction. As a result of the expected decommissioning of the remaining Beam fixed wireless sites after they cease operations, the Company has revised the useful lives for these sites to reflect operation through the cease of operations date.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intangible assets consist of the following:</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5"/>
                <w:szCs w:val="15"/>
                <w:color w:val="auto"/>
              </w:rPr>
            </w:pPr>
          </w:p>
        </w:tc>
        <w:tc>
          <w:tcPr>
            <w:tcW w:w="9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20" w:type="dxa"/>
            <w:vAlign w:val="bottom"/>
          </w:tcPr>
          <w:p>
            <w:pPr>
              <w:spacing w:after="0"/>
              <w:rPr>
                <w:sz w:val="15"/>
                <w:szCs w:val="15"/>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60" w:type="dxa"/>
            <w:vAlign w:val="bottom"/>
          </w:tcPr>
          <w:p>
            <w:pPr>
              <w:spacing w:after="0"/>
              <w:rPr>
                <w:sz w:val="15"/>
                <w:szCs w:val="15"/>
                <w:color w:val="auto"/>
              </w:rPr>
            </w:pPr>
          </w:p>
        </w:tc>
        <w:tc>
          <w:tcPr>
            <w:tcW w:w="9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5"/>
                <w:szCs w:val="15"/>
                <w:color w:val="auto"/>
              </w:rPr>
            </w:pPr>
          </w:p>
        </w:tc>
        <w:tc>
          <w:tcPr>
            <w:tcW w:w="15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Amortization and</w:t>
            </w:r>
          </w:p>
        </w:tc>
        <w:tc>
          <w:tcPr>
            <w:tcW w:w="220" w:type="dxa"/>
            <w:vAlign w:val="bottom"/>
          </w:tcPr>
          <w:p>
            <w:pPr>
              <w:spacing w:after="0"/>
              <w:rPr>
                <w:sz w:val="15"/>
                <w:szCs w:val="15"/>
                <w:color w:val="auto"/>
              </w:rPr>
            </w:pPr>
          </w:p>
        </w:tc>
        <w:tc>
          <w:tcPr>
            <w:tcW w:w="7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37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and Other</w:t>
            </w:r>
          </w:p>
        </w:tc>
        <w:tc>
          <w:tcPr>
            <w:tcW w:w="22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Goodwill - Broadband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Cable franchise rights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FCC Spectrum licenses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Railroad crossing rights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indefinite-lived intangibles</w:t>
            </w: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76,597</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64,475</w:t>
            </w:r>
          </w:p>
        </w:tc>
        <w:tc>
          <w:tcPr>
            <w:tcW w:w="0" w:type="dxa"/>
            <w:vAlign w:val="bottom"/>
          </w:tcPr>
          <w:p>
            <w:pPr>
              <w:spacing w:after="0"/>
              <w:rPr>
                <w:sz w:val="1"/>
                <w:szCs w:val="1"/>
                <w:color w:val="auto"/>
              </w:rPr>
            </w:pPr>
          </w:p>
        </w:tc>
      </w:tr>
      <w:tr>
        <w:trPr>
          <w:trHeight w:val="47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Finite-lived intangibles: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34"/>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intangibles</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finite-lived intangibles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108,729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81,612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96,607</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was $0.2 million for both the three months ended September 30, 2022 and 2021 and $0.6 million for both the nine months ended September 30, 2022 and 2021, respectively.</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242424"/>
        </w:rPr>
        <w:t xml:space="preserve">During the third quarter of 2020, the Company was awarded certain indefinite-lived Citizens Broadband Radio Service ("CBRS") spectrum licenses to be used within the Broadband segment. The Company paid an aggregate deposit of </w:t>
      </w:r>
      <w:r>
        <w:rPr>
          <w:rFonts w:ascii="Times New Roman" w:cs="Times New Roman" w:eastAsia="Times New Roman" w:hAnsi="Times New Roman"/>
          <w:sz w:val="18"/>
          <w:szCs w:val="18"/>
          <w:color w:val="000000"/>
        </w:rPr>
        <w:t>$16.1 million</w:t>
      </w:r>
      <w:r>
        <w:rPr>
          <w:rFonts w:ascii="Times New Roman" w:cs="Times New Roman" w:eastAsia="Times New Roman" w:hAnsi="Times New Roman"/>
          <w:sz w:val="18"/>
          <w:szCs w:val="18"/>
          <w:color w:val="242424"/>
        </w:rPr>
        <w:t xml:space="preserve"> with respect to the licenses subject to final approval and issuance by the FCC. The licenses will provide us priority access rights over general access users other than incumbents, in that specific band, in accordance with the FCC’s three-tier CBRS band spectrum sharing framework. The FCC approved the </w:t>
      </w:r>
      <w:r>
        <w:rPr>
          <w:rFonts w:ascii="Times New Roman" w:cs="Times New Roman" w:eastAsia="Times New Roman" w:hAnsi="Times New Roman"/>
          <w:sz w:val="18"/>
          <w:szCs w:val="18"/>
          <w:color w:val="000000"/>
        </w:rPr>
        <w:t>Company’s final application for the licenses in the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third quarter of 2022, resulting in the issuance of licenses with a deposit value of $12.1 million. The Company recorded these licenses as indefinite-lived intangible assets on the Company's unaudited condensed consolidated balance sheet. These licenses are not subject to the Spectrum Transaction described above. The remaining $4.0 million of the deposit is expected to be returned to the Company in the form of a cash refund in November 2022. The refund amount was recorded in accounts receivable on the Company's unaudited condensed consolidated balance sheet as of September 30, 2022.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As described in Note 4,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the Company entered into the Spectrum Purchase Agreement to sell FCC spectrum licenses associated with Beam. As a result of the expected sale, the Company concluded that the FCC spectrum licenses met the held-for-sale criteria; accordingly, $13.8 million of indefinite-lived licenses and $5.9 million of finite-lived licenses are presented as held for sale, along with the corresponding $3.8 million of operating lease liabilities related to the finite-lived licenses. The corresponding amounts related to these assets and liabilities were reclassified on the unaudited condensed consolidated balance sheet as of December 31, 2021 for comparability. The Company evaluated the events described here and in Note 4,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and determined that these events do not represent a strategic shift in the Company's business.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Other Assets and Accrued Liabilities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classified as current assets, included the following:</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808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 for FCC spectrum licenses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16,118</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maintenance and software expenses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contract acquisition costs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SERP investments</w:t>
            </w: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29,830</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charges and other assets, classified as long-term assets, included the following:</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08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contract acquisition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0" w:type="dxa"/>
            <w:vAlign w:val="bottom"/>
          </w:tcPr>
          <w:p>
            <w:pPr>
              <w:spacing w:after="0"/>
              <w:rPr>
                <w:sz w:val="1"/>
                <w:szCs w:val="1"/>
                <w:color w:val="auto"/>
              </w:rPr>
            </w:pP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maintenance and software expenses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0" w:type="dxa"/>
            <w:vAlign w:val="bottom"/>
          </w:tcPr>
          <w:p>
            <w:pPr>
              <w:spacing w:after="0"/>
              <w:rPr>
                <w:sz w:val="1"/>
                <w:szCs w:val="1"/>
                <w:color w:val="auto"/>
              </w:rPr>
            </w:pP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Accrued liabilities and other, classified as current liabilities, included the following:</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08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programming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property taxes payable</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accrual</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0" w:type="dxa"/>
            <w:vAlign w:val="bottom"/>
          </w:tcPr>
          <w:p>
            <w:pPr>
              <w:spacing w:after="0"/>
              <w:rPr>
                <w:sz w:val="1"/>
                <w:szCs w:val="1"/>
                <w:color w:val="auto"/>
              </w:rPr>
            </w:pP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liabilities, classified as long-term liabilities, included the following:</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08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deferred lease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19,749</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financing leases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21,824</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During 2021, as a result of the sale of our Wireless assets and operations, we implemented a restructuring plan whereby certain employees were notified of their pending dismissal under the workforce reduction program. We made $1.4 million and $2.0 million in severance payments for the nine months ended September 30, 2022 and 2021, respectively. During the three months ended September 30, 2021, we recognized expenses of $1.2 million and $2.0 million, presented in continuing and discontinued operations, respectively. For the nine months ended September 30, 2021, we recognized expenses of $1.8 million and $2.5 million, presented in continuing and discontinued operations,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Restructuring charges for the three and nine months ended September 30, 2022 were primarily related to contract termination costs associated with the Spectrum Transaction.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various broadband network and telecommunications sites, fiber optic cable routes, warehouses, retail stores, and office facilities for use in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our operating leases had a weighted average remaining lease term of twenty years and a weighted average discount rate of 4.4%.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finance leases had a weighted average remaining lease term of thirteen years and a weighted average discount rate of 5.2%.</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recognized $2.6 million and $2.3 million of operating lease expense for the three months ended September 30, 2022 and 2021, respectively, and $8.3 million and $5.7 million of operating lease expense for the nine months ended September 30, 2022 and 2021, respectively. We recognized $0.1 million of interest and depreciation expense on finance leases for both of the three months ended September 30, 2022 and 2021, and $0.4 million of interest and depreciation expense on finance leases for both of the nine months ended September 30, 2022 and 2021. Operating lease expense is presented in cost of service or selling, general and administrative expense based on the use of the relevant facility. Variable lease payments and short-term lease expense were both immaterial. We remitted $4.6 million and $4.2 million of operating lease payments for the nine months ended September 30, 2022 and 2021, respectively. We obtained $3.3 million and $7.3 million of leased assets in exchange for new operating lease liabilities recognized for the nine months ended September 30, 2022 and 2021, respectively.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the expected maturity of lease liabilities at September 30, 2022:</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2"/>
                <w:szCs w:val="22"/>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60" w:type="dxa"/>
            <w:vAlign w:val="bottom"/>
          </w:tcPr>
          <w:p>
            <w:pPr>
              <w:spacing w:after="0"/>
              <w:rPr>
                <w:sz w:val="22"/>
                <w:szCs w:val="22"/>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460" w:type="dxa"/>
            <w:vAlign w:val="bottom"/>
          </w:tcPr>
          <w:p>
            <w:pPr>
              <w:spacing w:after="0"/>
              <w:rPr>
                <w:sz w:val="22"/>
                <w:szCs w:val="22"/>
                <w:color w:val="auto"/>
              </w:rPr>
            </w:pPr>
          </w:p>
        </w:tc>
        <w:tc>
          <w:tcPr>
            <w:tcW w:w="15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68,958</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70,472</w:t>
            </w:r>
          </w:p>
        </w:tc>
      </w:tr>
      <w:tr>
        <w:trPr>
          <w:trHeight w:val="21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89,868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92,089</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35,529</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54,963</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56,560</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$4.0 million and $2.4 million of operating lease revenue for the three months ended September 30, 2022 and 2021, respectively, and $13.8 million and $7.1 million of operating lease revenue for the nine months ended September 30, 2022 and 2021, respectively, related to the cell site colocation space and dedicated fiber optic strands that we lease to our customers, which is included in Service revenue and other in the unaudited condensed consolidated statements of comprehensive (loss) income. Substantially all of our lease revenue relates to fixed lease payments.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Below is a summary of our minimum rental receipts under the lease agreements in place at September 30, 2022:</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w:t>
            </w:r>
          </w:p>
        </w:tc>
      </w:tr>
      <w:tr>
        <w:trPr>
          <w:trHeight w:val="234"/>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30,338</w:t>
            </w:r>
          </w:p>
        </w:tc>
      </w:tr>
      <w:tr>
        <w:trPr>
          <w:trHeight w:val="22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87,037</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Credit Agreement, dated July 1, 2021 (the "Credit Agreement") contains (i) a $100 million, five-year undrawn revolving credit facility, (ii) a $150 million five-year delayed draw amortizing term loan ("Term Loan A-1") and (iii) a $150 million seven-year delayed draw amortizing term loan ("Term Loan A-2"). The following loans were outstanding under the Credit Agreement:</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7"/>
                <w:szCs w:val="17"/>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12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8"/>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Term loan A-1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Term loan A-2</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loan fees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 of unamortized loan fees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 2022, the Company borrowed $12.5 million against both Term Loan A-1 and Term Loan A-2 for a total of $25.0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Term Loan A-1 and Term Loan A-2 bear interest at one-month LIBOR plus a margin of 1.50%. The interest rate was 4.64% at September 30,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payments for interest were $0.2 million and $10.4 million during the nine months ended September 30, 2022 and 2021,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various covenants, including total net leverage ratio and debt service coverage ratio financial covenants.</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International Exchange (ICE) Benchmark Administration ceased the publication of one-week and two-month LIBOR on December 31, 2021 and expects to phase-out the remaining tenors (overnight, one-month, three-month, six-month and 12-month) on June 30, 2023. Our term loans and revolver identify LIBOR as a reference rate for tenors ceasing on June 30, 2023 and maturing after 2023. Alternative reference rates that replace LIBOR may not yield the same or similar economic results over the terms of the financial instruments. The transition from LIBOR could result in us paying higher or lower interest rates on our current LIBOR-indexed term loans. Our Credit Agreement includes provisions that provide for the identification of a LIBOR replacement rate. Due to the uncertainty regarding the transition from LIBOR-indexed financial instruments and the manner in which an alternative reference rate will apply, we cannot yet reasonably estimate the expected financial impact of the LIBOR transition. Any changes to the reference rate will be agreed through an amendment to the Credit Agreement and are expected to reference the Secured Overnight Financing Rate, though the timing of such amendment and applicability to any future amounts owed under the Credit Agreement are not certain at this time.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U.S. federal income tax returns and various state income tax returns. The Company is not subject to any state or federal income tax audits as of September 30, 2022. The Company's income tax returns are generally open to examination from 2018 forward and the net operating losses acquired in the acquisition of nTelos are open to examination from 2002 forward.</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and nine months ended September 30, 2022 and 2021, differ from the statutory U.S. federal income tax rate of 21% primarily due to the state income taxes, excess tax benefits and other discrete items.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871"/>
        </w:trPr>
        <w:tc>
          <w:tcPr>
            <w:tcW w:w="1280" w:type="dxa"/>
            <w:vAlign w:val="bottom"/>
            <w:tcBorders>
              <w:top w:val="single" w:sz="8" w:color="0000FF"/>
            </w:tcBorders>
          </w:tcPr>
          <w:p>
            <w:pPr>
              <w:spacing w:after="0"/>
              <w:rPr>
                <w:sz w:val="24"/>
                <w:szCs w:val="24"/>
                <w:color w:val="auto"/>
              </w:rPr>
            </w:pPr>
          </w:p>
        </w:tc>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26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28"/>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8"/>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tax (benefit) expense at federal statutory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4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 (benefit) expense, net of federal tax effect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Revaluation of deferred tax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w:t>
            </w: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Stranded tax effects reclassified from other comprehensive income</w:t>
            </w: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180"/>
        </w:trPr>
        <w:tc>
          <w:tcPr>
            <w:tcW w:w="5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Excess tax deficiency (benefit) from share-based compensation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r>
      <w:tr>
        <w:trPr>
          <w:trHeight w:val="20"/>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made no cash payments and received no cash refunds for income taxes for the nine months ended September 30, 2022. The Company's cash payments for income taxes were approximately $24.9 million for the nine months ended September 30,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 Compensation and (Loss) Earnings per Share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granted approximately 518,000 restricted stock units ("RSUs") at market prices ranging from $18.84 to $25.92 to employees and members of the board of directors during the nine months ended September 30, 2022. Additionally, approximately 100,000 Relative Total Shareholder Return (“RTSR”) awards were granted to employees at a value of $23.83 per award during the nine months ended September 30, 2022. The Company incurred $1.8 million and $1.2 million in stock-based compensation expense for the three months ended September 30, 2022 and 2021 and $7.3 million and $2.0 million in stock-based compensation expense for the nine months ended September 30, 2022 and 2021, respectively. Stock-based compensation expense is presented in selling, general and administrative costs in our unaudited condensed consolidated statements of comprehensive (loss)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utilize the treasury stock method to calculate the impact on diluted earnings per share that potentially dilutive stock-based compensation awards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the computation of basic and diluted earnings per share:</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6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05"/>
        </w:trPr>
        <w:tc>
          <w:tcPr>
            <w:tcW w:w="51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Calculation of net (loss) income per share: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0" w:type="dxa"/>
            <w:vAlign w:val="bottom"/>
          </w:tcPr>
          <w:p>
            <w:pPr>
              <w:spacing w:after="0"/>
              <w:rPr>
                <w:sz w:val="1"/>
                <w:szCs w:val="1"/>
                <w:color w:val="auto"/>
              </w:rPr>
            </w:pPr>
          </w:p>
        </w:tc>
      </w:tr>
      <w:tr>
        <w:trPr>
          <w:trHeight w:val="234"/>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income from discontinued operations, net of tax</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886,326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986,364</w:t>
            </w:r>
          </w:p>
        </w:tc>
        <w:tc>
          <w:tcPr>
            <w:tcW w:w="0" w:type="dxa"/>
            <w:vAlign w:val="bottom"/>
          </w:tcPr>
          <w:p>
            <w:pPr>
              <w:spacing w:after="0"/>
              <w:rPr>
                <w:sz w:val="1"/>
                <w:szCs w:val="1"/>
                <w:color w:val="auto"/>
              </w:rPr>
            </w:pPr>
          </w:p>
        </w:tc>
      </w:tr>
      <w:tr>
        <w:trPr>
          <w:trHeight w:val="223"/>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892,821</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997,430</w:t>
            </w:r>
          </w:p>
        </w:tc>
        <w:tc>
          <w:tcPr>
            <w:tcW w:w="0" w:type="dxa"/>
            <w:vAlign w:val="bottom"/>
          </w:tcPr>
          <w:p>
            <w:pPr>
              <w:spacing w:after="0"/>
              <w:rPr>
                <w:sz w:val="1"/>
                <w:szCs w:val="1"/>
                <w:color w:val="auto"/>
              </w:rPr>
            </w:pP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50,183</w:t>
            </w:r>
          </w:p>
        </w:tc>
        <w:tc>
          <w:tcPr>
            <w:tcW w:w="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49,984</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50,153</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49,984</w:t>
            </w:r>
          </w:p>
        </w:tc>
        <w:tc>
          <w:tcPr>
            <w:tcW w:w="0" w:type="dxa"/>
            <w:vAlign w:val="bottom"/>
          </w:tcPr>
          <w:p>
            <w:pPr>
              <w:spacing w:after="0"/>
              <w:rPr>
                <w:sz w:val="1"/>
                <w:szCs w:val="1"/>
                <w:color w:val="auto"/>
              </w:rPr>
            </w:pPr>
          </w:p>
        </w:tc>
      </w:tr>
      <w:tr>
        <w:trPr>
          <w:trHeight w:val="218"/>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net (loss) income per share - continuing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4"/>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net income per share - discontinued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23"/>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1"/>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 of stock-based compensation awards outstanding:</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5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49,984</w:t>
            </w:r>
          </w:p>
        </w:tc>
        <w:tc>
          <w:tcPr>
            <w:tcW w:w="0" w:type="dxa"/>
            <w:vAlign w:val="bottom"/>
          </w:tcPr>
          <w:p>
            <w:pPr>
              <w:spacing w:after="0"/>
              <w:rPr>
                <w:sz w:val="1"/>
                <w:szCs w:val="1"/>
                <w:color w:val="auto"/>
              </w:rPr>
            </w:pPr>
          </w:p>
        </w:tc>
      </w:tr>
      <w:tr>
        <w:trPr>
          <w:trHeight w:val="234"/>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from dilutive shares and options outstanding</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50,183</w:t>
            </w: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50,120</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50,153</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50,136</w:t>
            </w:r>
          </w:p>
        </w:tc>
        <w:tc>
          <w:tcPr>
            <w:tcW w:w="0" w:type="dxa"/>
            <w:vAlign w:val="bottom"/>
          </w:tcPr>
          <w:p>
            <w:pPr>
              <w:spacing w:after="0"/>
              <w:rPr>
                <w:sz w:val="1"/>
                <w:szCs w:val="1"/>
                <w:color w:val="auto"/>
              </w:rPr>
            </w:pPr>
          </w:p>
        </w:tc>
      </w:tr>
      <w:tr>
        <w:trPr>
          <w:trHeight w:val="218"/>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net (loss) income per share - continuing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4"/>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net income per share - discontinued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23"/>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approximately 252,000 and 165,000 potentially dilutive equity awards for the three and nine months ended September 30, 2022; however, these securities were excluded from the calculation of diluted weighted average shares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due to the fact that they were anti-dilutive as a result of the Company's net loss for the period. There were fewer than 215,000 anti-dilutive equity awards outstanding for the three and nine months ended September 30, 2021.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 2021, the Company’s Board of Directors declared a special dividend of $18.75 per share on the issued and outstanding shares of the Company’s common stock (the “Special Dividend”). The Special Dividend was paid on August 2, 2021. The total payout to Shentel shareholders, including amounts reinvested in the Company’s stock via the Company’s Dividend Reinvestment Plan, was approximately $937 million.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4, 2021, in accordance with the 2014 Equity Incentive Plan, the Company's Board of Directors adopted a resolution to modify the outstanding equity awards to offset the loss in intrinsic value caused by the disposition of wireless and the decline in the Company's share price following the special dividend. No other terms or conditions of the outstanding equity awards were modified, no incremental expense was required to be recognized, and there was no significant impact to dilutive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Government Grants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of 2021, the Virginia Department of Housing and Community Development ("VA DHCD"), in partnership with five counties in Virginia, awarded the Company up to approximately $57.8 million in grants under the Virginia Telecommunication Initiative ("VATI") to strategically expand the Company's broadband network in order to provide broadband services to unserved residences in the partnering counties in Virginia. In July 2022, the State of West Virginia awarded Shentel $1.1 million under the Major Broadband Projects Strategies (“MBPS”) program to extend the Company’s broadband network in Lewis County, West Virginia. Also in July 2022, the Maryland Department of Housing and Community Development ("MD DHCD"), in partnership with Frederick County, Maryland, awarded the Company up to approximately $10.2 million in grants to expand the Company's broadband network to unserved homes and businesses.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receive such grant distributions, we entered into agreements with each partnering county in Virginia and expect to complete similar agreement in Maryland and West Virginia. These agreements outline certain build-out milestones. The network is required to meet certain performance conditions for a subsequent five year period to ensure that minimum download and upload speeds are able to be provided to the underserved residences.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grant receivables at the time it becomes probable that the Company will be eligible to receive the grant, which is estimated to correspond with the date when specified build-out milestones are achieved. The grant is treated as a reduction to the corresponding property, plant and equipment asset balance and is recognized through depreciation expense over the life of the corresponding asset. Reimbursable amounts are dependent upon the actual construction costs. The Company has not recognized any amounts under these programs as of September 30, 2022 and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are committed to make payments to satisfy our lease liabilities. The scheduled payments under those obligations are summarized in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also have outstanding unconditional purchase commitments to procure marketing services and IT software licenses through 2026 and commitments for FCC spectrum licenses to access Educational Broadband Service (“EBS”) spectrum channels through 2039 (which have been classified as held for sale).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From time to time the Company is involved in various litigation matters arising out of the normal course of business. The Company consults with legal counsel on those issues related to litigation and seeks input from other experts and advisors with 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presently expect any litigation matters to have a material adverse impact on the </w:t>
      </w:r>
      <w:r>
        <w:rPr>
          <w:rFonts w:ascii="Times New Roman" w:cs="Times New Roman" w:eastAsia="Times New Roman" w:hAnsi="Times New Roman"/>
          <w:sz w:val="18"/>
          <w:szCs w:val="18"/>
          <w:color w:val="212529"/>
        </w:rPr>
        <w:t>unaudited condensed</w:t>
      </w:r>
      <w:r>
        <w:rPr>
          <w:rFonts w:ascii="Times New Roman" w:cs="Times New Roman" w:eastAsia="Times New Roman" w:hAnsi="Times New Roman"/>
          <w:sz w:val="18"/>
          <w:szCs w:val="18"/>
          <w:color w:val="auto"/>
        </w:rPr>
        <w:t xml:space="preserve"> consolidated financial statements of the Company.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Segment Reporting</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7"/>
                <w:szCs w:val="17"/>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280" w:type="dxa"/>
            <w:vAlign w:val="bottom"/>
          </w:tcPr>
          <w:p>
            <w:pPr>
              <w:spacing w:after="0"/>
              <w:rPr>
                <w:sz w:val="17"/>
                <w:szCs w:val="17"/>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60" w:type="dxa"/>
            <w:vAlign w:val="bottom"/>
          </w:tcPr>
          <w:p>
            <w:pPr>
              <w:spacing w:after="0"/>
              <w:rPr>
                <w:sz w:val="17"/>
                <w:szCs w:val="17"/>
                <w:color w:val="auto"/>
              </w:rPr>
            </w:pPr>
          </w:p>
        </w:tc>
        <w:tc>
          <w:tcPr>
            <w:tcW w:w="140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17"/>
                <w:szCs w:val="17"/>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51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1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Residential &amp; SMB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48,700</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48,700</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Fiber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RLEC &amp; Other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0" w:type="dxa"/>
            <w:vAlign w:val="bottom"/>
          </w:tcPr>
          <w:p>
            <w:pPr>
              <w:spacing w:after="0"/>
              <w:rPr>
                <w:sz w:val="1"/>
                <w:szCs w:val="1"/>
                <w:color w:val="auto"/>
              </w:rPr>
            </w:pPr>
          </w:p>
        </w:tc>
      </w:tr>
      <w:tr>
        <w:trPr>
          <w:trHeight w:val="234"/>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Tower lease</w:t>
            </w:r>
          </w:p>
        </w:tc>
        <w:tc>
          <w:tcPr>
            <w:tcW w:w="1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18"/>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62,361</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66,971</w:t>
            </w:r>
          </w:p>
        </w:tc>
        <w:tc>
          <w:tcPr>
            <w:tcW w:w="0" w:type="dxa"/>
            <w:vAlign w:val="bottom"/>
          </w:tcPr>
          <w:p>
            <w:pPr>
              <w:spacing w:after="0"/>
              <w:rPr>
                <w:sz w:val="1"/>
                <w:szCs w:val="1"/>
                <w:color w:val="auto"/>
              </w:rPr>
            </w:pPr>
          </w:p>
        </w:tc>
      </w:tr>
      <w:tr>
        <w:trPr>
          <w:trHeight w:val="234"/>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Intercompany revenue and other</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62,386</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66,924</w:t>
            </w:r>
          </w:p>
        </w:tc>
        <w:tc>
          <w:tcPr>
            <w:tcW w:w="0" w:type="dxa"/>
            <w:vAlign w:val="bottom"/>
          </w:tcPr>
          <w:p>
            <w:pPr>
              <w:spacing w:after="0"/>
              <w:rPr>
                <w:sz w:val="1"/>
                <w:szCs w:val="1"/>
                <w:color w:val="auto"/>
              </w:rPr>
            </w:pPr>
          </w:p>
        </w:tc>
      </w:tr>
      <w:tr>
        <w:trPr>
          <w:trHeight w:val="205"/>
        </w:trPr>
        <w:tc>
          <w:tcPr>
            <w:tcW w:w="51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27,477</w:t>
            </w: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22,227</w:t>
            </w: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34"/>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17,873</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57,576</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68,695</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1"/>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7"/>
                <w:szCs w:val="17"/>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280" w:type="dxa"/>
            <w:vAlign w:val="bottom"/>
          </w:tcPr>
          <w:p>
            <w:pPr>
              <w:spacing w:after="0"/>
              <w:rPr>
                <w:sz w:val="17"/>
                <w:szCs w:val="17"/>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60" w:type="dxa"/>
            <w:vAlign w:val="bottom"/>
          </w:tcPr>
          <w:p>
            <w:pPr>
              <w:spacing w:after="0"/>
              <w:rPr>
                <w:sz w:val="17"/>
                <w:szCs w:val="17"/>
                <w:color w:val="auto"/>
              </w:rPr>
            </w:pPr>
          </w:p>
        </w:tc>
        <w:tc>
          <w:tcPr>
            <w:tcW w:w="140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17"/>
                <w:szCs w:val="17"/>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51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1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Residential &amp; SMB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44,783</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44,783</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Fiber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RLEC &amp; Other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0" w:type="dxa"/>
            <w:vAlign w:val="bottom"/>
          </w:tcPr>
          <w:p>
            <w:pPr>
              <w:spacing w:after="0"/>
              <w:rPr>
                <w:sz w:val="1"/>
                <w:szCs w:val="1"/>
                <w:color w:val="auto"/>
              </w:rPr>
            </w:pPr>
          </w:p>
        </w:tc>
      </w:tr>
      <w:tr>
        <w:trPr>
          <w:trHeight w:val="234"/>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Tower lease</w:t>
            </w:r>
          </w:p>
        </w:tc>
        <w:tc>
          <w:tcPr>
            <w:tcW w:w="1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0" w:type="dxa"/>
            <w:vAlign w:val="bottom"/>
          </w:tcPr>
          <w:p>
            <w:pPr>
              <w:spacing w:after="0"/>
              <w:rPr>
                <w:sz w:val="1"/>
                <w:szCs w:val="1"/>
                <w:color w:val="auto"/>
              </w:rPr>
            </w:pPr>
          </w:p>
        </w:tc>
      </w:tr>
      <w:tr>
        <w:trPr>
          <w:trHeight w:val="218"/>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57,814</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62,170</w:t>
            </w:r>
          </w:p>
        </w:tc>
        <w:tc>
          <w:tcPr>
            <w:tcW w:w="0" w:type="dxa"/>
            <w:vAlign w:val="bottom"/>
          </w:tcPr>
          <w:p>
            <w:pPr>
              <w:spacing w:after="0"/>
              <w:rPr>
                <w:sz w:val="1"/>
                <w:szCs w:val="1"/>
                <w:color w:val="auto"/>
              </w:rPr>
            </w:pPr>
          </w:p>
        </w:tc>
      </w:tr>
      <w:tr>
        <w:trPr>
          <w:trHeight w:val="234"/>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Intercompany revenue and other</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57,913</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0" w:type="dxa"/>
            <w:vAlign w:val="bottom"/>
          </w:tcPr>
          <w:p>
            <w:pPr>
              <w:spacing w:after="0"/>
              <w:rPr>
                <w:sz w:val="1"/>
                <w:szCs w:val="1"/>
                <w:color w:val="auto"/>
              </w:rPr>
            </w:pPr>
          </w:p>
        </w:tc>
      </w:tr>
      <w:tr>
        <w:trPr>
          <w:trHeight w:val="205"/>
        </w:trPr>
        <w:tc>
          <w:tcPr>
            <w:tcW w:w="51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25,747</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20,238</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34"/>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12,211</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14,248</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48,513</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61,393</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7"/>
                <w:szCs w:val="17"/>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280" w:type="dxa"/>
            <w:vAlign w:val="bottom"/>
          </w:tcPr>
          <w:p>
            <w:pPr>
              <w:spacing w:after="0"/>
              <w:rPr>
                <w:sz w:val="17"/>
                <w:szCs w:val="17"/>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60" w:type="dxa"/>
            <w:vAlign w:val="bottom"/>
          </w:tcPr>
          <w:p>
            <w:pPr>
              <w:spacing w:after="0"/>
              <w:rPr>
                <w:sz w:val="17"/>
                <w:szCs w:val="17"/>
                <w:color w:val="auto"/>
              </w:rPr>
            </w:pPr>
          </w:p>
        </w:tc>
        <w:tc>
          <w:tcPr>
            <w:tcW w:w="140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17"/>
                <w:szCs w:val="17"/>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51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1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Residential &amp; SMB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143,512</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143,512</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Fiber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27,924</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RLEC &amp; Other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0" w:type="dxa"/>
            <w:vAlign w:val="bottom"/>
          </w:tcPr>
          <w:p>
            <w:pPr>
              <w:spacing w:after="0"/>
              <w:rPr>
                <w:sz w:val="1"/>
                <w:szCs w:val="1"/>
                <w:color w:val="auto"/>
              </w:rPr>
            </w:pPr>
          </w:p>
        </w:tc>
      </w:tr>
      <w:tr>
        <w:trPr>
          <w:trHeight w:val="234"/>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Tower lease</w:t>
            </w:r>
          </w:p>
        </w:tc>
        <w:tc>
          <w:tcPr>
            <w:tcW w:w="1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0" w:type="dxa"/>
            <w:vAlign w:val="bottom"/>
          </w:tcPr>
          <w:p>
            <w:pPr>
              <w:spacing w:after="0"/>
              <w:rPr>
                <w:sz w:val="1"/>
                <w:szCs w:val="1"/>
                <w:color w:val="auto"/>
              </w:rPr>
            </w:pPr>
          </w:p>
        </w:tc>
      </w:tr>
      <w:tr>
        <w:trPr>
          <w:trHeight w:val="218"/>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183,388</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197,359</w:t>
            </w:r>
          </w:p>
        </w:tc>
        <w:tc>
          <w:tcPr>
            <w:tcW w:w="0" w:type="dxa"/>
            <w:vAlign w:val="bottom"/>
          </w:tcPr>
          <w:p>
            <w:pPr>
              <w:spacing w:after="0"/>
              <w:rPr>
                <w:sz w:val="1"/>
                <w:szCs w:val="1"/>
                <w:color w:val="auto"/>
              </w:rPr>
            </w:pPr>
          </w:p>
        </w:tc>
      </w:tr>
      <w:tr>
        <w:trPr>
          <w:trHeight w:val="234"/>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Intercompany revenue and other</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183,512</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197,359</w:t>
            </w:r>
          </w:p>
        </w:tc>
        <w:tc>
          <w:tcPr>
            <w:tcW w:w="0" w:type="dxa"/>
            <w:vAlign w:val="bottom"/>
          </w:tcPr>
          <w:p>
            <w:pPr>
              <w:spacing w:after="0"/>
              <w:rPr>
                <w:sz w:val="1"/>
                <w:szCs w:val="1"/>
                <w:color w:val="auto"/>
              </w:rPr>
            </w:pPr>
          </w:p>
        </w:tc>
      </w:tr>
      <w:tr>
        <w:trPr>
          <w:trHeight w:val="205"/>
        </w:trPr>
        <w:tc>
          <w:tcPr>
            <w:tcW w:w="51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80,572</w:t>
            </w: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69,152</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0" w:type="dxa"/>
            <w:vAlign w:val="bottom"/>
          </w:tcPr>
          <w:p>
            <w:pPr>
              <w:spacing w:after="0"/>
              <w:rPr>
                <w:sz w:val="1"/>
                <w:szCs w:val="1"/>
                <w:color w:val="auto"/>
              </w:rPr>
            </w:pPr>
          </w:p>
        </w:tc>
      </w:tr>
      <w:tr>
        <w:trPr>
          <w:trHeight w:val="234"/>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42,724</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47,008</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166,414</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202,647</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17,098</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0" w:type="dxa"/>
            <w:vAlign w:val="bottom"/>
          </w:tcPr>
          <w:p>
            <w:pPr>
              <w:spacing w:after="0"/>
              <w:rPr>
                <w:sz w:val="1"/>
                <w:szCs w:val="1"/>
                <w:color w:val="auto"/>
              </w:rPr>
            </w:pPr>
          </w:p>
        </w:tc>
      </w:tr>
      <w:tr>
        <w:trPr>
          <w:trHeight w:val="21"/>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4"/>
                <w:szCs w:val="24"/>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280" w:type="dxa"/>
            <w:vAlign w:val="bottom"/>
          </w:tcPr>
          <w:p>
            <w:pPr>
              <w:spacing w:after="0"/>
              <w:rPr>
                <w:sz w:val="24"/>
                <w:szCs w:val="24"/>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24"/>
                <w:szCs w:val="24"/>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51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1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Residential &amp; SMB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131,702</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131,702</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Fiber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21,975</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RLEC &amp; Other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0" w:type="dxa"/>
            <w:vAlign w:val="bottom"/>
          </w:tcPr>
          <w:p>
            <w:pPr>
              <w:spacing w:after="0"/>
              <w:rPr>
                <w:sz w:val="1"/>
                <w:szCs w:val="1"/>
                <w:color w:val="auto"/>
              </w:rPr>
            </w:pPr>
          </w:p>
        </w:tc>
      </w:tr>
      <w:tr>
        <w:trPr>
          <w:trHeight w:val="234"/>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Tower lease</w:t>
            </w:r>
          </w:p>
        </w:tc>
        <w:tc>
          <w:tcPr>
            <w:tcW w:w="1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0" w:type="dxa"/>
            <w:vAlign w:val="bottom"/>
          </w:tcPr>
          <w:p>
            <w:pPr>
              <w:spacing w:after="0"/>
              <w:rPr>
                <w:sz w:val="1"/>
                <w:szCs w:val="1"/>
                <w:color w:val="auto"/>
              </w:rPr>
            </w:pPr>
          </w:p>
        </w:tc>
      </w:tr>
      <w:tr>
        <w:trPr>
          <w:trHeight w:val="218"/>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164,885</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173,410</w:t>
            </w:r>
          </w:p>
        </w:tc>
        <w:tc>
          <w:tcPr>
            <w:tcW w:w="0" w:type="dxa"/>
            <w:vAlign w:val="bottom"/>
          </w:tcPr>
          <w:p>
            <w:pPr>
              <w:spacing w:after="0"/>
              <w:rPr>
                <w:sz w:val="1"/>
                <w:szCs w:val="1"/>
                <w:color w:val="auto"/>
              </w:rPr>
            </w:pPr>
          </w:p>
        </w:tc>
      </w:tr>
      <w:tr>
        <w:trPr>
          <w:trHeight w:val="189"/>
        </w:trPr>
        <w:tc>
          <w:tcPr>
            <w:tcW w:w="51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Revenue for service provided to the discontinued Wireless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169,294</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182,635</w:t>
            </w:r>
          </w:p>
        </w:tc>
        <w:tc>
          <w:tcPr>
            <w:tcW w:w="0" w:type="dxa"/>
            <w:vAlign w:val="bottom"/>
          </w:tcPr>
          <w:p>
            <w:pPr>
              <w:spacing w:after="0"/>
              <w:rPr>
                <w:sz w:val="1"/>
                <w:szCs w:val="1"/>
                <w:color w:val="auto"/>
              </w:rPr>
            </w:pPr>
          </w:p>
        </w:tc>
      </w:tr>
      <w:tr>
        <w:trPr>
          <w:trHeight w:val="205"/>
        </w:trPr>
        <w:tc>
          <w:tcPr>
            <w:tcW w:w="51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73,819</w:t>
            </w: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60,711</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4"/>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35,648</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40,714</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141,429</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177,164</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27,865</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total of the reportable segments’ operating income (loss) to unaudited condensed consolidated (loss) income for continuing operations before income taxes is as follows: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28"/>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operating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4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2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w:t>
            </w:r>
          </w:p>
        </w:tc>
      </w:tr>
      <w:tr>
        <w:trPr>
          <w:trHeight w:val="234"/>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8,547</w:t>
            </w:r>
          </w:p>
        </w:tc>
      </w:tr>
      <w:tr>
        <w:trPr>
          <w:trHeight w:val="21"/>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(CODM) does not currently review total assets by segment since the assets are centrally managed and some of the assets are shared by the segments. Accordingly, total assets by segment are not provided.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Discontinued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2021, pursuant to the previously announced Asset Purchase Agreement (the “Purchase Agreement”), dated May 28, 2021, between Shentel and T-Mobile, Shentel completed the sale to T-Mobile of its Wireless assets and operations for cash consideration of approximately $1.94 billion, inclusive of the approximately $60 million settlement of the waived management fees by Sprint, and net of certain transaction expenses (the “Transaction”).</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12529"/>
        </w:rPr>
        <w:t>The assets and liabilities that transferred in the Transaction (the "disposal group") were presented as held for sale within our historical unaudited condensed consolidated balance sheets, and discontinued operations within our historical unaudited condensed consolidated statements of comprehensive (loss) income.</w:t>
      </w:r>
    </w:p>
    <w:p>
      <w:pPr>
        <w:spacing w:after="0" w:line="203"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Income from discontinued operations, net of tax, in the unaudited condensed consolidated statements of comprehensive income (loss) consist of the following:</w:t>
      </w:r>
    </w:p>
    <w:tbl>
      <w:tblPr>
        <w:tblLayout w:type="fixed"/>
        <w:tblInd w:w="20" w:type="dxa"/>
        <w:tblCellMar>
          <w:top w:w="0" w:type="dxa"/>
          <w:left w:w="0" w:type="dxa"/>
          <w:bottom w:w="0" w:type="dxa"/>
          <w:right w:w="0" w:type="dxa"/>
        </w:tblCellMar>
      </w:tblPr>
      <w:tr>
        <w:trPr>
          <w:trHeight w:val="165"/>
        </w:trPr>
        <w:tc>
          <w:tcPr>
            <w:tcW w:w="68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4"/>
                <w:szCs w:val="14"/>
                <w:color w:val="auto"/>
              </w:rPr>
            </w:pPr>
          </w:p>
        </w:tc>
        <w:tc>
          <w:tcPr>
            <w:tcW w:w="1940" w:type="dxa"/>
            <w:vAlign w:val="bottom"/>
            <w:gridSpan w:val="2"/>
          </w:tcPr>
          <w:p>
            <w:pPr>
              <w:jc w:val="center"/>
              <w:ind w:right="320"/>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4"/>
                <w:szCs w:val="14"/>
                <w:color w:val="auto"/>
              </w:rPr>
            </w:pPr>
          </w:p>
        </w:tc>
        <w:tc>
          <w:tcPr>
            <w:tcW w:w="1960" w:type="dxa"/>
            <w:vAlign w:val="bottom"/>
          </w:tcPr>
          <w:p>
            <w:pPr>
              <w:jc w:val="right"/>
              <w:ind w:right="339"/>
              <w:spacing w:after="0" w:line="165"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6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260" w:type="dxa"/>
            <w:vAlign w:val="bottom"/>
          </w:tcPr>
          <w:p>
            <w:pPr>
              <w:spacing w:after="0"/>
              <w:rPr>
                <w:sz w:val="18"/>
                <w:szCs w:val="18"/>
                <w:color w:val="auto"/>
              </w:rPr>
            </w:pPr>
          </w:p>
        </w:tc>
        <w:tc>
          <w:tcPr>
            <w:tcW w:w="1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0" w:type="dxa"/>
            <w:vAlign w:val="bottom"/>
          </w:tcPr>
          <w:p>
            <w:pPr>
              <w:spacing w:after="0"/>
              <w:rPr>
                <w:sz w:val="1"/>
                <w:szCs w:val="1"/>
                <w:color w:val="auto"/>
              </w:rPr>
            </w:pPr>
          </w:p>
        </w:tc>
      </w:tr>
      <w:tr>
        <w:trPr>
          <w:trHeight w:val="194"/>
        </w:trPr>
        <w:tc>
          <w:tcPr>
            <w:tcW w:w="688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Service revenue and other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201,076</w:t>
            </w: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Equipment revenue</w:t>
            </w: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12,253</w:t>
            </w:r>
          </w:p>
        </w:tc>
        <w:tc>
          <w:tcPr>
            <w:tcW w:w="0" w:type="dxa"/>
            <w:vAlign w:val="bottom"/>
          </w:tcPr>
          <w:p>
            <w:pPr>
              <w:spacing w:after="0"/>
              <w:rPr>
                <w:sz w:val="1"/>
                <w:szCs w:val="1"/>
                <w:color w:val="auto"/>
              </w:rPr>
            </w:pPr>
          </w:p>
        </w:tc>
      </w:tr>
      <w:tr>
        <w:trPr>
          <w:trHeight w:val="210"/>
        </w:trPr>
        <w:tc>
          <w:tcPr>
            <w:tcW w:w="6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213,329</w:t>
            </w:r>
          </w:p>
        </w:tc>
        <w:tc>
          <w:tcPr>
            <w:tcW w:w="0" w:type="dxa"/>
            <w:vAlign w:val="bottom"/>
          </w:tcPr>
          <w:p>
            <w:pPr>
              <w:spacing w:after="0"/>
              <w:rPr>
                <w:sz w:val="1"/>
                <w:szCs w:val="1"/>
                <w:color w:val="auto"/>
              </w:rPr>
            </w:pPr>
          </w:p>
        </w:tc>
      </w:tr>
      <w:tr>
        <w:trPr>
          <w:trHeight w:val="196"/>
        </w:trPr>
        <w:tc>
          <w:tcPr>
            <w:tcW w:w="68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services</w:t>
            </w: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38,144</w:t>
            </w: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goods sold</w:t>
            </w: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11,964</w:t>
            </w: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17,514</w:t>
            </w: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Severance expense</w:t>
            </w: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16"/>
        </w:trPr>
        <w:tc>
          <w:tcPr>
            <w:tcW w:w="6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68,087</w:t>
            </w:r>
          </w:p>
        </w:tc>
        <w:tc>
          <w:tcPr>
            <w:tcW w:w="0" w:type="dxa"/>
            <w:vAlign w:val="bottom"/>
          </w:tcPr>
          <w:p>
            <w:pPr>
              <w:spacing w:after="0"/>
              <w:rPr>
                <w:sz w:val="1"/>
                <w:szCs w:val="1"/>
                <w:color w:val="auto"/>
              </w:rPr>
            </w:pPr>
          </w:p>
        </w:tc>
      </w:tr>
      <w:tr>
        <w:trPr>
          <w:trHeight w:val="210"/>
        </w:trPr>
        <w:tc>
          <w:tcPr>
            <w:tcW w:w="6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145,242</w:t>
            </w:r>
          </w:p>
        </w:tc>
        <w:tc>
          <w:tcPr>
            <w:tcW w:w="0" w:type="dxa"/>
            <w:vAlign w:val="bottom"/>
          </w:tcPr>
          <w:p>
            <w:pPr>
              <w:spacing w:after="0"/>
              <w:rPr>
                <w:sz w:val="1"/>
                <w:szCs w:val="1"/>
                <w:color w:val="auto"/>
              </w:rPr>
            </w:pPr>
          </w:p>
        </w:tc>
      </w:tr>
      <w:tr>
        <w:trPr>
          <w:trHeight w:val="196"/>
        </w:trPr>
        <w:tc>
          <w:tcPr>
            <w:tcW w:w="688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Debt extinguishment</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(11,032)</w:t>
            </w: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 and other, net</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(9,434)</w:t>
            </w: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sale of disposition of Wireless assets and operations</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1,224,815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1,224,815</w:t>
            </w:r>
          </w:p>
        </w:tc>
        <w:tc>
          <w:tcPr>
            <w:tcW w:w="0" w:type="dxa"/>
            <w:vAlign w:val="bottom"/>
          </w:tcPr>
          <w:p>
            <w:pPr>
              <w:spacing w:after="0"/>
              <w:rPr>
                <w:sz w:val="1"/>
                <w:szCs w:val="1"/>
                <w:color w:val="auto"/>
              </w:rPr>
            </w:pPr>
          </w:p>
        </w:tc>
      </w:tr>
      <w:tr>
        <w:trPr>
          <w:trHeight w:val="210"/>
        </w:trPr>
        <w:tc>
          <w:tcPr>
            <w:tcW w:w="6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1,213,050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1,349,591</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326,724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363,227</w:t>
            </w:r>
          </w:p>
        </w:tc>
        <w:tc>
          <w:tcPr>
            <w:tcW w:w="0" w:type="dxa"/>
            <w:vAlign w:val="bottom"/>
          </w:tcPr>
          <w:p>
            <w:pPr>
              <w:spacing w:after="0"/>
              <w:rPr>
                <w:sz w:val="1"/>
                <w:szCs w:val="1"/>
                <w:color w:val="auto"/>
              </w:rPr>
            </w:pPr>
          </w:p>
        </w:tc>
      </w:tr>
      <w:tr>
        <w:trPr>
          <w:trHeight w:val="213"/>
        </w:trPr>
        <w:tc>
          <w:tcPr>
            <w:tcW w:w="6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886,326</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986,364</w:t>
            </w:r>
          </w:p>
        </w:tc>
        <w:tc>
          <w:tcPr>
            <w:tcW w:w="0" w:type="dxa"/>
            <w:vAlign w:val="bottom"/>
          </w:tcPr>
          <w:p>
            <w:pPr>
              <w:spacing w:after="0"/>
              <w:rPr>
                <w:sz w:val="1"/>
                <w:szCs w:val="1"/>
                <w:color w:val="auto"/>
              </w:rPr>
            </w:pPr>
          </w:p>
        </w:tc>
      </w:tr>
      <w:tr>
        <w:trPr>
          <w:trHeight w:val="23"/>
        </w:trPr>
        <w:tc>
          <w:tcPr>
            <w:tcW w:w="6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material income from discontinued operations for the three and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following management’s discussion and analysis includes “forward-looking statements” within the meaning of Section 27A of the Securities Act of 1933 and Section 21E of the Securities Exchange Act of 1934 (the "Exchange Act").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operating results and cash flows,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Form 10-K for its fiscal year ended December 31, 2021 ("2021 Form 10-K").</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should be read in conjunction with the Company’s 2021 Form 10-K, including the consolidated financial statements and related notes included therein.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Shenandoah Telecommunications Company (“Shentel”, “we”, “our”, “us”, or the “Company”) is a provider of a comprehensive range of broadband communication services and cell tower colocation space in the Mid-Atlantic portion of the United States.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organized around our reportable segments. Refer to Note 13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and Note 14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in our unaudited condensed consolidated financial statements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2022 Developments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Beam fixed wireless:</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 the fourth quarter of 2021, due to the availability of grants awarded under various governmental initiatives, and in support of rural fiber to the home ("FTTH") broadband network expansion projects, we decided to cease further expansion of our Beam branded fixed wireless edge-out strategy. During the second quarter of 2022, the Company permanently ceased operating 20 of our 55 Beam fixed wireless sites. On August 23, 2022, the Company entered into a definitive asset purchase agreement (the "Spectrum Purchase Agreement") with a wireless carrier pursuant to which the Company agreed to sell certain Federal Communications Commission ("FCC") spectrum licenses and leases utilized in the Company's Beam branded fixed wireless service for total consideration of approximately $21.1 million, composed of $17.3 million cash and approximately $3.8 million of liabilities to be assumed by the wireless carrier (the "Spectrum Transaction"). The Spectrum Transaction is expected to close in the first half of 2023, subject to the receipt of regulatory approvals and other customary closing conditions. As a result of the Spectrum Transaction, the Company plans to cease its Beam service at the remaining Beam fixed wireless sites upon or prior to the closing of the Spectrum Transaction. The Company is no longer reporting Beam customers as part of its Broadband Revenue Generating Units ("RGUs").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Compared with the Three Months Ended September 30, 2021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from operations are summarized as follows: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6"/>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14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66,924</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61,393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495"/>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w:t>
            </w:r>
          </w:p>
        </w:tc>
      </w:tr>
      <w:tr>
        <w:trPr>
          <w:trHeight w:val="21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w:t>
            </w:r>
          </w:p>
        </w:tc>
      </w:tr>
      <w:tr>
        <w:trPr>
          <w:trHeight w:val="234"/>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495"/>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886,326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(886,326)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892,821</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(895,549)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1"/>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increased approximately $4.7 million, or 7.5%, during the three months ended September 30, 2022 compared with the three months ended September 30, 2021, driven by growth of $4.5 million, or 7.7%, in the Broadband segment and $0.2 million, or 5.1%, in the Tower segment. Refer to the discussion of the results of operations for the Broadband and Tower segments, included within this MD&amp;A, for additional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Operating expenses increased approximately $7.3 million, or 11.9%, for the three months ended September 30, 2022 compared with the three months ended September 30, 2021, driven primarily by $9.1 million of incremental Broadband operating expenses, partially offset by $1.6 million of decreased Corporate operating expenses primarily driven by lower depreciation and lower restructuring charges and $0.2 million of decreased Tower operating expenses primarily driven by lower costs of sales. Refer to the discussion of the results of operations for the Broadband and Tower segments, included within this MD&amp;A, for additional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Other income (expense), net decreased $1.3 million primarily due to higher expense from transition agreements with T-Mobile following the sale of our Wireless business in July 2021, lower income from investments, and higher interest expense.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2022 the Company recognized an income tax benefit of $0.3 million, compared with $5.5 million of income tax benefit for the three months ended September 30, 2021. The $5.3 million decrease in income tax benefit was primarily due to a one-time increase in income tax benefit during the third quarter of 2021 as a result of a non-cash tax benefit for revaluation of deferred tax liabilities driven by the change in our estimated state tax rate that was triggered by the disposition of our Wireless assets and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Compared with the Nine Months Ended September 30, 2021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4"/>
                <w:szCs w:val="14"/>
                <w:color w:val="auto"/>
              </w:rPr>
            </w:pP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14"/>
                <w:szCs w:val="14"/>
                <w:color w:val="auto"/>
              </w:rPr>
            </w:pPr>
          </w:p>
        </w:tc>
        <w:tc>
          <w:tcPr>
            <w:tcW w:w="10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6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1300" w:type="dxa"/>
            <w:vAlign w:val="bottom"/>
            <w:gridSpan w:val="2"/>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3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197,359</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182,635</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4"/>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202,647</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177,164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25,483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5,471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495"/>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3,076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0" w:type="dxa"/>
            <w:vAlign w:val="bottom"/>
          </w:tcPr>
          <w:p>
            <w:pPr>
              <w:spacing w:after="0"/>
              <w:rPr>
                <w:sz w:val="1"/>
                <w:szCs w:val="1"/>
                <w:color w:val="auto"/>
              </w:rPr>
            </w:pPr>
          </w:p>
        </w:tc>
      </w:tr>
      <w:tr>
        <w:trPr>
          <w:trHeight w:val="21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8,547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34"/>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(2,519)</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11,066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495"/>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986,364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(986,364)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997,430</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(1,003,986)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increased approximately $14.7 million, or 8.1%, during the nine months ended September 30, 2022 compared with the nine months ended September 30, 2021, driven by growth of $14.2 million, or 8.4%, in the Broadband segment and $0.5 million, or 3.6%, in the Tower segment. Refer to the discussion of the results of operations for the Broadband and Tower segments, included within this MD&amp;A, for additional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Operating expenses increased approximately $25.5 million, or 14.4%, for the nine months ended September 30, 2022 compared with the nine months ended September 30, 2021, driven primarily by $25.0 million of incremental Broadband operating expenses, $0.3 million of incremental Corporate operating expenses primarily driven by increased stock-based compensation offset by decreased professional fees, and $0.2 million of incremental Tower operating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decreased $5.0 million primarily due to lower income from investments.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2022 the Company recognized an income tax benefit of $0.7 million, compared with $2.5 million of income tax benefit for the nine months ended September 30, 2021. The $1.8 million decrease in income tax benefit was primarily due to a one-time increase in income tax benefit during the third quarter of 2021 as a result of a non-cash tax benefit for revaluation of deferred tax liabilities driven primarily by the change in our estimated state tax rate that was triggered by the disposition of our Wireless assets and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Broadband</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Broadband segment provides broadband internet, video and voice services to residential and commercial customers in portions of Virginia, West Virginia, Maryland, Pennsylvania, and Kentucky via hybrid fiber coaxial cable under the brand name of Shentel, fiber optics under the brand name of Glo Fiber and fixed wireless network under the brand name of Beam. The Broadband segment also leases dark fiber and provides Ethernet and Wavelength fiber optic services to enterprise and wholesale customers throughout the entirety of our service area under the brand names of Glo Fiber Enterprise and Glo Fiber Wholesale. The Broadband segment also provides voice and DSL telephone services to customers in Virginia’s Shenandoah County and portions of adjacent counties as a Rural Local Exchange Carrier (“RLEC”). These integrated networks are connected by our fiber network of over 8,000 route miles.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6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790"/>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indicates selected operating statistics of our Broadband segment:</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7"/>
                <w:szCs w:val="17"/>
                <w:color w:val="auto"/>
              </w:rPr>
            </w:pPr>
          </w:p>
        </w:tc>
        <w:tc>
          <w:tcPr>
            <w:tcW w:w="146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12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Broadband homes and businesses passed (1)</w:t>
            </w: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342,741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271,849</w:t>
            </w:r>
          </w:p>
        </w:tc>
      </w:tr>
      <w:tr>
        <w:trPr>
          <w:trHeight w:val="229"/>
        </w:trPr>
        <w:tc>
          <w:tcPr>
            <w:tcW w:w="7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Incumbent Cable</w:t>
            </w: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211,829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211,013</w:t>
            </w:r>
          </w:p>
        </w:tc>
      </w:tr>
      <w:tr>
        <w:trPr>
          <w:trHeight w:val="234"/>
        </w:trPr>
        <w:tc>
          <w:tcPr>
            <w:tcW w:w="7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Glo Fiber</w:t>
            </w:r>
          </w:p>
        </w:tc>
        <w:tc>
          <w:tcPr>
            <w:tcW w:w="20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130,912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60,836</w:t>
            </w:r>
          </w:p>
        </w:tc>
      </w:tr>
      <w:tr>
        <w:trPr>
          <w:trHeight w:val="33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&amp; Small and Medium Business ("SMB") RGUs:</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Broadband Data</w:t>
            </w: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130,238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114,388</w:t>
            </w:r>
          </w:p>
        </w:tc>
      </w:tr>
      <w:tr>
        <w:trPr>
          <w:trHeight w:val="229"/>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Incumbent Cable</w:t>
            </w: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109,132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105,116</w:t>
            </w:r>
          </w:p>
        </w:tc>
      </w:tr>
      <w:tr>
        <w:trPr>
          <w:trHeight w:val="229"/>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Glo Fiber</w:t>
            </w: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21,106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9,272</w:t>
            </w:r>
          </w:p>
        </w:tc>
      </w:tr>
      <w:tr>
        <w:trPr>
          <w:trHeight w:val="230"/>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48,092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50,652</w:t>
            </w:r>
          </w:p>
        </w:tc>
      </w:tr>
      <w:tr>
        <w:trPr>
          <w:trHeight w:val="234"/>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Voice</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39,801</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34,592</w:t>
            </w:r>
          </w:p>
        </w:tc>
      </w:tr>
      <w:tr>
        <w:trPr>
          <w:trHeight w:val="228"/>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Residential &amp; SMB RGUs (excludes RLEC)</w:t>
            </w: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218,131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199,632</w:t>
            </w:r>
          </w:p>
        </w:tc>
      </w:tr>
      <w:tr>
        <w:trPr>
          <w:trHeight w:val="328"/>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&amp; SMB Penetration (2)</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9"/>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Broadband Data</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42.1 %</w:t>
            </w:r>
          </w:p>
        </w:tc>
      </w:tr>
      <w:tr>
        <w:trPr>
          <w:trHeight w:val="229"/>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Incumbent Cable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49.8 %</w:t>
            </w:r>
          </w:p>
        </w:tc>
      </w:tr>
      <w:tr>
        <w:trPr>
          <w:trHeight w:val="230"/>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Glo Fiber</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29"/>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234"/>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Voice</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33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&amp; SMB ARPU (3)</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9"/>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Broadband Data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80.05</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78.85</w:t>
            </w:r>
          </w:p>
        </w:tc>
      </w:tr>
      <w:tr>
        <w:trPr>
          <w:trHeight w:val="229"/>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Incumbent Cable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81.43</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79.31</w:t>
            </w:r>
          </w:p>
        </w:tc>
      </w:tr>
      <w:tr>
        <w:trPr>
          <w:trHeight w:val="230"/>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Glo Fiber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72.75</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73.69</w:t>
            </w:r>
          </w:p>
        </w:tc>
      </w:tr>
      <w:tr>
        <w:trPr>
          <w:trHeight w:val="229"/>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102.59</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100.75</w:t>
            </w:r>
          </w:p>
        </w:tc>
      </w:tr>
      <w:tr>
        <w:trPr>
          <w:trHeight w:val="234"/>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Voice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25.56</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28.44</w:t>
            </w:r>
          </w:p>
        </w:tc>
      </w:tr>
      <w:tr>
        <w:trPr>
          <w:trHeight w:val="33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 route miles</w:t>
            </w:r>
          </w:p>
        </w:tc>
        <w:tc>
          <w:tcPr>
            <w:tcW w:w="200" w:type="dxa"/>
            <w:vAlign w:val="bottom"/>
          </w:tcPr>
          <w:p>
            <w:pPr>
              <w:spacing w:after="0"/>
              <w:rPr>
                <w:sz w:val="24"/>
                <w:szCs w:val="24"/>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8,072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7,219</w:t>
            </w:r>
          </w:p>
        </w:tc>
      </w:tr>
      <w:tr>
        <w:trPr>
          <w:trHeight w:val="234"/>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fiber miles (4)</w:t>
            </w:r>
          </w:p>
        </w:tc>
        <w:tc>
          <w:tcPr>
            <w:tcW w:w="20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622,095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469,387</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2" w:lineRule="exact"/>
        <w:rPr>
          <w:sz w:val="20"/>
          <w:szCs w:val="20"/>
          <w:color w:val="auto"/>
        </w:rPr>
      </w:pPr>
    </w:p>
    <w:p>
      <w:pPr>
        <w:ind w:left="660" w:hanging="328"/>
        <w:spacing w:after="0" w:line="259" w:lineRule="auto"/>
        <w:tabs>
          <w:tab w:leader="none" w:pos="65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ind w:left="640" w:hanging="308"/>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users by the number of passings or available homes, as appropriate.</w:t>
      </w:r>
    </w:p>
    <w:p>
      <w:pPr>
        <w:spacing w:after="0" w:line="1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Revenue Per RGU calculation = (Residential &amp; SMB Revenue * 1,000) / average RGUs / 3 months</w:t>
      </w:r>
    </w:p>
    <w:p>
      <w:pPr>
        <w:spacing w:after="0" w:line="4" w:lineRule="exact"/>
        <w:rPr>
          <w:rFonts w:ascii="Times New Roman" w:cs="Times New Roman" w:eastAsia="Times New Roman" w:hAnsi="Times New Roman"/>
          <w:sz w:val="14"/>
          <w:szCs w:val="14"/>
          <w:color w:val="auto"/>
        </w:rPr>
      </w:pPr>
    </w:p>
    <w:p>
      <w:pPr>
        <w:ind w:left="660" w:hanging="328"/>
        <w:spacing w:after="0" w:line="278" w:lineRule="auto"/>
        <w:tabs>
          <w:tab w:leader="none" w:pos="65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Compared with the Three Months Ended September 30, 2021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Broadband results from operations are summarized as follows: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6"/>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14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5"/>
        </w:trPr>
        <w:tc>
          <w:tcPr>
            <w:tcW w:w="43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Broadband operating revenue</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29"/>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&amp; SMB</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Fiber</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RLEC &amp; Other</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8"/>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broadband revenue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Broadband operating expenses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30"/>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3"/>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broadband operating expenses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Broadband operating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1"/>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(small &amp; medium business)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Residential &amp; SMB revenue for the three months ended September 30, 2022 increased approximately $3.9 million, or 8.7%, compared with the three months ended September 30, 2021, primarily driven by 127.6% and 3.8% year-over-year growth in Glo Fiber and incumbent cable broadband data RGUs, respectively, driven by increased customer demand for higher speed data service.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Fiber revenue</w:t>
      </w:r>
    </w:p>
    <w:p>
      <w:pPr>
        <w:spacing w:after="0" w:line="3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Commercial Fiber revenue for the three months ended September 30, 2022 increased approximately $0.5 million, or 5.1%, compared with the three months ended September 30, 2021, primarily driven by increased connections.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services for the three months ended September 30, 2022 increased approximately $1.9 million, or 7.6%, compared with the three months ended September 30, 2021, driven by higher compensation and maintenance expenses. Compensation increased due to salary and wage increases, higher medical benefit costs and higher headcount to support the expansion of our Glo Fiber network. Maintenance increased due to higher cable replacement, fuel and field engineering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Selling, general and administrative expense increased $2.0 million, or 17.2%, compared with the three months ended September 30, 2021, due primarily to higher compensation expense, advertising, bad debt and property taxes. Compensation increased due to higher salary and wages, medical expenses and headcount to support Glo Fiber expansion.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expense was consistent with the prior year period.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expense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third quarter of 2022, the Company incurred impairment charges of $0.5 million primarily as a result of the discontinued use of Beam assets.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Depreciation and amortization for the three months ended September 30, 2022 increased $4.6 million, or 37.5%, compared with the three months ended September 30, 2021, primarily as a result of our network expansion of our Glo Fiber network and due to the acceleration of depreciation associated with assets at Beam sites to be decommissioned prior to or upon the closing of the Spectrum Transaction.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Compared with the Nine Months Ended September 30, 2021</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5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Broadband results from operations are summarized as follows:</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1"/>
        </w:trPr>
        <w:tc>
          <w:tcPr>
            <w:tcW w:w="4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6"/>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4"/>
                <w:szCs w:val="24"/>
                <w:color w:val="auto"/>
              </w:rPr>
            </w:pPr>
          </w:p>
        </w:tc>
        <w:tc>
          <w:tcPr>
            <w:tcW w:w="14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tcBorders>
          </w:tcPr>
          <w:p>
            <w:pPr>
              <w:spacing w:after="0"/>
              <w:rPr>
                <w:sz w:val="24"/>
                <w:szCs w:val="24"/>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5"/>
        </w:trPr>
        <w:tc>
          <w:tcPr>
            <w:tcW w:w="43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Broadband operating revenue</w:t>
            </w: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&amp; SMB</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143,512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Fiber</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RLEC &amp; Other</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8"/>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broadband revenue</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183,512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169,294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operating expenses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expense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expense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4,833.3</w:t>
            </w:r>
          </w:p>
        </w:tc>
      </w:tr>
      <w:tr>
        <w:trPr>
          <w:trHeight w:val="234"/>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35,648</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3"/>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broadband operating expenses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166,414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141,429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operating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1"/>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(small &amp; medium business)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Residential &amp; SMB revenue for the nine months ended September 30, 2022 increased approximately $11.8 million, or 9.0%, compared with the nine months ended September 30, 2021, primarily driven by 127.6% and 3.8% year-over-year growth in Glo Fiber and incumbent cable broadband data RGUs, respectively, driven by increased customer demand for higher speed data service.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Fiber revenue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Commercial Fiber revenue for the nine months ended September 30, 2022 increased approximately $1.9 million, or 7.2%, compared with the nine months ended September 30, 2021, primarily driven by increased connections.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services for the nine months ended September 30, 2022, increased approximately $6.8 million, or 9.6%, compared with the nine months ended September 30, 2021, driven by higher maintenance and compensation expenses. Maintenance increased due to higher cable replacement, fuel and field engineering costs. Compensation increased due to higher salary and wage increases, medical benefit costs and headcount to support the expansion of our Glo Fiber network, .</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Selling, general and administrative expense for the nine months ended September 30, 2022, increased $5.9 million, or 16.8%, compared with the nine months ended September 30, 2021, driven primarily by a $2.7 million increase in compensation, a $1.5 million increase in advertising to support Glo Fiber expansion, $1.2 million increase in software fees and professional fees driven by upgrades to our operations support, customer relationship management and enterprise resource planning systems, a $0.5 million increase in bad debt expense. Compensation increased due to higher salary and wage increases, medical benefit costs and headcount to support the expansion of our Glo Fiber network,</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expense increased $0.4 million due to the partial ceasing of Beam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expense</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Impairment expense is primarily driven by impairment charges of $4.1 million related to Beam fixed wireless sites at which the Company permanently ceased operations in the second quarter of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Depreciation and amortization increased $7.1 million, or 19.8%, compared with the nine months ended September 30, 2021, primarily as a result of our network expansion of our Glo Fiber network and the accelerating depreciation of the Beam network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Tower</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Tower segment owns cell towers and leases colocation space on the towers to wireless communications providers. Substantially all of our owned towers are built on ground that we lease from the respective landlords.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selected operating statistics of the Tower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20" w:type="dxa"/>
            <w:vAlign w:val="bottom"/>
            <w:tcBorders>
              <w:bottom w:val="single" w:sz="8" w:color="auto"/>
            </w:tcBorders>
          </w:tcPr>
          <w:p>
            <w:pPr>
              <w:spacing w:after="0"/>
              <w:rPr>
                <w:sz w:val="20"/>
                <w:szCs w:val="20"/>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Macro tower sites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457</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tenants per tower</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783"/>
        </w:trPr>
        <w:tc>
          <w:tcPr>
            <w:tcW w:w="95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Compared with the Three Months Ended September 30, 2021</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5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Tower results from operations are summarized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6"/>
        </w:trPr>
        <w:tc>
          <w:tcPr>
            <w:tcW w:w="4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980" w:type="dxa"/>
            <w:vAlign w:val="bottom"/>
            <w:gridSpan w:val="9"/>
          </w:tcPr>
          <w:p>
            <w:pPr>
              <w:ind w:left="7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2"/>
                <w:szCs w:val="22"/>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420" w:type="dxa"/>
            <w:vAlign w:val="bottom"/>
            <w:tcBorders>
              <w:top w:val="single" w:sz="8" w:color="auto"/>
            </w:tcBorders>
            <w:gridSpan w:val="2"/>
          </w:tcPr>
          <w:p>
            <w:pPr>
              <w:spacing w:after="0"/>
              <w:rPr>
                <w:sz w:val="19"/>
                <w:szCs w:val="19"/>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Tower revenue</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Tower operating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Tower operating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Revenue increased approximately $0.2 million, or 5.1%, for the three months ended September 30, 2022 compared with the three months ended September 30, 2021, primarily due to an increase in revenue per tenant as a result of one-time application fees.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for the three months ended September 30, 2022 decreased $0.2 million, or 8.7%, compared with the prior year period. The decrease was primarily driven by lower costs of service as a result of lower tower maintenance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Compared with the Nine Months Ended September 30, 2021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Tower results from operations are summarized as follows: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51"/>
        </w:trPr>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6"/>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24"/>
                <w:szCs w:val="24"/>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Tower revenue</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Tower operating expenses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Tower operating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Revenue increased approximately $0.5 million, or 3.6%, for the nine months ended September 30, 2022 compared with the nine months ended September 30, 2021, primarily due to an increase in revenue per tenant.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Operating expenses for the nine months ended September 30, 2022 increased $0.2 million, or 3.8%, compared with the prior year period. The increase was primarily due to depreciation expense.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Condition, Liquidity and Capital Resources</w:t>
      </w: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Sources and Uses of Cash: </w:t>
      </w:r>
      <w:r>
        <w:rPr>
          <w:rFonts w:ascii="Times New Roman" w:cs="Times New Roman" w:eastAsia="Times New Roman" w:hAnsi="Times New Roman"/>
          <w:sz w:val="18"/>
          <w:szCs w:val="18"/>
          <w:color w:val="auto"/>
        </w:rPr>
        <w:t>Our principal sources of liquidity are our cash and cash equivalents, cash generated from operations, and borrowings under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dated July 1, 2021 (the "Credit Agreement").</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our cash and cash equivalents totaled $33.0 million and the availability under our delayed draw term loans and revolving line of credit was $375.0 million, for total available liquidity of $408.0 million.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activities from continuing operations generated approximately $56.2 million during the nine months ended September 30, 2022, representing an increase of $24.6 million compared with the prior year period, driven primarily by changes in working capital.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activities from discontinued operations were not material during the nine months ended September 30, 2022 due to the sale of the Wireless business in 2021.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continuing operations increased $12.0 million during the nine months ended September 30, 2022, compared with the nine months ended September 30, 2021, primarily due to a $13.6 million increase in capital expenditures due primarily to higher spending in the Broadband segment to enable our Glo Fiber market expansion.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continuing operations was $23.1 million during the nine months ended September 30, 2022, compared with net cash used in financing activities for continuing operations of $940.4 million for the nine months ended September 30, 2021, The change was primarily due to a $936.9 million dividend paid in the third quarter of 2021 in connection with the sale of the Wireless business compared to no dividends paid in the nine months ended September 30, 2022, partially offset by $25 million borrowed under the Company's team loans in the third quarter of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receive income tax refunds of approximately $29.5 million related to our 2021 income tax returns.</w:t>
      </w:r>
    </w:p>
    <w:p>
      <w:pPr>
        <w:spacing w:after="0" w:line="2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On July 1, 2022, we borrowed $12.5 million under each of the delayed draw term loan facilities available under the Credit Agreement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total of $25.0 million. We expect to borrow the remaining $275.0 million available under these term loans by June 2023 to fund planned capital expenditures aimed at our network and subscriber growth and expansion initiatives. As of September 30, 2022, the Company’s indebtedness totaled approximately $25.0 million, net of unamortized loan fees of $26.0 thousand, with an annualized overall weighted average interest rate of approximately 3.89%.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about the Company's Credit Facility.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the Company was in compliance with the financial covenants in our Credit Agreement.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cash on hand, cash flow from continuing operations, and availability of funds from our Credit Agreement will be sufficient to meet our anticipated liquidity needs for business operations for the next twelve months. There can be no assurance that we will continue to generate cash flows at or above current levels.</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our capital expenditures to exceed the cash flow provided from continuing operations through 2025, as we expand our Glo Fiber broadband network to potentially reach over 450,000 passings.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actual amount and timing of our future capital requirements may differ materially from our estimates depending on the demand for our products and services, new market developments and expansion opportunities.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flows from continuing operations could be adversely affected by events outside our control, including, without limitation, changes in overall economic conditions including rising inflation, regulatory requirements, changes in technologies, changes in competition,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particularly in our Broadband markets, is critical to our ability to maintain a positive cash flow from operations. The foregoing events individually or collectively could affect our results.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previously disclosed in Part II, Item 8 of our 2021 Form 10-K for the year ended December 31, 2021.</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1, 2022, we borrowed a total of $25.0 million pursuant to the variable rate delayed draw term loans available under the Credit Agreement, and expect to continue to borrow upon our Credit Agreement as needed to fund the Company's future capital expenditures. We expect to draw an additional $275 million against the Credit Agreement by June 2023. Fluctuations in interest rates on future borrowings could result in increased market risk.</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$25 million of gross variable rate debt outstanding, bearing interest at a weighted average rate of 3.89%. An increase in market interest rates of 1.00% would add approximately $0.3 million to annual interest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disclosed in our 2021 Form 10-K, we identified material weaknesses in internal control over financial reporting, and identified our remediation plan. The material weaknesses will not be considered remediated until management’s remediation plan has been fully enacted and any updated and enhanced operational processes and internal control activities operate effectively for a sufficient period of time, and management has concluded, through testing and evaluation, that these enhanced internal controls are operating effectively.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President and Chief Executive Officer, who is the Principal Executive Officer, the Senior Vice President - Finance and Chief Financial Officer, who is the Principal Financial Officer, and the Vice President and Chief Accounting Officer, who is the Principal Accounting Officer, conducted an evaluation of the effectiveness of the design and operation of our disclosure controls and procedures (as defined by Rule 13a-15(e) under the Exchange Act), as of the end of the period covered by this Quarterly Report on Form 10-Q. As our remediation plan has not yet been fully completed, our President and Chief Executive Officer, our Senior Vice President - Finance and Chief Financial Officer and our Vice President and Chief Accounting Officer have concluded that our disclosure controls and procedures continued to be ineffective as of September 30, 2022.</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disclosure controls include the use of a Disclosure Committee which is comprised of representatives from our Accounting, Human Resources, Legal, Operations, Technology, and Government Affairs/Regulatory functions and are designed to ensure that information required to be disclosed in the reports we file or submit under the Exchange Act is accumulated and communicated to our management, including our Principal Executive Officer, Principal Financial Officer, and Principal Accounting Officer, as appropriate, to allow timely decisions regarding required disclosure. Notwithstanding the material weaknesses, management has concluded that the unaudited condensed consolidated financial statements included in this Quarterly Report on Form 10-Q were prepared and presented in accordance with U.S. generally accepted accounting principles (U.S. GAAP) and fairly state, in all material respects, our financial position, results of operations and cash flows for the periods presented.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2022, the Company continued implementation of management's remediation plan. Our 2022 accomplishments are summarized below.</w:t>
      </w:r>
    </w:p>
    <w:p>
      <w:pPr>
        <w:spacing w:after="0" w:line="189" w:lineRule="exact"/>
        <w:rPr>
          <w:sz w:val="20"/>
          <w:szCs w:val="20"/>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formed a Company wide, cross functional task force of employees, charged with implementing the remediation plan with regular reports on progress provided to the Principal Executive Officer and Principal Financial Officer.</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an implementation of a new enterprise resource planning ("ERP") system and a lease accounting system. In the process of deploying these new systems, we designed and implemented new, or otherwise enhanced existing, internal control activities to complement operational and administrative process changes required to support the functionality of our new ERP and lease accounting systems.</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process of reevaluating of our accounting policies including those established in conjunction with management’s remediation plan as reported in Item 9A of our 2021 Form 10-K. As a result of this ongoing effort, we have not yet identified any new significant financial reporting risks that required implementation or enhancement of new or existing policies or key internal control activities.</w:t>
      </w:r>
    </w:p>
    <w:p>
      <w:pPr>
        <w:spacing w:after="0" w:line="203"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incentives and professional development opportunities have been thoughtfully designed to drive employee engagement, retention, and focus on our remediation plan. Employee turnover to-date has not had a significant impact on our remediation efforts.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committed to complete its remediation efforts during 2022. We cannot provide assurance on when we will remediate the identified material weaknesses, nor can we be certain whether additional actions will be required to be added to our remediation plan. Moreover, we cannot provide assurance that additional material weaknesses will not arise in the future.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involved in, and may in the future become involved in, legal proceedings, claims and investigations in the ordinary course of our business.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or results of operations. Regardless of final outcomes, however, any such proceedings, claims, and investigations may nonetheless impose a significant burden on management and employees and be costly to defend, with unfavorable preliminary or interim rulings.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discuss in our Annual Report on Form 10-K various risks that may materially affect our business. We use this section to update this discussion to reflect material developments since our Form 10-K was filed. As of September 30, 2022, the Company has not identified any needed updates to the risk factors included in our most recent Form 10-K.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or Affiliated Purchasers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the vesting of stock awards or exercise of stock options, the grantees may surrender awards necessary to cover the statutory tax withholding requirements and any amounts required to cover stock option strike prices associated with the transaction. The following table provides information about shares surrendered during the quarter ended September 30, 2022, to settle employee tax withholding obligations related to the vesting of stock awards.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 to July 31</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 to August 31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1 to September 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r>
      <w:tr>
        <w:trPr>
          <w:trHeight w:val="241"/>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Surrendered</w:t>
            </w:r>
          </w:p>
        </w:tc>
        <w:tc>
          <w:tcPr>
            <w:tcW w:w="12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r>
      <w:tr>
        <w:trPr>
          <w:trHeight w:val="220"/>
        </w:trPr>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30"/>
        </w:trPr>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34"/>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$18.61</w:t>
            </w:r>
          </w:p>
        </w:tc>
      </w:tr>
      <w:tr>
        <w:trPr>
          <w:trHeight w:val="223"/>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40" w:space="720"/>
            <w:col w:w="408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 Index</w:t>
      </w:r>
    </w:p>
    <w:p>
      <w:pPr>
        <w:spacing w:after="0" w:line="387" w:lineRule="exact"/>
        <w:rPr>
          <w:sz w:val="20"/>
          <w:szCs w:val="20"/>
          <w:color w:val="auto"/>
        </w:rPr>
      </w:pPr>
    </w:p>
    <w:p>
      <w:pPr>
        <w:ind w:left="160"/>
        <w:spacing w:after="0"/>
        <w:tabs>
          <w:tab w:leader="none" w:pos="120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Exhibit Description</w:t>
      </w:r>
    </w:p>
    <w:p>
      <w:pPr>
        <w:spacing w:after="0" w:line="285" w:lineRule="exact"/>
        <w:rPr>
          <w:sz w:val="20"/>
          <w:szCs w:val="20"/>
          <w:color w:val="auto"/>
        </w:rPr>
      </w:pPr>
    </w:p>
    <w:p>
      <w:pPr>
        <w:ind w:left="440"/>
        <w:spacing w:after="0"/>
        <w:tabs>
          <w:tab w:leader="none" w:pos="1200" w:val="left"/>
        </w:tabs>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Form of Performance Share Unit Award, filed as Exhibit 10.1 to the Company's Current Report on Form 8-K filed on September 23,</w:t>
      </w:r>
    </w:p>
    <w:p>
      <w:pPr>
        <w:ind w:left="1220"/>
        <w:spacing w:after="0"/>
        <w:rPr>
          <w:sz w:val="20"/>
          <w:szCs w:val="20"/>
          <w:color w:val="auto"/>
        </w:rPr>
      </w:pPr>
      <w:r>
        <w:rPr>
          <w:rFonts w:ascii="Times New Roman" w:cs="Times New Roman" w:eastAsia="Times New Roman" w:hAnsi="Times New Roman"/>
          <w:sz w:val="18"/>
          <w:szCs w:val="18"/>
          <w:color w:val="auto"/>
        </w:rPr>
        <w:t>2022.</w:t>
      </w:r>
    </w:p>
    <w:p>
      <w:pPr>
        <w:spacing w:after="0" w:line="286"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Executive Officer pursuant to Rule 13a-14(a) under the Securities Exchange Act of 1934.</w:t>
      </w:r>
    </w:p>
    <w:p>
      <w:pPr>
        <w:spacing w:after="0" w:line="252"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Financial Officer pursuant to Rule 13a-14(a) under the Securities Exchange Act of 1934.</w:t>
      </w:r>
    </w:p>
    <w:p>
      <w:pPr>
        <w:spacing w:after="0" w:line="293"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31.3</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Accounting Officer pursuant to Rule 13a-14(a) under the Securities Exchange Act of 1934.</w:t>
      </w:r>
    </w:p>
    <w:p>
      <w:pPr>
        <w:spacing w:after="0" w:line="293"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Certifications pursuant to Rule 13a-14(b) under the Securities Exchange Act of 1934 and 18 U.S.C. § 1350.</w:t>
      </w:r>
    </w:p>
    <w:p>
      <w:pPr>
        <w:spacing w:after="0" w:line="252" w:lineRule="exact"/>
        <w:rPr>
          <w:sz w:val="20"/>
          <w:szCs w:val="20"/>
          <w:color w:val="auto"/>
        </w:rPr>
      </w:pPr>
    </w:p>
    <w:p>
      <w:pPr>
        <w:ind w:left="1220" w:hanging="813"/>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Formatted in Inline XBRL (Extensible Business Reporting Language)</w:t>
      </w:r>
    </w:p>
    <w:p>
      <w:pPr>
        <w:spacing w:after="0" w:line="225"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w:t>
            </w:r>
          </w:p>
        </w:tc>
      </w:tr>
      <w:tr>
        <w:trPr>
          <w:trHeight w:val="234"/>
        </w:trPr>
        <w:tc>
          <w:tcPr>
            <w:tcW w:w="1000" w:type="dxa"/>
            <w:vAlign w:val="bottom"/>
          </w:tcPr>
          <w:p>
            <w:pPr>
              <w:spacing w:after="0"/>
              <w:rPr>
                <w:sz w:val="20"/>
                <w:szCs w:val="20"/>
                <w:color w:val="auto"/>
              </w:rPr>
            </w:pP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46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65" w:lineRule="exact"/>
        <w:rPr>
          <w:sz w:val="20"/>
          <w:szCs w:val="20"/>
          <w:color w:val="auto"/>
        </w:rPr>
      </w:pPr>
    </w:p>
    <w:p>
      <w:pPr>
        <w:ind w:right="4240" w:firstLine="467"/>
        <w:spacing w:after="0" w:line="641" w:lineRule="auto"/>
        <w:tabs>
          <w:tab w:leader="none" w:pos="12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1" w:lineRule="exact"/>
        <w:rPr>
          <w:rFonts w:ascii="Times New Roman" w:cs="Times New Roman" w:eastAsia="Times New Roman" w:hAnsi="Times New Roman"/>
          <w:sz w:val="18"/>
          <w:szCs w:val="18"/>
          <w:color w:val="auto"/>
        </w:rPr>
      </w:pPr>
    </w:p>
    <w:p>
      <w:pPr>
        <w:ind w:left="660" w:hanging="652"/>
        <w:spacing w:after="0" w:line="266" w:lineRule="auto"/>
        <w:tabs>
          <w:tab w:leader="none" w:pos="4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-904875</wp:posOffset>
            </wp:positionV>
            <wp:extent cx="54864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4864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3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/s/ James J. Volk</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James J. Volk</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1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Date: November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320" w:top="119" w:right="3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 CHRISTOPHER E. FRENCH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November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391795</wp:posOffset>
            </wp:positionV>
            <wp:extent cx="7115175"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James J. Volk, certify that:</w:t>
      </w:r>
    </w:p>
    <w:p>
      <w:pPr>
        <w:spacing w:after="0" w:line="117"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571"/>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November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15175"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Dennis Romps, certify that:</w:t>
      </w:r>
    </w:p>
    <w:p>
      <w:pPr>
        <w:spacing w:after="0" w:line="117"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/s/DENNIS ROMPS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Dennis Romps, Vice President - Chief Accounting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November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1517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15175"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Each of the undersigned, the President and Chief Executive Officer and the Senior Vice President - Chief Financial Officer, of Shenandoah Telecommunications Company (the “Company”), hereby certifies that, on the date hereof:</w:t>
      </w:r>
    </w:p>
    <w:p>
      <w:pPr>
        <w:spacing w:after="0" w:line="189" w:lineRule="exact"/>
        <w:rPr>
          <w:sz w:val="20"/>
          <w:szCs w:val="20"/>
          <w:color w:val="auto"/>
        </w:rPr>
      </w:pPr>
    </w:p>
    <w:p>
      <w:pPr>
        <w:ind w:right="80" w:firstLine="656"/>
        <w:spacing w:after="0" w:line="266" w:lineRule="auto"/>
        <w:tabs>
          <w:tab w:leader="none" w:pos="12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three and nine months ended September 30, 2022 filed on the date hereof with the Securities and Exchange Commission (the “Report”) fully complies with the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/S/CHRISTOPHER E. FRENCH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E. French</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November 2, 2022</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J. Volk</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November 2, 2022</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15175"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01"/>
    </w:lvl>
  </w:abstractNum>
  <w:abstractNum w:abstractNumId="5">
    <w:nsid w:val="515F007C"/>
    <w:multiLevelType w:val="hybridMultilevel"/>
    <w:lvl w:ilvl="0">
      <w:lvlJc w:val="left"/>
      <w:lvlText w:val="*"/>
      <w:numFmt w:val="bullet"/>
      <w:start w:val="1"/>
    </w:lvl>
    <w:lvl w:ilvl="1">
      <w:lvlJc w:val="left"/>
      <w:lvlText w:val="%2"/>
      <w:numFmt w:val="decimal"/>
      <w:start w:val="104"/>
    </w:lvl>
  </w:abstractNum>
  <w:abstractNum w:abstractNumId="6">
    <w:nsid w:val="5BD062C2"/>
    <w:multiLevelType w:val="hybridMultilevel"/>
    <w:lvl w:ilvl="0">
      <w:lvlJc w:val="left"/>
      <w:lvlText w:val="**"/>
      <w:numFmt w:val="bullet"/>
      <w:start w:val="1"/>
    </w:lvl>
    <w:lvl w:ilvl="1">
      <w:lvlJc w:val="left"/>
      <w:lvlText w:val="%2"/>
      <w:numFmt w:val="decimal"/>
      <w:start w:val="1"/>
    </w:lvl>
  </w:abstractNum>
  <w:abstractNum w:abstractNumId="7">
    <w:nsid w:val="12200854"/>
    <w:multiLevelType w:val="hybridMultilevel"/>
    <w:lvl w:ilvl="0">
      <w:lvlJc w:val="left"/>
      <w:lvlText w:val="%1."/>
      <w:numFmt w:val="decimal"/>
      <w:start w:val="1"/>
    </w:lvl>
    <w:lvl w:ilvl="1">
      <w:lvlJc w:val="left"/>
      <w:lvlText w:val="(%2)"/>
      <w:numFmt w:val="decimal"/>
      <w:start w:val="1"/>
    </w:lvl>
  </w:abstractNum>
  <w:abstractNum w:abstractNumId="8">
    <w:nsid w:val="4DB127F8"/>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9">
    <w:nsid w:val="216231B"/>
    <w:multiLevelType w:val="hybridMultilevel"/>
    <w:lvl w:ilvl="0">
      <w:lvlJc w:val="left"/>
      <w:lvlText w:val="%1."/>
      <w:numFmt w:val="decimal"/>
      <w:start w:val="1"/>
    </w:lvl>
    <w:lvl w:ilvl="1">
      <w:lvlJc w:val="left"/>
      <w:lvlText w:val="(%2)"/>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44" Type="http://schemas.openxmlformats.org/officeDocument/2006/relationships/hyperlink" Target="https://www.sec.gov/Archives/edgar/data/354963/000117184322006204/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2022-11-02T07:12:41Z</dcterms:created>
  <dcterms:modified xsi:type="dcterms:W3CDTF">2022-11-02T07:12:41Z</dcterms:modified>
</cp:coreProperties>
</file>