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600" w:right="2140" w:hanging="565"/>
        <w:spacing w:after="0" w:line="496" w:lineRule="auto"/>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2017</w:t>
      </w:r>
    </w:p>
    <w:p>
      <w:pPr>
        <w:spacing w:after="0" w:line="171"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28" w:right="239" w:bottom="1440" w:gutter="0" w:footer="0" w:header="0"/>
        </w:sectPr>
      </w:pPr>
    </w:p>
    <w:p>
      <w:pPr>
        <w:spacing w:after="0" w:line="367"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VIRGINIA</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54-1162807</w:t>
      </w:r>
    </w:p>
    <w:p>
      <w:pPr>
        <w:spacing w:after="0" w:line="89" w:lineRule="exact"/>
        <w:rPr>
          <w:sz w:val="24"/>
          <w:szCs w:val="24"/>
          <w:color w:val="auto"/>
        </w:rPr>
      </w:pPr>
    </w:p>
    <w:p>
      <w:pPr>
        <w:sectPr>
          <w:pgSz w:w="11900" w:h="16838" w:orient="portrait"/>
          <w:cols w:equalWidth="0" w:num="2">
            <w:col w:w="7540" w:space="720"/>
            <w:col w:w="3160"/>
          </w:cols>
          <w:pgMar w:left="240" w:top="528" w:right="239" w:bottom="1440" w:gutter="0" w:footer="0" w:header="0"/>
          <w:type w:val="continuous"/>
        </w:sect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528"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28"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28"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28" w:right="239" w:bottom="1440" w:gutter="0" w:footer="0" w:header="0"/>
          <w:type w:val="continuous"/>
        </w:sectPr>
      </w:pPr>
    </w:p>
    <w:p>
      <w:pPr>
        <w:spacing w:after="0" w:line="9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3">
            <w:col w:w="2840" w:space="720"/>
            <w:col w:w="2160" w:space="720"/>
            <w:col w:w="4980"/>
          </w:cols>
          <w:pgMar w:left="240" w:top="52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Smaller reporting company</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Emerging growth company</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840" w:space="720"/>
            <w:col w:w="7860"/>
          </w:cols>
          <w:pgMar w:left="240" w:top="528" w:right="239" w:bottom="1440" w:gutter="0" w:footer="0" w:header="0"/>
          <w:type w:val="continuous"/>
        </w:sectPr>
      </w:pPr>
    </w:p>
    <w:p>
      <w:pPr>
        <w:spacing w:after="0" w:line="9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52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on April 26, 2017 was 49,109,626.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192405</wp:posOffset>
            </wp:positionV>
            <wp:extent cx="200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10"/>
          </w:tcPr>
          <w:p>
            <w:pPr>
              <w:jc w:val="center"/>
              <w:ind w:right="340"/>
              <w:spacing w:after="0"/>
              <w:rPr>
                <w:sz w:val="20"/>
                <w:szCs w:val="20"/>
                <w:color w:val="auto"/>
              </w:rPr>
            </w:pPr>
            <w:r>
              <w:rPr>
                <w:rFonts w:ascii="Arial" w:cs="Arial" w:eastAsia="Arial" w:hAnsi="Arial"/>
                <w:sz w:val="18"/>
                <w:szCs w:val="18"/>
                <w:color w:val="auto"/>
                <w:w w:val="85"/>
              </w:rPr>
              <w:t>Page</w:t>
            </w:r>
          </w:p>
        </w:tc>
      </w:tr>
      <w:tr>
        <w:trPr>
          <w:trHeight w:val="230"/>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12"/>
          </w:tcPr>
          <w:p>
            <w:pPr>
              <w:jc w:val="center"/>
              <w:ind w:right="120"/>
              <w:spacing w:after="0"/>
              <w:rPr>
                <w:sz w:val="20"/>
                <w:szCs w:val="20"/>
                <w:color w:val="auto"/>
              </w:rPr>
            </w:pPr>
            <w:r>
              <w:rPr>
                <w:rFonts w:ascii="Arial" w:cs="Arial" w:eastAsia="Arial" w:hAnsi="Arial"/>
                <w:sz w:val="18"/>
                <w:szCs w:val="18"/>
                <w:color w:val="auto"/>
                <w:w w:val="90"/>
              </w:rPr>
              <w:t>Numbers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PART I.</w:t>
            </w:r>
          </w:p>
        </w:tc>
        <w:tc>
          <w:tcPr>
            <w:tcW w:w="956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0"/>
        </w:trPr>
        <w:tc>
          <w:tcPr>
            <w:tcW w:w="840" w:type="dxa"/>
            <w:vAlign w:val="bottom"/>
          </w:tcPr>
          <w:p>
            <w:pPr>
              <w:ind w:left="40"/>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840" w:type="dxa"/>
            <w:vAlign w:val="bottom"/>
            <w:shd w:val="clear" w:color="auto" w:fill="CCEEFF"/>
          </w:tcPr>
          <w:p>
            <w:pPr>
              <w:spacing w:after="0"/>
              <w:rPr>
                <w:sz w:val="21"/>
                <w:szCs w:val="21"/>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Balance Sheets March 31, 2017 and December 31, 2016</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Unaudited Condensed Consolidated Statements of Income and Comprehensive Income for the Three Months Ended March 31,</w:t>
              </w:r>
            </w:hyperlink>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4"/>
        </w:trPr>
        <w:tc>
          <w:tcPr>
            <w:tcW w:w="840" w:type="dxa"/>
            <w:vAlign w:val="bottom"/>
            <w:tcBorders>
              <w:top w:val="single" w:sz="8" w:color="CCEEFF"/>
            </w:tcBorders>
            <w:shd w:val="clear" w:color="auto" w:fill="CCEEFF"/>
          </w:tcPr>
          <w:p>
            <w:pPr>
              <w:spacing w:after="0"/>
              <w:rPr>
                <w:sz w:val="21"/>
                <w:szCs w:val="21"/>
                <w:color w:val="auto"/>
              </w:rPr>
            </w:pPr>
          </w:p>
        </w:tc>
        <w:tc>
          <w:tcPr>
            <w:tcW w:w="91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 and 2016</w:t>
              </w:r>
            </w:hyperlink>
          </w:p>
        </w:tc>
        <w:tc>
          <w:tcPr>
            <w:tcW w:w="420" w:type="dxa"/>
            <w:vAlign w:val="bottom"/>
            <w:tcBorders>
              <w:top w:val="single" w:sz="8" w:color="CCEEFF"/>
            </w:tcBorders>
            <w:gridSpan w:val="2"/>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Shareholders’ Equity for the Three Months Ended March 31, 2017 and the Year</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44"/>
        </w:trPr>
        <w:tc>
          <w:tcPr>
            <w:tcW w:w="840" w:type="dxa"/>
            <w:vAlign w:val="bottom"/>
            <w:shd w:val="clear" w:color="auto" w:fill="CCEEFF"/>
          </w:tcPr>
          <w:p>
            <w:pPr>
              <w:spacing w:after="0"/>
              <w:rPr>
                <w:sz w:val="21"/>
                <w:szCs w:val="21"/>
                <w:color w:val="auto"/>
              </w:rPr>
            </w:pPr>
          </w:p>
        </w:tc>
        <w:tc>
          <w:tcPr>
            <w:tcW w:w="9560" w:type="dxa"/>
            <w:vAlign w:val="bottom"/>
            <w:gridSpan w:val="16"/>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Ended December 31, 2016</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center"/>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Three Months Ended March 31, 2017 and 2016</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820" w:type="dxa"/>
            <w:vAlign w:val="bottom"/>
            <w:tcBorders>
              <w:top w:val="single" w:sz="8" w:color="0000EE"/>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4"/>
            <w:shd w:val="clear" w:color="auto" w:fill="CCEEFF"/>
          </w:tcPr>
          <w:p>
            <w:pPr>
              <w:ind w:lef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4"/>
            <w:shd w:val="clear" w:color="auto" w:fill="CCEEFF"/>
          </w:tcPr>
          <w:p>
            <w:pPr>
              <w:ind w:left="2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95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4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4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shd w:val="clear" w:color="auto" w:fill="CCEEFF"/>
          </w:tcPr>
          <w:p>
            <w:pPr>
              <w:spacing w:after="0"/>
              <w:rPr>
                <w:sz w:val="17"/>
                <w:szCs w:val="17"/>
                <w:color w:val="auto"/>
              </w:rPr>
            </w:pPr>
          </w:p>
        </w:tc>
        <w:tc>
          <w:tcPr>
            <w:tcW w:w="9560" w:type="dxa"/>
            <w:vAlign w:val="bottom"/>
            <w:gridSpan w:val="16"/>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Exhibit Index</w:t>
              </w:r>
            </w:hyperlink>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Index</w:t>
              </w:r>
            </w:hyperlink>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9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8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40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36,193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68,709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69,789</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39,043</w:t>
            </w:r>
          </w:p>
        </w:tc>
      </w:tr>
      <w:tr>
        <w:trPr>
          <w:trHeight w:val="284"/>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16,989</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16,440</w:t>
            </w:r>
          </w:p>
        </w:tc>
      </w:tr>
      <w:tr>
        <w:trPr>
          <w:trHeight w:val="271"/>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150,480</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161,465</w:t>
            </w:r>
          </w:p>
        </w:tc>
      </w:tr>
      <w:tr>
        <w:trPr>
          <w:trHeight w:val="297"/>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including $3,058 and $2,907 carried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10,607</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10,276</w:t>
            </w:r>
          </w:p>
        </w:tc>
      </w:tr>
      <w:tr>
        <w:trPr>
          <w:trHeight w:val="297"/>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689,948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698,122</w:t>
            </w:r>
          </w:p>
        </w:tc>
      </w:tr>
      <w:tr>
        <w:trPr>
          <w:trHeight w:val="324"/>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443,308</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454,532</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144,001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145,256</w:t>
            </w:r>
          </w:p>
        </w:tc>
      </w:tr>
      <w:tr>
        <w:trPr>
          <w:trHeight w:val="284"/>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14,645</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14,756</w:t>
            </w:r>
          </w:p>
        </w:tc>
      </w:tr>
      <w:tr>
        <w:trPr>
          <w:trHeight w:val="257"/>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1,452,989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1,484,407</w:t>
            </w: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512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BALANCE SHEETS </w:t>
      </w:r>
      <w:r>
        <w:rPr>
          <w:rFonts w:ascii="Arial" w:cs="Arial" w:eastAsia="Arial" w:hAnsi="Arial"/>
          <w:sz w:val="18"/>
          <w:szCs w:val="18"/>
          <w:b w:val="1"/>
          <w:bCs w:val="1"/>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480" w:type="dxa"/>
            <w:vAlign w:val="bottom"/>
          </w:tcPr>
          <w:p>
            <w:pPr>
              <w:jc w:val="center"/>
              <w:ind w:left="1930"/>
              <w:spacing w:after="0"/>
              <w:rPr>
                <w:sz w:val="20"/>
                <w:szCs w:val="20"/>
                <w:color w:val="auto"/>
              </w:rPr>
            </w:pPr>
            <w:r>
              <w:rPr>
                <w:rFonts w:ascii="Arial" w:cs="Arial" w:eastAsia="Arial" w:hAnsi="Arial"/>
                <w:sz w:val="18"/>
                <w:szCs w:val="18"/>
                <w:color w:val="auto"/>
                <w:w w:val="92"/>
              </w:rPr>
              <w:t>March 31,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0"/>
        </w:trPr>
        <w:tc>
          <w:tcPr>
            <w:tcW w:w="6340" w:type="dxa"/>
            <w:vAlign w:val="bottom"/>
          </w:tcPr>
          <w:p>
            <w:pPr>
              <w:spacing w:after="0"/>
              <w:rPr>
                <w:sz w:val="20"/>
                <w:szCs w:val="20"/>
                <w:color w:val="auto"/>
              </w:rPr>
            </w:pPr>
          </w:p>
        </w:tc>
        <w:tc>
          <w:tcPr>
            <w:tcW w:w="348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63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2720"/>
        <w:spacing w:after="0" w:line="313" w:lineRule="auto"/>
        <w:rPr>
          <w:sz w:val="20"/>
          <w:szCs w:val="20"/>
          <w:color w:val="auto"/>
        </w:rPr>
      </w:pPr>
      <w:r>
        <w:rPr>
          <w:rFonts w:ascii="Arial" w:cs="Arial" w:eastAsia="Arial" w:hAnsi="Arial"/>
          <w:sz w:val="18"/>
          <w:szCs w:val="18"/>
          <w:color w:val="auto"/>
        </w:rPr>
        <w:t>Current maturities of long-term debt, net of unamortized loan fees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Advanced billings and customer deposits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less current maturities, net of unamortized loan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Retirement plan obligations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Retained earnings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income,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38,124</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32,041</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25,390</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72,810</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21,029</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20,427</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3,678</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9,465</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3,958</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18,174</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29,085</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110,353</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164,263</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6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810,873</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3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149,763</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151,837</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19,230</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18,042</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19,386</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15,666</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17,892</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17,738</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26,057</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23,743</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232,328</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227,026</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46,083</w:t>
      </w:r>
      <w:r>
        <w:rPr>
          <w:sz w:val="20"/>
          <w:szCs w:val="20"/>
          <w:color w:val="auto"/>
        </w:rPr>
        <w:tab/>
      </w:r>
      <w:r>
        <w:rPr>
          <w:rFonts w:ascii="Arial" w:cs="Arial" w:eastAsia="Arial" w:hAnsi="Arial"/>
          <w:sz w:val="18"/>
          <w:szCs w:val="18"/>
          <w:color w:val="auto"/>
        </w:rPr>
        <w:t>45,482</w:t>
      </w:r>
    </w:p>
    <w:p>
      <w:pPr>
        <w:spacing w:after="0" w:line="63"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245,965</w:t>
      </w:r>
      <w:r>
        <w:rPr>
          <w:sz w:val="20"/>
          <w:szCs w:val="20"/>
          <w:color w:val="auto"/>
        </w:rPr>
        <w:tab/>
      </w:r>
      <w:r>
        <w:rPr>
          <w:rFonts w:ascii="Arial" w:cs="Arial" w:eastAsia="Arial" w:hAnsi="Arial"/>
          <w:sz w:val="18"/>
          <w:szCs w:val="18"/>
          <w:color w:val="auto"/>
        </w:rPr>
        <w:t>243,624</w:t>
      </w:r>
    </w:p>
    <w:p>
      <w:pPr>
        <w:spacing w:after="0" w:line="63" w:lineRule="exact"/>
        <w:rPr>
          <w:sz w:val="20"/>
          <w:szCs w:val="20"/>
          <w:color w:val="auto"/>
        </w:rPr>
      </w:pPr>
    </w:p>
    <w:p>
      <w:pPr>
        <w:ind w:left="960"/>
        <w:spacing w:after="0"/>
        <w:tabs>
          <w:tab w:leader="none" w:pos="2520" w:val="left"/>
        </w:tabs>
        <w:rPr>
          <w:sz w:val="20"/>
          <w:szCs w:val="20"/>
          <w:color w:val="auto"/>
        </w:rPr>
      </w:pPr>
      <w:r>
        <w:rPr>
          <w:rFonts w:ascii="Arial" w:cs="Arial" w:eastAsia="Arial" w:hAnsi="Arial"/>
          <w:sz w:val="18"/>
          <w:szCs w:val="18"/>
          <w:color w:val="auto"/>
        </w:rPr>
        <w:t>7,387</w:t>
      </w:r>
      <w:r>
        <w:rPr>
          <w:sz w:val="20"/>
          <w:szCs w:val="20"/>
          <w:color w:val="auto"/>
        </w:rPr>
        <w:tab/>
      </w:r>
      <w:r>
        <w:rPr>
          <w:rFonts w:ascii="Arial" w:cs="Arial" w:eastAsia="Arial" w:hAnsi="Arial"/>
          <w:sz w:val="18"/>
          <w:szCs w:val="18"/>
          <w:color w:val="auto"/>
        </w:rPr>
        <w:t>6,788</w:t>
      </w:r>
    </w:p>
    <w:p>
      <w:pPr>
        <w:spacing w:after="0" w:line="90"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299,435</w:t>
      </w:r>
      <w:r>
        <w:rPr>
          <w:sz w:val="20"/>
          <w:szCs w:val="20"/>
          <w:color w:val="auto"/>
        </w:rPr>
        <w:tab/>
      </w:r>
      <w:r>
        <w:rPr>
          <w:rFonts w:ascii="Arial" w:cs="Arial" w:eastAsia="Arial" w:hAnsi="Arial"/>
          <w:sz w:val="18"/>
          <w:szCs w:val="18"/>
          <w:color w:val="auto"/>
        </w:rPr>
        <w:t>295,894</w:t>
      </w:r>
    </w:p>
    <w:p>
      <w:pPr>
        <w:spacing w:after="0" w:line="209"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205" w:lineRule="exact"/>
        <w:rPr>
          <w:sz w:val="20"/>
          <w:szCs w:val="20"/>
          <w:color w:val="auto"/>
        </w:rPr>
      </w:pPr>
    </w:p>
    <w:p>
      <w:pPr>
        <w:ind w:left="380"/>
        <w:spacing w:after="0"/>
        <w:tabs>
          <w:tab w:leader="none" w:pos="8360" w:val="left"/>
          <w:tab w:leader="none" w:pos="9000" w:val="left"/>
          <w:tab w:leader="none" w:pos="9960" w:val="left"/>
          <w:tab w:leader="none" w:pos="10580" w:val="left"/>
        </w:tabs>
        <w:rPr>
          <w:sz w:val="20"/>
          <w:szCs w:val="20"/>
          <w:color w:val="auto"/>
        </w:rPr>
      </w:pPr>
      <w:r>
        <w:rPr>
          <w:rFonts w:ascii="Arial" w:cs="Arial" w:eastAsia="Arial" w:hAnsi="Arial"/>
          <w:sz w:val="18"/>
          <w:szCs w:val="18"/>
          <w:b w:val="1"/>
          <w:bCs w:val="1"/>
          <w:color w:val="auto"/>
        </w:rPr>
        <w:t>Total liabilities and shareholders’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1,452,989</w:t>
        <w:tab/>
        <w:t>$</w:t>
      </w:r>
      <w:r>
        <w:rPr>
          <w:sz w:val="20"/>
          <w:szCs w:val="20"/>
          <w:color w:val="auto"/>
        </w:rPr>
        <w:tab/>
      </w:r>
      <w:r>
        <w:rPr>
          <w:rFonts w:ascii="Arial" w:cs="Arial" w:eastAsia="Arial" w:hAnsi="Arial"/>
          <w:sz w:val="16"/>
          <w:szCs w:val="16"/>
          <w:color w:val="auto"/>
        </w:rPr>
        <w:t>1,484,407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242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INCOME AND COMPREHENSIVE INCOME </w:t>
      </w:r>
      <w:r>
        <w:rPr>
          <w:rFonts w:ascii="Arial" w:cs="Arial" w:eastAsia="Arial" w:hAnsi="Arial"/>
          <w:sz w:val="18"/>
          <w:szCs w:val="18"/>
          <w:i w:val="1"/>
          <w:iCs w:val="1"/>
          <w:color w:val="auto"/>
        </w:rPr>
        <w:t>(in thousands, except per share amounts)</w:t>
      </w:r>
    </w:p>
    <w:p>
      <w:pPr>
        <w:spacing w:after="0" w:line="346"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38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22860</wp:posOffset>
            </wp:positionV>
            <wp:extent cx="19469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6910"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8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7"/>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153,880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92,571</w:t>
            </w:r>
          </w:p>
        </w:tc>
      </w:tr>
      <w:tr>
        <w:trPr>
          <w:trHeight w:val="297"/>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Cost of goods and services, exclusive of depreciation and amortization shown separately below</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53,761</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31,762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Selling, general and administrative, exclusive of depreciation and amortization shown separately below</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40,153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21,426</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Integration and acquisition expenses</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4,489</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44,804</w:t>
            </w:r>
          </w:p>
        </w:tc>
        <w:tc>
          <w:tcPr>
            <w:tcW w:w="4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17,739</w:t>
            </w:r>
          </w:p>
        </w:tc>
      </w:tr>
      <w:tr>
        <w:trPr>
          <w:trHeight w:val="284"/>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143,207</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71,259</w:t>
            </w:r>
          </w:p>
        </w:tc>
      </w:tr>
      <w:tr>
        <w:trPr>
          <w:trHeight w:val="271"/>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10,673</w:t>
            </w:r>
          </w:p>
        </w:tc>
        <w:tc>
          <w:tcPr>
            <w:tcW w:w="4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r>
      <w:tr>
        <w:trPr>
          <w:trHeight w:val="297"/>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8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Non-operating income,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1,255</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2,948</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20,249</w:t>
            </w:r>
          </w:p>
        </w:tc>
      </w:tr>
      <w:tr>
        <w:trPr>
          <w:trHeight w:val="297"/>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607</w:t>
            </w:r>
          </w:p>
        </w:tc>
        <w:tc>
          <w:tcPr>
            <w:tcW w:w="4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6,368</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2,341</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13,881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interest rate hedge, net of tax</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599</w:t>
            </w:r>
          </w:p>
        </w:tc>
        <w:tc>
          <w:tcPr>
            <w:tcW w:w="4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304"/>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12,833</w:t>
            </w:r>
          </w:p>
        </w:tc>
      </w:tr>
      <w:tr>
        <w:trPr>
          <w:trHeight w:val="284"/>
        </w:trPr>
        <w:tc>
          <w:tcPr>
            <w:tcW w:w="8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shares outstanding, basic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49,050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48,563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Weighted average shares outstanding, diluted</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49,834</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49,249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color w:val="auto"/>
                <w:w w:val="95"/>
              </w:rPr>
              <w:t>Accumulated</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color w:val="auto"/>
                <w:w w:val="89"/>
              </w:rPr>
              <w:t>Other</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color w:val="auto"/>
                <w:w w:val="89"/>
              </w:rPr>
              <w:t>Comprehensive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Common</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Retained</w:t>
            </w:r>
          </w:p>
        </w:tc>
        <w:tc>
          <w:tcPr>
            <w:tcW w:w="240" w:type="dxa"/>
            <w:vAlign w:val="bottom"/>
          </w:tcPr>
          <w:p>
            <w:pPr>
              <w:spacing w:after="0"/>
              <w:rPr>
                <w:sz w:val="17"/>
                <w:szCs w:val="17"/>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color w:val="auto"/>
                <w:w w:val="91"/>
              </w:rPr>
              <w:t>Income,</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080" w:type="dxa"/>
            <w:vAlign w:val="bottom"/>
          </w:tcPr>
          <w:p>
            <w:pPr>
              <w:jc w:val="right"/>
              <w:ind w:right="250"/>
              <w:spacing w:after="0"/>
              <w:rPr>
                <w:sz w:val="20"/>
                <w:szCs w:val="20"/>
                <w:color w:val="auto"/>
              </w:rPr>
            </w:pPr>
            <w:r>
              <w:rPr>
                <w:rFonts w:ascii="Arial" w:cs="Arial" w:eastAsia="Arial" w:hAnsi="Arial"/>
                <w:sz w:val="16"/>
                <w:szCs w:val="16"/>
                <w:color w:val="auto"/>
              </w:rPr>
              <w:t>Shares</w:t>
            </w:r>
          </w:p>
        </w:tc>
        <w:tc>
          <w:tcPr>
            <w:tcW w:w="30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color w:val="auto"/>
              </w:rPr>
              <w:t>Stock</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1300" w:type="dxa"/>
            <w:vAlign w:val="bottom"/>
          </w:tcPr>
          <w:p>
            <w:pPr>
              <w:jc w:val="center"/>
              <w:ind w:right="92"/>
              <w:spacing w:after="0"/>
              <w:rPr>
                <w:sz w:val="20"/>
                <w:szCs w:val="20"/>
                <w:color w:val="auto"/>
              </w:rPr>
            </w:pPr>
            <w:r>
              <w:rPr>
                <w:rFonts w:ascii="Arial" w:cs="Arial" w:eastAsia="Arial" w:hAnsi="Arial"/>
                <w:sz w:val="16"/>
                <w:szCs w:val="16"/>
                <w:color w:val="auto"/>
                <w:w w:val="91"/>
              </w:rPr>
              <w:t>net of tax</w:t>
            </w:r>
          </w:p>
        </w:tc>
        <w:tc>
          <w:tcPr>
            <w:tcW w:w="400" w:type="dxa"/>
            <w:vAlign w:val="bottom"/>
          </w:tcPr>
          <w:p>
            <w:pPr>
              <w:spacing w:after="0"/>
              <w:rPr>
                <w:sz w:val="17"/>
                <w:szCs w:val="17"/>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color w:val="auto"/>
              </w:rPr>
              <w:t>Total</w:t>
            </w:r>
          </w:p>
        </w:tc>
      </w:tr>
      <w:tr>
        <w:trPr>
          <w:trHeight w:val="40"/>
        </w:trPr>
        <w:tc>
          <w:tcPr>
            <w:tcW w:w="4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48,475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32,776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256,747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289,938</w:t>
            </w:r>
          </w:p>
        </w:tc>
      </w:tr>
      <w:tr>
        <w:trPr>
          <w:trHeight w:val="32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gain, net of tax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6,373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6,373</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($0.25 per share)</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3,359</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3,359</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Common stock issued to acquire non-controlling interests of</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nTelos</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10,400</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(5,097)</w:t>
            </w:r>
          </w:p>
        </w:tc>
      </w:tr>
      <w:tr>
        <w:trPr>
          <w:trHeight w:val="34"/>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48,935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45,482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243,624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6,788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295,894</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gain, net of tax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599</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Common stock issued to acquire non-controlling interests of</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nTelos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March 31, 2017</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49,098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46,083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245,965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7,387</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299,435</w:t>
            </w:r>
          </w:p>
        </w:tc>
      </w:tr>
      <w:tr>
        <w:trPr>
          <w:trHeight w:val="27"/>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March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37,878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17,454</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operating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6,926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reflected as contra 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rent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bad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Straight line adjustment to management fee revenue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4,206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 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gain on disposal of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Unrealized gain on investments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gains from patronage and 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long term debt issuance costs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1,629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Inventory,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14,188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(39,399)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w:t>
            </w: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Deferred lease payable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1,331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deferrals and accruals</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r>
      <w:tr>
        <w:trPr>
          <w:trHeight w:val="284"/>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24,498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43,170</w:t>
            </w:r>
          </w:p>
        </w:tc>
      </w:tr>
      <w:tr>
        <w:trPr>
          <w:trHeight w:val="291"/>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 of property, plant and equipment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distributions from investments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contributions to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disbursed for acquisition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290"/>
              <w:spacing w:after="0"/>
              <w:rPr>
                <w:sz w:val="20"/>
                <w:szCs w:val="20"/>
                <w:color w:val="auto"/>
              </w:rPr>
            </w:pPr>
            <w:r>
              <w:rPr>
                <w:rFonts w:ascii="Arial" w:cs="Arial" w:eastAsia="Arial" w:hAnsi="Arial"/>
                <w:sz w:val="18"/>
                <w:szCs w:val="18"/>
                <w:color w:val="auto"/>
                <w:w w:val="86"/>
              </w:rPr>
              <w:t>(38,587)</w:t>
            </w:r>
          </w:p>
        </w:tc>
        <w:tc>
          <w:tcPr>
            <w:tcW w:w="1000" w:type="dxa"/>
            <w:vAlign w:val="bottom"/>
          </w:tcPr>
          <w:p>
            <w:pPr>
              <w:jc w:val="right"/>
              <w:spacing w:after="0"/>
              <w:rPr>
                <w:sz w:val="20"/>
                <w:szCs w:val="20"/>
                <w:color w:val="auto"/>
              </w:rPr>
            </w:pPr>
            <w:r>
              <w:rPr>
                <w:rFonts w:ascii="Arial" w:cs="Arial" w:eastAsia="Arial" w:hAnsi="Arial"/>
                <w:sz w:val="18"/>
                <w:szCs w:val="18"/>
                <w:color w:val="auto"/>
              </w:rPr>
              <w:t>(20,537)</w:t>
            </w:r>
          </w:p>
        </w:tc>
      </w:tr>
      <w:tr>
        <w:trPr>
          <w:trHeight w:val="270"/>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117</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98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40" w:lineRule="exact"/>
        <w:rPr>
          <w:sz w:val="20"/>
          <w:szCs w:val="20"/>
          <w:color w:val="auto"/>
        </w:rPr>
      </w:pPr>
    </w:p>
    <w:p>
      <w:pPr>
        <w:ind w:left="1740" w:hanging="1432"/>
        <w:spacing w:after="0"/>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(2,480)</w:t>
      </w:r>
    </w:p>
    <w:p>
      <w:pPr>
        <w:spacing w:after="0" w:line="90"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(38,481)</w:t>
      </w:r>
      <w:r>
        <w:rPr>
          <w:sz w:val="20"/>
          <w:szCs w:val="20"/>
          <w:color w:val="auto"/>
        </w:rPr>
        <w:tab/>
      </w:r>
      <w:r>
        <w:rPr>
          <w:rFonts w:ascii="Arial" w:cs="Arial" w:eastAsia="Arial" w:hAnsi="Arial"/>
          <w:sz w:val="16"/>
          <w:szCs w:val="16"/>
          <w:color w:val="auto"/>
        </w:rPr>
        <w:t>(22,827)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46355</wp:posOffset>
            </wp:positionV>
            <wp:extent cx="16637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709" w:lineRule="exact"/>
        <w:rPr>
          <w:sz w:val="20"/>
          <w:szCs w:val="20"/>
          <w:color w:val="auto"/>
        </w:rPr>
      </w:pPr>
    </w:p>
    <w:p>
      <w:pPr>
        <w:sectPr>
          <w:pgSz w:w="11900" w:h="16838" w:orient="portrait"/>
          <w:cols w:equalWidth="0" w:num="2">
            <w:col w:w="8680" w:space="720"/>
            <w:col w:w="2020"/>
          </w:cols>
          <w:pgMar w:left="240" w:top="125"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March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Amounts borrowed under debt agreements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issuances of common stock</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17,717</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91"/>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and cash equivalents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36,193</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76,812</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39,927</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89,160</w:t>
            </w:r>
          </w:p>
        </w:tc>
        <w:tc>
          <w:tcPr>
            <w:tcW w:w="0" w:type="dxa"/>
            <w:vAlign w:val="bottom"/>
          </w:tcPr>
          <w:p>
            <w:pPr>
              <w:spacing w:after="0"/>
              <w:rPr>
                <w:sz w:val="1"/>
                <w:szCs w:val="1"/>
                <w:color w:val="auto"/>
              </w:rPr>
            </w:pPr>
          </w:p>
        </w:tc>
      </w:tr>
      <w:tr>
        <w:trPr>
          <w:trHeight w:val="28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 for: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net of capitalized interest of $577 and $146, respectively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8,380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8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March 31, 2017 and 2016, accounts payable included approximately $6.4 million and $1.2 million, respectively, associated with capital expenditures.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accounts payable and acquisition of property, plant and equipment exclude this activity.</w:t>
      </w:r>
    </w:p>
    <w:p>
      <w:pPr>
        <w:spacing w:after="0" w:line="21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During the quarter ended March 31, 2017, the Company recorded an increase in the fair value of interest rate swaps of $972 thousand, an increase in deferred tax liabilities of $373 thousand, and an increase to accumulated other comprehensive income of $599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Prior year amounts have been reclassified in some cases to conform to the current year presentation. These financial statements should be read in conjunction with the audited consolidated financial statements and related notes in the Company’s Annual Report on Form 10-K for the year ended December 31, 2016. The accompanying balance sheet information at December 31, 2016 was derived from the audited December 31, 2016 consolidated balance sheet. Operating revenues and income (loss) from operations for any interim period are not necessarily indicative of results that may be expected for the entire year.</w:t>
      </w:r>
    </w:p>
    <w:p>
      <w:pPr>
        <w:spacing w:after="0" w:line="17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NTELOS Holdings Corp. and Exchange with Sprint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6, 2016, the Company completed its previously announced acquisition of NTELOS Holdings Corp. (“nTelos”) for $667.8 million, net of cash acquired. The acquisition was entered into to improve shareholder value through the expansion of the Company's Wireless service area and customer base while strengthening our relationship with Sprint Corporation ("Sprint"). The purchase price was financed by a credit facility arranged by CoBank, ACB, Royal Bank of Canada, Fifth Third Bank, Bank of America, N.A., Capital One, National Association, Citizens Bank N.A., and Toronto Dominion (Texas) LLC. The Company has accounted for the acquisition of nTelos under the acquisition method of accounting, in accordance with Financial Accounting Standards Board (“FASB”) Accounting Standards Codification (“ASC”) 805, “Business Combinations”, and has accounted for measurement period adjustments under Accounting Standards Update (“ASU”) 2015-16, “Simplifying the Accounting for Measurement Period Adjustments”. Under the acquisition method of accounting, the total purchase price is allocated to the tangible and intangible assets acquired and liabilities assumed in connection with the acquisition based on their estimated fair values.</w:t>
      </w:r>
    </w:p>
    <w:p>
      <w:pPr>
        <w:spacing w:after="0" w:line="19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preliminary allocation of the purchase price was based upon management’s preliminary valuation of the fair value of tangible and intangible assets acquired and liabilities assumed of nTelos, with the excess recorded as goodwill. During the first quarter of 2017, the Company made adjustments to the preliminary estimates of fair value resulting in immaterial changes to previously estimated fair values of fixed assets, asset retirement obligation liabilities, accounts receivable and deferred taxes. These adjustments resulted in a $1.3 million reduction to goodwill as shown in the table below. The Company continues to review certain tax positions acquired in the nTelos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during the three months ended March 31, 2017 are shown below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December 31,</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5"/>
              </w:rPr>
              <w:t>Purchase Accounting</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March 31,</w:t>
            </w:r>
          </w:p>
        </w:tc>
      </w:tr>
      <w:tr>
        <w:trPr>
          <w:trHeight w:val="257"/>
        </w:trPr>
        <w:tc>
          <w:tcPr>
            <w:tcW w:w="4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Adjustments</w:t>
            </w:r>
          </w:p>
        </w:tc>
        <w:tc>
          <w:tcPr>
            <w:tcW w:w="4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2017</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Goodwill - Wireline segment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 Cable segment</w:t>
            </w:r>
          </w:p>
        </w:tc>
        <w:tc>
          <w:tcPr>
            <w:tcW w:w="3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Goodwill - Wireless segment</w:t>
            </w: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145,142</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(1,255)</w:t>
            </w:r>
          </w:p>
        </w:tc>
        <w:tc>
          <w:tcPr>
            <w:tcW w:w="4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143,887</w:t>
            </w:r>
          </w:p>
        </w:tc>
      </w:tr>
      <w:tr>
        <w:trPr>
          <w:trHeight w:val="34"/>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March 31, 2017</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145,256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144,001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Following are the unaudited pro forma results of the Company for the period ended March 31, 2016, as if the acquisition of nTelos had occurred at the beginning of the period.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March 31,</w:t>
            </w: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2016</w:t>
            </w:r>
          </w:p>
        </w:tc>
      </w:tr>
      <w:tr>
        <w:trPr>
          <w:trHeight w:val="243"/>
        </w:trPr>
        <w:tc>
          <w:tcPr>
            <w:tcW w:w="43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173,248</w:t>
            </w:r>
          </w:p>
        </w:tc>
      </w:tr>
      <w:tr>
        <w:trPr>
          <w:trHeight w:val="27"/>
        </w:trPr>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w:t>
            </w:r>
          </w:p>
        </w:tc>
      </w:tr>
      <w:tr>
        <w:trPr>
          <w:trHeight w:val="27"/>
        </w:trPr>
        <w:tc>
          <w:tcPr>
            <w:tcW w:w="4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connection with these transactions, the Company incurs costs which include the nTelos back office staff and support functions until the nTelos legacy customers are migrated to the Sprint billing platform; costs of the handsets to be provided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nTelos legacy customers as they migrate to the Sprint billing platform; severance costs for back office and other former nTelos employees who will not be retained permanently; and costs to shut down certain cell sites and related backhaul contracts. We have incurred $7.1 million of these costs in the three months ended March 31, 2017, including $0.1 million reflected in cost of goods and services and $2.5 million reflected in selling, general and administrative costs in the three months ended March 31, 2017.</w:t>
      </w:r>
    </w:p>
    <w:p>
      <w:pPr>
        <w:spacing w:after="0" w:line="18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in service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1,085,318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Plant under construction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61,980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73,759</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1,159,077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496,478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460,955</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689,948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698,122</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4.</w:t>
            </w:r>
          </w:p>
        </w:tc>
        <w:tc>
          <w:tcPr>
            <w:tcW w:w="79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913 thousand and 991 thousand shares and options outstanding at March 31, 2017 and 2016, respectively, 125 thousand and 136 thousand were anti-dilutive, respectively. These shares and options have been excluded from the computations of diluted earnings per share for their respective period. There were no adjustments to net income for either period.</w:t>
      </w:r>
    </w:p>
    <w:p>
      <w:pPr>
        <w:spacing w:after="0" w:line="18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Investments include $3.1 million and $2.9 million of investments carried at fair value as of March 31, 2017 and December 31, 2016,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three months ended March 31, 2017, the Company recognized $32 thousand in dividend and interest income from investments, and recorded net unrealized gains of $120 thousand on these investments. Fair values for these investments held under the rabbi trust were determined by Level 1 quoted market prices for the underlying mutual funds.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March 31, 2017 and December 31, 2016, other investments, comprised of equity securities which do not have readily determinable fair values, consist of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3/31/2017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12/31/2016</w:t>
            </w:r>
          </w:p>
        </w:tc>
        <w:tc>
          <w:tcPr>
            <w:tcW w:w="0" w:type="dxa"/>
            <w:vAlign w:val="bottom"/>
          </w:tcPr>
          <w:p>
            <w:pPr>
              <w:spacing w:after="0"/>
              <w:rPr>
                <w:sz w:val="1"/>
                <w:szCs w:val="1"/>
                <w:color w:val="auto"/>
              </w:rPr>
            </w:pPr>
          </w:p>
        </w:tc>
      </w:tr>
      <w:tr>
        <w:trPr>
          <w:trHeight w:val="34"/>
        </w:trPr>
        <w:tc>
          <w:tcPr>
            <w:tcW w:w="5240" w:type="dxa"/>
            <w:vAlign w:val="bottom"/>
            <w:vMerge w:val="restart"/>
          </w:tcPr>
          <w:p>
            <w:pPr>
              <w:ind w:left="40"/>
              <w:spacing w:after="0"/>
              <w:rPr>
                <w:sz w:val="20"/>
                <w:szCs w:val="20"/>
                <w:color w:val="auto"/>
              </w:rPr>
            </w:pPr>
            <w:r>
              <w:rPr>
                <w:rFonts w:ascii="Arial" w:cs="Arial" w:eastAsia="Arial" w:hAnsi="Arial"/>
                <w:sz w:val="18"/>
                <w:szCs w:val="18"/>
                <w:color w:val="auto"/>
              </w:rPr>
              <w:t>Cost method:</w:t>
            </w:r>
          </w:p>
        </w:tc>
        <w:tc>
          <w:tcPr>
            <w:tcW w:w="2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4"/>
          </w:tcPr>
          <w:p>
            <w:pPr>
              <w:jc w:val="right"/>
              <w:ind w:right="117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CoBank</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Other – Equity in other telecommunications partners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34"/>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5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17"/>
        </w:trPr>
        <w:tc>
          <w:tcPr>
            <w:tcW w:w="52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Equity method:</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Total other investments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12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10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instruments on the condensed consolidated balance sheets that approximate fair value include: cash and cash equivalents, receivables, investments carried at fair value, payables, accrued liabilities, interest rate swaps and variable rate long-term debt.</w:t>
      </w:r>
    </w:p>
    <w:p>
      <w:pPr>
        <w:spacing w:after="0" w:line="17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Derivative Instruments, Hedging Activities and Accumulated Other Comprehensive Income</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these objectives,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outstanding notional amount of this cash flow hedge was $131.0 million as of March 31, 2017. The outstanding notional amount decreases based upon scheduled principal payments on the 2012 debt.</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In May 2016, the Company entered into a pay-fixed, receive-variable interest rate swap of $256.6 million of notional principal with three counterparties. This interest rate swap was designated as a cash flow hedge. The outstanding notional amount of this cash flow hedge was $302.4 million as of March 31, 2017. The outstanding notional amount increases based upon draws expected to be made under a portion of the Company's Term Loan A-2 debt and as the 2012 interest rate swap's notional principal decreases, and will decrease as the Company makes scheduled principal payments on the 2016 debt. In combination with the swap entered into in 2012 described above, the Company is hedging approximately 50% of the expected outstanding debt.</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Amounts reported in accumulated other comprehensive income related to the interest rate swaps designated and qualified as a cash flow hedge, are reclassified to interest expense as interest payments are made on the Company’s variable-rate debt. As of March 31, 2017, the Company estimates that $237 thousand will be reclassified as a reduction of interest expense during the next twelve months.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 as well as its classification on the condensed consolidated balance sheet as of March 31, 2017 and December 31, 2016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Derivatives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4"/>
          </w:tcPr>
          <w:p>
            <w:pPr>
              <w:jc w:val="right"/>
              <w:ind w:right="850"/>
              <w:spacing w:after="0"/>
              <w:rPr>
                <w:sz w:val="20"/>
                <w:szCs w:val="20"/>
                <w:color w:val="auto"/>
              </w:rPr>
            </w:pPr>
            <w:r>
              <w:rPr>
                <w:rFonts w:ascii="Arial" w:cs="Arial" w:eastAsia="Arial" w:hAnsi="Arial"/>
                <w:sz w:val="18"/>
                <w:szCs w:val="18"/>
                <w:color w:val="auto"/>
              </w:rPr>
              <w:t>Fair Value as of</w:t>
            </w:r>
          </w:p>
        </w:tc>
      </w:tr>
      <w:tr>
        <w:trPr>
          <w:trHeight w:val="34"/>
        </w:trPr>
        <w:tc>
          <w:tcPr>
            <w:tcW w:w="4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860" w:type="dxa"/>
            <w:vAlign w:val="bottom"/>
          </w:tcPr>
          <w:p>
            <w:pPr>
              <w:jc w:val="center"/>
              <w:ind w:left="590"/>
              <w:spacing w:after="0"/>
              <w:rPr>
                <w:sz w:val="20"/>
                <w:szCs w:val="20"/>
                <w:color w:val="auto"/>
              </w:rPr>
            </w:pPr>
            <w:r>
              <w:rPr>
                <w:rFonts w:ascii="Arial" w:cs="Arial" w:eastAsia="Arial" w:hAnsi="Arial"/>
                <w:sz w:val="18"/>
                <w:szCs w:val="18"/>
                <w:color w:val="auto"/>
                <w:w w:val="87"/>
              </w:rPr>
              <w:t>Balance Sheet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4700" w:type="dxa"/>
            <w:vAlign w:val="bottom"/>
          </w:tcPr>
          <w:p>
            <w:pPr>
              <w:spacing w:after="0"/>
              <w:rPr>
                <w:sz w:val="20"/>
                <w:szCs w:val="20"/>
                <w:color w:val="auto"/>
              </w:rPr>
            </w:pPr>
          </w:p>
        </w:tc>
        <w:tc>
          <w:tcPr>
            <w:tcW w:w="2860" w:type="dxa"/>
            <w:vAlign w:val="bottom"/>
          </w:tcPr>
          <w:p>
            <w:pPr>
              <w:jc w:val="center"/>
              <w:ind w:left="610"/>
              <w:spacing w:after="0"/>
              <w:rPr>
                <w:sz w:val="20"/>
                <w:szCs w:val="20"/>
                <w:color w:val="auto"/>
              </w:rPr>
            </w:pPr>
            <w:r>
              <w:rPr>
                <w:rFonts w:ascii="Arial" w:cs="Arial" w:eastAsia="Arial" w:hAnsi="Arial"/>
                <w:sz w:val="18"/>
                <w:szCs w:val="18"/>
                <w:color w:val="auto"/>
                <w:w w:val="93"/>
              </w:rPr>
              <w:t>Location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34"/>
        </w:trPr>
        <w:tc>
          <w:tcPr>
            <w:tcW w:w="47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9"/>
        </w:trPr>
        <w:tc>
          <w:tcPr>
            <w:tcW w:w="7560" w:type="dxa"/>
            <w:vAlign w:val="bottom"/>
            <w:gridSpan w:val="2"/>
          </w:tcPr>
          <w:p>
            <w:pPr>
              <w:ind w:left="40"/>
              <w:spacing w:after="0"/>
              <w:rPr>
                <w:sz w:val="20"/>
                <w:szCs w:val="20"/>
                <w:color w:val="auto"/>
              </w:rPr>
            </w:pPr>
            <w:r>
              <w:rPr>
                <w:rFonts w:ascii="Arial" w:cs="Arial" w:eastAsia="Arial" w:hAnsi="Arial"/>
                <w:sz w:val="17"/>
                <w:szCs w:val="17"/>
                <w:color w:val="auto"/>
              </w:rPr>
              <w:t>Derivatives designated as hedging instruments: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7560" w:type="dxa"/>
            <w:vAlign w:val="bottom"/>
            <w:gridSpan w:val="2"/>
          </w:tcPr>
          <w:p>
            <w:pPr>
              <w:ind w:left="3360"/>
              <w:spacing w:after="0"/>
              <w:rPr>
                <w:sz w:val="20"/>
                <w:szCs w:val="20"/>
                <w:color w:val="auto"/>
              </w:rPr>
            </w:pPr>
            <w:r>
              <w:rPr>
                <w:rFonts w:ascii="Arial" w:cs="Arial" w:eastAsia="Arial" w:hAnsi="Arial"/>
                <w:sz w:val="17"/>
                <w:szCs w:val="17"/>
                <w:color w:val="auto"/>
              </w:rPr>
              <w:t>Interest rate swap</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1"/>
        </w:trPr>
        <w:tc>
          <w:tcPr>
            <w:tcW w:w="4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0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spacing w:after="0"/>
              <w:rPr>
                <w:sz w:val="21"/>
                <w:szCs w:val="21"/>
                <w:color w:val="auto"/>
              </w:rPr>
            </w:pPr>
          </w:p>
        </w:tc>
        <w:tc>
          <w:tcPr>
            <w:tcW w:w="2860" w:type="dxa"/>
            <w:vAlign w:val="bottom"/>
          </w:tcPr>
          <w:p>
            <w:pPr>
              <w:ind w:left="40"/>
              <w:spacing w:after="0"/>
              <w:rPr>
                <w:sz w:val="20"/>
                <w:szCs w:val="20"/>
                <w:color w:val="auto"/>
              </w:rPr>
            </w:pPr>
            <w:r>
              <w:rPr>
                <w:rFonts w:ascii="Arial" w:cs="Arial" w:eastAsia="Arial" w:hAnsi="Arial"/>
                <w:sz w:val="18"/>
                <w:szCs w:val="18"/>
                <w:color w:val="auto"/>
                <w:w w:val="89"/>
              </w:rPr>
              <w:t>Deferred charges and other assets, net</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12,118</w:t>
            </w:r>
          </w:p>
        </w:tc>
      </w:tr>
      <w:tr>
        <w:trPr>
          <w:trHeight w:val="27"/>
        </w:trPr>
        <w:tc>
          <w:tcPr>
            <w:tcW w:w="47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w:t>
            </w:r>
          </w:p>
        </w:tc>
        <w:tc>
          <w:tcPr>
            <w:tcW w:w="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64"/>
        </w:trPr>
        <w:tc>
          <w:tcPr>
            <w:tcW w:w="7560" w:type="dxa"/>
            <w:vAlign w:val="bottom"/>
            <w:gridSpan w:val="2"/>
          </w:tcPr>
          <w:p>
            <w:pPr>
              <w:ind w:left="40"/>
              <w:spacing w:after="0"/>
              <w:rPr>
                <w:sz w:val="20"/>
                <w:szCs w:val="20"/>
                <w:color w:val="auto"/>
              </w:rPr>
            </w:pPr>
            <w:r>
              <w:rPr>
                <w:rFonts w:ascii="Arial" w:cs="Arial" w:eastAsia="Arial" w:hAnsi="Arial"/>
                <w:sz w:val="17"/>
                <w:szCs w:val="17"/>
                <w:color w:val="auto"/>
              </w:rPr>
              <w:t>Total derivatives designated as hedging instruments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11,223</w:t>
            </w:r>
          </w:p>
        </w:tc>
      </w:tr>
      <w:tr>
        <w:trPr>
          <w:trHeight w:val="20"/>
        </w:trPr>
        <w:tc>
          <w:tcPr>
            <w:tcW w:w="4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change in accumulated other comprehensive income by component for the three months ended March 31, 2017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17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center"/>
              <w:ind w:left="111"/>
              <w:spacing w:after="0"/>
              <w:rPr>
                <w:sz w:val="20"/>
                <w:szCs w:val="20"/>
                <w:color w:val="auto"/>
              </w:rPr>
            </w:pPr>
            <w:r>
              <w:rPr>
                <w:rFonts w:ascii="Arial" w:cs="Arial" w:eastAsia="Arial" w:hAnsi="Arial"/>
                <w:sz w:val="18"/>
                <w:szCs w:val="18"/>
                <w:color w:val="auto"/>
                <w:w w:val="91"/>
              </w:rPr>
              <w:t>Gains 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1"/>
              </w:rPr>
              <w:t>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41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center"/>
              <w:ind w:left="111"/>
              <w:spacing w:after="0"/>
              <w:rPr>
                <w:sz w:val="20"/>
                <w:szCs w:val="20"/>
                <w:color w:val="auto"/>
              </w:rPr>
            </w:pPr>
            <w:r>
              <w:rPr>
                <w:rFonts w:ascii="Arial" w:cs="Arial" w:eastAsia="Arial" w:hAnsi="Arial"/>
                <w:sz w:val="18"/>
                <w:szCs w:val="18"/>
                <w:color w:val="auto"/>
                <w:w w:val="91"/>
              </w:rPr>
              <w:t>Cash Flow</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Tax</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center"/>
              <w:ind w:left="151"/>
              <w:spacing w:after="0"/>
              <w:rPr>
                <w:sz w:val="20"/>
                <w:szCs w:val="20"/>
                <w:color w:val="auto"/>
              </w:rPr>
            </w:pPr>
            <w:r>
              <w:rPr>
                <w:rFonts w:ascii="Arial" w:cs="Arial" w:eastAsia="Arial" w:hAnsi="Arial"/>
                <w:sz w:val="18"/>
                <w:szCs w:val="18"/>
                <w:color w:val="auto"/>
                <w:w w:val="86"/>
              </w:rPr>
              <w:t>Hedges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center"/>
              <w:ind w:right="430"/>
              <w:spacing w:after="0"/>
              <w:rPr>
                <w:sz w:val="20"/>
                <w:szCs w:val="20"/>
                <w:color w:val="auto"/>
              </w:rPr>
            </w:pPr>
            <w:r>
              <w:rPr>
                <w:rFonts w:ascii="Arial" w:cs="Arial" w:eastAsia="Arial" w:hAnsi="Arial"/>
                <w:sz w:val="18"/>
                <w:szCs w:val="18"/>
                <w:color w:val="auto"/>
                <w:w w:val="91"/>
              </w:rPr>
              <w:t>Income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11,223</w:t>
            </w:r>
          </w:p>
        </w:tc>
        <w:tc>
          <w:tcPr>
            <w:tcW w:w="780" w:type="dxa"/>
            <w:vAlign w:val="bottom"/>
            <w:tcBorders>
              <w:bottom w:val="single" w:sz="8" w:color="CCEEFF"/>
            </w:tcBorders>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4"/>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0" w:type="dxa"/>
            <w:vAlign w:val="bottom"/>
            <w:gridSpan w:val="5"/>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3"/>
              </w:rPr>
              <w:t>Amounts reclassified from accumulated other comprehensive income (to interest</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431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w w:val="92"/>
              </w:rPr>
              <w:t>Net current period other comprehensive income</w:t>
            </w:r>
          </w:p>
        </w:tc>
        <w:tc>
          <w:tcPr>
            <w:tcW w:w="10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972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12,195</w:t>
            </w:r>
          </w:p>
        </w:tc>
        <w:tc>
          <w:tcPr>
            <w:tcW w:w="780" w:type="dxa"/>
            <w:vAlign w:val="bottom"/>
            <w:gridSpan w:val="3"/>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8. Intangible Assets, Net</w:t>
            </w: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8"/>
          </w:tcPr>
          <w:p>
            <w:pPr>
              <w:spacing w:after="0"/>
              <w:rPr>
                <w:sz w:val="20"/>
                <w:szCs w:val="20"/>
                <w:color w:val="auto"/>
              </w:rPr>
            </w:pPr>
            <w:r>
              <w:rPr>
                <w:rFonts w:ascii="Arial" w:cs="Arial" w:eastAsia="Arial" w:hAnsi="Arial"/>
                <w:sz w:val="18"/>
                <w:szCs w:val="18"/>
                <w:color w:val="auto"/>
                <w:w w:val="96"/>
              </w:rPr>
              <w:t>Intangible assets consist of the following at March 31, 2017 and December 31, 2016:</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gridSpan w:val="2"/>
          </w:tcPr>
          <w:p>
            <w:pPr>
              <w:jc w:val="right"/>
              <w:ind w:right="91"/>
              <w:spacing w:after="0"/>
              <w:rPr>
                <w:sz w:val="20"/>
                <w:szCs w:val="20"/>
                <w:color w:val="auto"/>
              </w:rPr>
            </w:pPr>
            <w:r>
              <w:rPr>
                <w:rFonts w:ascii="Arial" w:cs="Arial" w:eastAsia="Arial" w:hAnsi="Arial"/>
                <w:sz w:val="16"/>
                <w:szCs w:val="16"/>
                <w:color w:val="auto"/>
              </w:rPr>
              <w:t>March 31, 2017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gridSpan w:val="6"/>
          </w:tcPr>
          <w:p>
            <w:pPr>
              <w:jc w:val="right"/>
              <w:ind w:right="90"/>
              <w:spacing w:after="0"/>
              <w:rPr>
                <w:sz w:val="20"/>
                <w:szCs w:val="20"/>
                <w:color w:val="auto"/>
              </w:rPr>
            </w:pPr>
            <w:r>
              <w:rPr>
                <w:rFonts w:ascii="Arial" w:cs="Arial" w:eastAsia="Arial" w:hAnsi="Arial"/>
                <w:sz w:val="16"/>
                <w:szCs w:val="16"/>
                <w:color w:val="auto"/>
              </w:rPr>
              <w:t>December 31, 2016</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center"/>
              <w:ind w:right="172"/>
              <w:spacing w:after="0"/>
              <w:rPr>
                <w:sz w:val="20"/>
                <w:szCs w:val="20"/>
                <w:color w:val="auto"/>
              </w:rPr>
            </w:pPr>
            <w:r>
              <w:rPr>
                <w:rFonts w:ascii="Arial" w:cs="Arial" w:eastAsia="Arial" w:hAnsi="Arial"/>
                <w:sz w:val="16"/>
                <w:szCs w:val="16"/>
                <w:color w:val="auto"/>
                <w:w w:val="88"/>
              </w:rPr>
              <w:t>Gross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3"/>
          </w:tcPr>
          <w:p>
            <w:pPr>
              <w:jc w:val="center"/>
              <w:ind w:right="270"/>
              <w:spacing w:after="0"/>
              <w:rPr>
                <w:sz w:val="20"/>
                <w:szCs w:val="20"/>
                <w:color w:val="auto"/>
              </w:rPr>
            </w:pPr>
            <w:r>
              <w:rPr>
                <w:rFonts w:ascii="Arial" w:cs="Arial" w:eastAsia="Arial" w:hAnsi="Arial"/>
                <w:sz w:val="16"/>
                <w:szCs w:val="16"/>
                <w:color w:val="auto"/>
                <w:w w:val="88"/>
              </w:rPr>
              <w:t>Gross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172"/>
              <w:spacing w:after="0"/>
              <w:rPr>
                <w:sz w:val="20"/>
                <w:szCs w:val="20"/>
                <w:color w:val="auto"/>
              </w:rPr>
            </w:pPr>
            <w:r>
              <w:rPr>
                <w:rFonts w:ascii="Arial" w:cs="Arial" w:eastAsia="Arial" w:hAnsi="Arial"/>
                <w:sz w:val="16"/>
                <w:szCs w:val="16"/>
                <w:color w:val="auto"/>
                <w:w w:val="95"/>
              </w:rPr>
              <w:t>Carrying</w:t>
            </w:r>
          </w:p>
        </w:tc>
        <w:tc>
          <w:tcPr>
            <w:tcW w:w="2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color w:val="auto"/>
                <w:w w:val="95"/>
              </w:rPr>
              <w:t>Accumulated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color w:val="auto"/>
                <w:w w:val="95"/>
              </w:rPr>
              <w:t>Carrying</w:t>
            </w:r>
          </w:p>
        </w:tc>
        <w:tc>
          <w:tcPr>
            <w:tcW w:w="340" w:type="dxa"/>
            <w:vAlign w:val="bottom"/>
          </w:tcPr>
          <w:p>
            <w:pPr>
              <w:spacing w:after="0"/>
              <w:rPr>
                <w:sz w:val="17"/>
                <w:szCs w:val="17"/>
                <w:color w:val="auto"/>
              </w:rPr>
            </w:pPr>
          </w:p>
        </w:tc>
        <w:tc>
          <w:tcPr>
            <w:tcW w:w="1040" w:type="dxa"/>
            <w:vAlign w:val="bottom"/>
            <w:gridSpan w:val="4"/>
          </w:tcPr>
          <w:p>
            <w:pPr>
              <w:jc w:val="right"/>
              <w:ind w:right="70"/>
              <w:spacing w:after="0"/>
              <w:rPr>
                <w:sz w:val="20"/>
                <w:szCs w:val="20"/>
                <w:color w:val="auto"/>
              </w:rPr>
            </w:pPr>
            <w:r>
              <w:rPr>
                <w:rFonts w:ascii="Arial" w:cs="Arial" w:eastAsia="Arial" w:hAnsi="Arial"/>
                <w:sz w:val="16"/>
                <w:szCs w:val="16"/>
                <w:color w:val="auto"/>
                <w:w w:val="92"/>
              </w:rPr>
              <w:t>Accumulated</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ind w:right="172"/>
              <w:spacing w:after="0"/>
              <w:rPr>
                <w:sz w:val="20"/>
                <w:szCs w:val="20"/>
                <w:color w:val="auto"/>
              </w:rPr>
            </w:pPr>
            <w:r>
              <w:rPr>
                <w:rFonts w:ascii="Arial" w:cs="Arial" w:eastAsia="Arial" w:hAnsi="Arial"/>
                <w:sz w:val="16"/>
                <w:szCs w:val="16"/>
                <w:color w:val="auto"/>
                <w:w w:val="97"/>
              </w:rPr>
              <w:t>Amount</w:t>
            </w:r>
          </w:p>
        </w:tc>
        <w:tc>
          <w:tcPr>
            <w:tcW w:w="2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6"/>
                <w:szCs w:val="16"/>
                <w:color w:val="auto"/>
                <w:w w:val="98"/>
              </w:rPr>
              <w:t>Amortization</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11"/>
              <w:spacing w:after="0"/>
              <w:rPr>
                <w:sz w:val="20"/>
                <w:szCs w:val="20"/>
                <w:color w:val="auto"/>
              </w:rPr>
            </w:pPr>
            <w:r>
              <w:rPr>
                <w:rFonts w:ascii="Arial" w:cs="Arial" w:eastAsia="Arial" w:hAnsi="Arial"/>
                <w:sz w:val="16"/>
                <w:szCs w:val="16"/>
                <w:color w:val="auto"/>
              </w:rPr>
              <w:t>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color w:val="auto"/>
                <w:w w:val="97"/>
              </w:rPr>
              <w:t>Amount</w:t>
            </w:r>
          </w:p>
        </w:tc>
        <w:tc>
          <w:tcPr>
            <w:tcW w:w="340" w:type="dxa"/>
            <w:vAlign w:val="bottom"/>
          </w:tcPr>
          <w:p>
            <w:pPr>
              <w:spacing w:after="0"/>
              <w:rPr>
                <w:sz w:val="17"/>
                <w:szCs w:val="17"/>
                <w:color w:val="auto"/>
              </w:rPr>
            </w:pPr>
          </w:p>
        </w:tc>
        <w:tc>
          <w:tcPr>
            <w:tcW w:w="1040" w:type="dxa"/>
            <w:vAlign w:val="bottom"/>
            <w:gridSpan w:val="4"/>
          </w:tcPr>
          <w:p>
            <w:pPr>
              <w:jc w:val="right"/>
              <w:ind w:right="70"/>
              <w:spacing w:after="0"/>
              <w:rPr>
                <w:sz w:val="20"/>
                <w:szCs w:val="20"/>
                <w:color w:val="auto"/>
              </w:rPr>
            </w:pPr>
            <w:r>
              <w:rPr>
                <w:rFonts w:ascii="Arial" w:cs="Arial" w:eastAsia="Arial" w:hAnsi="Arial"/>
                <w:sz w:val="16"/>
                <w:szCs w:val="16"/>
                <w:color w:val="auto"/>
                <w:w w:val="96"/>
              </w:rPr>
              <w:t>Amortization</w:t>
            </w:r>
          </w:p>
        </w:tc>
        <w:tc>
          <w:tcPr>
            <w:tcW w:w="240" w:type="dxa"/>
            <w:vAlign w:val="bottom"/>
          </w:tcPr>
          <w:p>
            <w:pPr>
              <w:spacing w:after="0"/>
              <w:rPr>
                <w:sz w:val="17"/>
                <w:szCs w:val="17"/>
                <w:color w:val="auto"/>
              </w:rPr>
            </w:pPr>
          </w:p>
        </w:tc>
        <w:tc>
          <w:tcPr>
            <w:tcW w:w="1060" w:type="dxa"/>
            <w:vAlign w:val="bottom"/>
          </w:tcPr>
          <w:p>
            <w:pPr>
              <w:jc w:val="right"/>
              <w:ind w:right="350"/>
              <w:spacing w:after="0"/>
              <w:rPr>
                <w:sz w:val="20"/>
                <w:szCs w:val="20"/>
                <w:color w:val="auto"/>
              </w:rPr>
            </w:pPr>
            <w:r>
              <w:rPr>
                <w:rFonts w:ascii="Arial" w:cs="Arial" w:eastAsia="Arial" w:hAnsi="Arial"/>
                <w:sz w:val="16"/>
                <w:szCs w:val="16"/>
                <w:color w:val="auto"/>
              </w:rPr>
              <w:t>Net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color w:val="auto"/>
              </w:rPr>
              <w:t>Non-amortizing intangibles:</w:t>
            </w: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Cable franchise rights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64,334</w:t>
            </w:r>
          </w:p>
        </w:tc>
        <w:tc>
          <w:tcPr>
            <w:tcW w:w="3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Railroad crossing rights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64,431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64,431</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64,431</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Affiliate contract expansion</w:t>
            </w: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284,102</w:t>
            </w: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(19,008)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265,094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284,102</w:t>
            </w:r>
          </w:p>
        </w:tc>
        <w:tc>
          <w:tcPr>
            <w:tcW w:w="3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(14,030)</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Acquired subscribers – wireless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120,855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(25,387)</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120,855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Favorable leases - wireless</w:t>
            </w:r>
          </w:p>
        </w:tc>
        <w:tc>
          <w:tcPr>
            <w:tcW w:w="2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16,950</w:t>
            </w:r>
          </w:p>
        </w:tc>
        <w:tc>
          <w:tcPr>
            <w:tcW w:w="2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16,950</w:t>
            </w:r>
          </w:p>
        </w:tc>
        <w:tc>
          <w:tcPr>
            <w:tcW w:w="3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Acquired subscribers – cable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25,265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25,265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(24,631)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intangibles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3,230</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(797)</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2,212</w:t>
            </w: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(754)</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intangibles</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450,402</w:t>
            </w: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(71,525)</w:t>
            </w:r>
          </w:p>
        </w:tc>
        <w:tc>
          <w:tcPr>
            <w:tcW w:w="3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378,877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449,384</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(59,283)</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390,101</w:t>
            </w:r>
          </w:p>
        </w:tc>
        <w:tc>
          <w:tcPr>
            <w:tcW w:w="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514,833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(71,525)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443,308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513,815</w:t>
            </w:r>
          </w:p>
        </w:tc>
        <w:tc>
          <w:tcPr>
            <w:tcW w:w="34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(59,283)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454,532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and Other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includes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center"/>
              <w:ind w:left="6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jc w:val="right"/>
              <w:ind w:right="6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jc w:val="center"/>
              <w:ind w:left="710"/>
              <w:spacing w:after="0"/>
              <w:rPr>
                <w:sz w:val="20"/>
                <w:szCs w:val="20"/>
                <w:color w:val="auto"/>
              </w:rPr>
            </w:pPr>
            <w:r>
              <w:rPr>
                <w:rFonts w:ascii="Arial" w:cs="Arial" w:eastAsia="Arial" w:hAnsi="Arial"/>
                <w:sz w:val="18"/>
                <w:szCs w:val="18"/>
                <w:color w:val="auto"/>
                <w:w w:val="89"/>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jc w:val="right"/>
              <w:ind w:right="9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property taxes payable</w:t>
            </w:r>
          </w:p>
        </w:tc>
        <w:tc>
          <w:tcPr>
            <w:tcW w:w="192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Severance accrual, current portion</w:t>
            </w:r>
          </w:p>
        </w:tc>
        <w:tc>
          <w:tcPr>
            <w:tcW w:w="19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 current portion</w:t>
            </w:r>
          </w:p>
        </w:tc>
        <w:tc>
          <w:tcPr>
            <w:tcW w:w="19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9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 and other</w:t>
            </w:r>
          </w:p>
        </w:tc>
        <w:tc>
          <w:tcPr>
            <w:tcW w:w="1920" w:type="dxa"/>
            <w:vAlign w:val="bottom"/>
            <w:tcBorders>
              <w:bottom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18,174</w:t>
            </w:r>
          </w:p>
        </w:tc>
        <w:tc>
          <w:tcPr>
            <w:tcW w:w="1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1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0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jc w:val="center"/>
              <w:ind w:left="6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80" w:type="dxa"/>
            <w:vAlign w:val="bottom"/>
          </w:tcPr>
          <w:p>
            <w:pPr>
              <w:jc w:val="right"/>
              <w:ind w:right="6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jc w:val="center"/>
              <w:ind w:left="670"/>
              <w:spacing w:after="0"/>
              <w:rPr>
                <w:sz w:val="20"/>
                <w:szCs w:val="20"/>
                <w:color w:val="auto"/>
              </w:rPr>
            </w:pPr>
            <w:r>
              <w:rPr>
                <w:rFonts w:ascii="Arial" w:cs="Arial" w:eastAsia="Arial" w:hAnsi="Arial"/>
                <w:sz w:val="18"/>
                <w:szCs w:val="18"/>
                <w:color w:val="auto"/>
                <w:w w:val="89"/>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80" w:type="dxa"/>
            <w:vAlign w:val="bottom"/>
          </w:tcPr>
          <w:p>
            <w:pPr>
              <w:jc w:val="right"/>
              <w:ind w:right="9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portion of deferred revenues</w:t>
            </w:r>
          </w:p>
        </w:tc>
        <w:tc>
          <w:tcPr>
            <w:tcW w:w="1920" w:type="dxa"/>
            <w:vAlign w:val="bottom"/>
            <w:tcBorders>
              <w:bottom w:val="single" w:sz="8" w:color="CCEEFF"/>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Straight-line management fee waiver</w:t>
            </w:r>
          </w:p>
        </w:tc>
        <w:tc>
          <w:tcPr>
            <w:tcW w:w="19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16,180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11,974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26,057</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23,743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10. Long-Term Debt and Revolving Lines of Credit</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Total debt at March 31, 2017 and December 31, 2016 consists of the following:</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28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March 31, 2017</w:t>
            </w:r>
          </w:p>
        </w:tc>
        <w:tc>
          <w:tcPr>
            <w:tcW w:w="320" w:type="dxa"/>
            <w:vAlign w:val="bottom"/>
          </w:tcPr>
          <w:p>
            <w:pPr>
              <w:spacing w:after="0"/>
              <w:rPr>
                <w:sz w:val="24"/>
                <w:szCs w:val="24"/>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r>
      <w:tr>
        <w:trPr>
          <w:trHeight w:val="34"/>
        </w:trPr>
        <w:tc>
          <w:tcPr>
            <w:tcW w:w="280" w:type="dxa"/>
            <w:vAlign w:val="bottom"/>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466,813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472,875</w:t>
            </w:r>
          </w:p>
        </w:tc>
      </w:tr>
      <w:tr>
        <w:trPr>
          <w:trHeight w:val="284"/>
        </w:trPr>
        <w:tc>
          <w:tcPr>
            <w:tcW w:w="280" w:type="dxa"/>
            <w:vAlign w:val="bottom"/>
          </w:tcPr>
          <w:p>
            <w:pPr>
              <w:spacing w:after="0"/>
              <w:rPr>
                <w:sz w:val="24"/>
                <w:szCs w:val="24"/>
                <w:color w:val="auto"/>
              </w:rPr>
            </w:pPr>
          </w:p>
        </w:tc>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 A-2</w:t>
            </w: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400,000</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375,000</w:t>
            </w:r>
          </w:p>
        </w:tc>
      </w:tr>
      <w:tr>
        <w:trPr>
          <w:trHeight w:val="244"/>
        </w:trPr>
        <w:tc>
          <w:tcPr>
            <w:tcW w:w="28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866,813</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847,875</w:t>
            </w:r>
          </w:p>
        </w:tc>
      </w:tr>
      <w:tr>
        <w:trPr>
          <w:trHeight w:val="284"/>
        </w:trPr>
        <w:tc>
          <w:tcPr>
            <w:tcW w:w="280" w:type="dxa"/>
            <w:vAlign w:val="bottom"/>
          </w:tcPr>
          <w:p>
            <w:pPr>
              <w:spacing w:after="0"/>
              <w:rPr>
                <w:sz w:val="24"/>
                <w:szCs w:val="24"/>
                <w:color w:val="auto"/>
              </w:rPr>
            </w:pPr>
          </w:p>
        </w:tc>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loan fees</w:t>
            </w: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17,816</w:t>
            </w: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18,610</w:t>
            </w:r>
          </w:p>
        </w:tc>
      </w:tr>
      <w:tr>
        <w:trPr>
          <w:trHeight w:val="257"/>
        </w:trPr>
        <w:tc>
          <w:tcPr>
            <w:tcW w:w="28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 of unamortized loan fees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848,997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829,265</w:t>
            </w:r>
          </w:p>
        </w:tc>
      </w:tr>
      <w:tr>
        <w:trPr>
          <w:trHeight w:val="20"/>
        </w:trPr>
        <w:tc>
          <w:tcPr>
            <w:tcW w:w="2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11"/>
        </w:trPr>
        <w:tc>
          <w:tcPr>
            <w:tcW w:w="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28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32,041</w:t>
            </w:r>
          </w:p>
        </w:tc>
      </w:tr>
      <w:tr>
        <w:trPr>
          <w:trHeight w:val="243"/>
        </w:trPr>
        <w:tc>
          <w:tcPr>
            <w:tcW w:w="2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810,873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797,224</w:t>
            </w:r>
          </w:p>
        </w:tc>
      </w:tr>
    </w:tbl>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of March 31, 2017, our indebtedness totaled $866.8 million in term loans with an annualized effective interest rate of approximately 3.91% after considering the impact of the interest rate swap contract and unamortized loan costs. The balance consists of the $466.8 million Term Loan A-1 at a variable rate (3.73% as of March 31, 2017) that resets monthly based on one month LIBOR plus a margin of 2.75%, and the $400 million Term Loan A-2 at a variable rate (3.98% as of March 31, 2017) that resets monthly based on one month LIBOR plus a margin of 3.00%. The Term Loan A-1 requires quarterly principal repayments of $6.1 million through June 30, 2017, then increasing to $12.1 million quarterly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ind w:left="660" w:right="1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660" w:right="60" w:hanging="328"/>
        <w:spacing w:after="0" w:line="27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ind w:left="660" w:right="48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These ratios are generally less restrictive than the covenant ratios the Company had been required to comply with under its previously existing debt arrangements. As shown below, as of March 31, 2017, the Company was in compliance with the financial covenants in its credit agreements.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Actual</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Covenant Requirement</w:t>
            </w:r>
          </w:p>
        </w:tc>
      </w:tr>
      <w:tr>
        <w:trPr>
          <w:trHeight w:val="34"/>
        </w:trPr>
        <w:tc>
          <w:tcPr>
            <w:tcW w:w="56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Leverage Ratio</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3.75 or Lower</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Debt Service Coverage Ratio</w:t>
            </w:r>
          </w:p>
        </w:tc>
        <w:tc>
          <w:tcPr>
            <w:tcW w:w="134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r>
      <w:tr>
        <w:trPr>
          <w:trHeight w:val="27"/>
        </w:trPr>
        <w:tc>
          <w:tcPr>
            <w:tcW w:w="5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Liquidity Balance</w:t>
            </w: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 million</w:t>
            </w: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$25 million or Higher</w:t>
            </w: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11.   Segment Information</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recent acquisition of nTelos, the Wireless segment had provided digital wireless service to a portion of a four-state area covering the region from Harrisburg, York and Altoona, Pennsylvania, to Harrisonburg, Virginia, as a Sprint PCS Affiliate. With the recent acquisition, the Company's wireless service has expanded to include south-central and western Virginia, West Virginia, and small portions of Kentucky and Ohio. This segment also owns cell site towers built on leased land, and leases space on these towers to both affiliates and non-affiliated service providers.</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Arial" w:cs="Arial" w:eastAsia="Arial" w:hAnsi="Arial"/>
                <w:sz w:val="18"/>
                <w:szCs w:val="18"/>
                <w:color w:val="auto"/>
              </w:rPr>
              <w:t>Three months ended March 31, 2017</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108,186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26,411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139,645</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6,042</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2,035</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6,158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114,228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28,446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153,880</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567</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115,463</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29,013</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19,154</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153,880</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38,318</w:t>
            </w:r>
          </w:p>
        </w:tc>
        <w:tc>
          <w:tcPr>
            <w:tcW w:w="3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15,228</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9,273</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(9,058)</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53,761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28,464</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4,858</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5,847</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3,792</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35,752</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5,788</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3,132</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44,804</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106,326</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25,874</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14,081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6,676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143,207</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9,137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3,139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5,073</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March 31, 2016</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52,179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24,340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81,479</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3,203</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1,846</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6,043</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55,382</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26,186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92,571</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7,376</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(8,772)</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56,518</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26,446</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18,379</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(8,772)</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92,571</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16,578</w:t>
            </w:r>
          </w:p>
        </w:tc>
        <w:tc>
          <w:tcPr>
            <w:tcW w:w="3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8,643</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(8,106)</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31,762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11,514</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5,108</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3,865</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8,494</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6,095</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17,739</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36,586</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25,850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13,281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4,314</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(8,772)</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71,259</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19,932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596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(loss) to consolidated income (loss) before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gridSpan w:val="3"/>
          </w:tcPr>
          <w:p>
            <w:pPr>
              <w:jc w:val="right"/>
              <w:ind w:right="7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3"/>
          </w:tcPr>
          <w:p>
            <w:pPr>
              <w:jc w:val="right"/>
              <w:ind w:right="117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34"/>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(9,100)</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Non-operating income, net</w:t>
            </w:r>
          </w:p>
        </w:tc>
        <w:tc>
          <w:tcPr>
            <w:tcW w:w="2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1,375</w:t>
            </w:r>
          </w:p>
        </w:tc>
        <w:tc>
          <w:tcPr>
            <w:tcW w:w="2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7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1,039,211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1,101,716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Cable</w:t>
            </w:r>
          </w:p>
        </w:tc>
        <w:tc>
          <w:tcPr>
            <w:tcW w:w="28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220,519</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218,471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Wireline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116,390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115,282</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1,070,204</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1,059,898</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totals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2,446,324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2,495,367</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(993,335)</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(1,010,960)</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totals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1,452,989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1,484,407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tab/>
        <w:t>Income Taxes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2013 are no longer subject to examination; net operating losses acquired in the nTelos acquisition are open to examination from 2002 forward. The Company is not subject to any state or federal income tax audits as of March 31, 2017.</w:t>
      </w:r>
    </w:p>
    <w:p>
      <w:pPr>
        <w:spacing w:after="0" w:line="18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Adoption of New Accounting Principles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2017, the Company adopted one new accounting principle: Accounting Standards Update ("ASU") No. 2015-11, "Inventory: Simplifying the Measurement of Inventory". This ASU changes the measurement principle for inventory from the lower of cost or market to lower of cost and net realizable value. The ASU also eliminates the requirement for entities to consider replacement cost or net realizable value less an approximately normal profit margin when measuring inventory. The adoption of this ASU did not have a significant impact on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14. Subsequent Events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March 9, 2017, the Company and Sprint entered into Addendum XX to the Sprint PCS Management Agreement. Addendum XX provides for (i) an expansion of the Company’s “Service Area” (as defined in the Sprint PCS Management Agreement) to include certain areas in Kentucky, Maryland, Ohio and West Virginia (the “</w:t>
      </w:r>
      <w:r>
        <w:rPr>
          <w:rFonts w:ascii="Arial" w:cs="Arial" w:eastAsia="Arial" w:hAnsi="Arial"/>
          <w:sz w:val="17"/>
          <w:szCs w:val="17"/>
          <w:u w:val="single" w:color="auto"/>
          <w:color w:val="auto"/>
        </w:rPr>
        <w:t>Expansion Area</w:t>
      </w:r>
      <w:r>
        <w:rPr>
          <w:rFonts w:ascii="Arial" w:cs="Arial" w:eastAsia="Arial" w:hAnsi="Arial"/>
          <w:sz w:val="17"/>
          <w:szCs w:val="17"/>
          <w:color w:val="auto"/>
        </w:rPr>
        <w:t>”), (ii) certain network build out requirements in the Expansion Area over the next three years, (iii) the Company’s provision of prepaid field sales support to Sprint and its affiliates in the Service Area, (iv) Sprint’s provision of spectrum use to the Company in the Expansion Area, (v) the addition of Horizon Personal Communications, LLC, as a party to the Sprint PCS Management Agreement and the Sprint PCS Services Agreement (collectively, the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and (vi) certain other amendments to the Affiliate Agreements.</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execution of Addendum XX, on March 9, 2017, the Company and certain affiliates of Sprint entered into an agreement to, among other things, transfer to Sprint certain customers in the Expansion Area and the underlying customer agreements, and to transition the provision of network coverage in the Expansion Area from Sprint to the Company. The expanded territory includes approximately 500 thousand market POPs and approximately 21 thousand Sprint customers.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Sprint closed on this transaction on April 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2016. The following management’s discussion and analysis should be read in conjunction with the Company’s Annual Report on Form 10-K for its fiscal year ended December 31, 2016, including the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188" w:lineRule="exact"/>
        <w:rPr>
          <w:sz w:val="20"/>
          <w:szCs w:val="20"/>
          <w:color w:val="auto"/>
        </w:rPr>
      </w:pPr>
    </w:p>
    <w:p>
      <w:pPr>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Wireless segment has historically provided digital wireless service as a Sprint PCS Affiliate to a portion of a four-state area covering the region from Harrisburg, York and Altoona, Pennsylvania, to Harrisonburg, Virginia. Following the acquisition of nTelos on May 6, 2016, the Company’s wireless service area expanded to include south-central and western Virginia, West Virginia, and small portions of Kentucky and Ohio. In these areas, we are the exclusive provider of Sprint-branded wireless mobility communications network products and services on the 800 MHz, 1900 MHz and 2.5 GHz bands. This segment also owns cell site towers built on leased land, and leases space on these towers to both affiliates and non-affiliated service providers.</w:t>
      </w:r>
    </w:p>
    <w:p>
      <w:pPr>
        <w:spacing w:after="0" w:line="85"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 fourth segment, Other, primarily includes Shenandoah Telecommunications Company, the parent holding company, and includes corporate costs of executive management, information technology, legal, finance, and human resources. This segment also includes certain acquisition and integration costs primarily consisting of severance accruals for short-term nTelos employees to be separated as integration activities wind down and transaction related expenses such as investment advisor, legal and other professional fees.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Acquisition of nTelos and Exchange with Sprint: </w:t>
      </w:r>
      <w:r>
        <w:rPr>
          <w:rFonts w:ascii="Arial" w:cs="Arial" w:eastAsia="Arial" w:hAnsi="Arial"/>
          <w:sz w:val="18"/>
          <w:szCs w:val="18"/>
          <w:color w:val="auto"/>
        </w:rPr>
        <w:t>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$667.8 million, net of cash acquired. The purchase price was financed by a credit facility arranged by CoBank, ACB. We have included the operations of nTelos for financial reporting purposes for periods subsequent to the acquisition.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expects to incur approximately $23 million of integration and acquisition expenses associated with this transaction in 2017, in addition to the $54.7 million of such costs incurred during 2016. We have incurred $7.1 million of these costs in the three months ended March 31, 2017. These costs include $0.1 million reflected in cost of goods and services and $2.5 million reflected in selling, general and administrative costs in the three month period ended March 31, 2017. In addition to the approximately $78 million of incurred and expected expenses described above, the Company also incurred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640"/>
        <w:spacing w:after="0" w:line="277" w:lineRule="auto"/>
        <w:rPr>
          <w:sz w:val="20"/>
          <w:szCs w:val="20"/>
          <w:color w:val="auto"/>
        </w:rPr>
      </w:pPr>
      <w:r>
        <w:rPr>
          <w:rFonts w:ascii="Arial" w:cs="Arial" w:eastAsia="Arial" w:hAnsi="Arial"/>
          <w:sz w:val="18"/>
          <w:szCs w:val="18"/>
          <w:color w:val="auto"/>
        </w:rPr>
        <w:t xml:space="preserve">approximately $23 million of debt issuance costs in 2015 and 2016 relating to this transaction, for a total expected cost of $101 million. </w:t>
      </w:r>
      <w:r>
        <w:rPr>
          <w:rFonts w:ascii="Arial" w:cs="Arial" w:eastAsia="Arial" w:hAnsi="Arial"/>
          <w:sz w:val="18"/>
          <w:szCs w:val="18"/>
          <w:b w:val="1"/>
          <w:bCs w:val="1"/>
          <w:color w:val="auto"/>
        </w:rPr>
        <w:t>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with the Three Months Ended March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first quarter of 2017 and 2016 are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3"/>
          </w:tcPr>
          <w:p>
            <w:pPr>
              <w:jc w:val="right"/>
              <w:ind w:right="85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Arial" w:cs="Arial" w:eastAsia="Arial" w:hAnsi="Arial"/>
                <w:sz w:val="18"/>
                <w:szCs w:val="18"/>
                <w:color w:val="auto"/>
              </w:rPr>
              <w:t>March 31,</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1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2016</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153,880</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92,571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61,309</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143,207</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71,259</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71,948</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10,673</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21,312</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(10,639)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324"/>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(7,481)</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1,375</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556</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819</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147.3</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2,948</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20,249</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(17,301)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607</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6,368</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(5,761)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2,341</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13,881</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(11,540)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March 31, 2017, operating revenues increased $61.3 million, or 66.2%. Wireless segment revenues increased $58.9 million compared to the first quarter of 2016; nearly all of this increase was a result of the acquisition of nTelos on May 6, 2016. Cable segment revenues grew $2.6 million primarily as a result of 2.2% growth in average subscriber counts and an increase in revenue per subscriber. Wireline segment revenues increased $0.8 million, primarily due to increases in fiber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Total operating expenses were $143.2 million in the first quarter of 2017 compared to $71.3 million in the prior year period. Operating expenses in the first quarter of 2017 included $4.5 million of integration and acquisition costs associated with the nTelos acquisition, including $3.8 million on the Wireless segment and $0.7 million in the Other segment. Selling, general and administrative expenses and cost of goods and services in the Wireless segment included an additional $2.6 million of nTelos-related customer care and other back office costs related to supporting the nTelos legacy customers until the migration of these customers is completed. Wireless segment operating expenses increased $63.3 million (excluding the $6.4 million of customer care, integration and acquisition expenses described above), primarily due to on-going costs associated with the acquired nTelos operations including $27.3 million of incremental depreciation and amortization expenses. All other operating expenses increased $2.2 million, net of eliminations of intersegment activities.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Acquisition and integration costs on the Other segment primarily consisted of transaction related expenses such as legal and other professional fees. On the Wireless segment, such costs included handsets provided to nTelos subscribers who needed a new phone to transition to the Sprint billing platform, costs associated with terminating duplicative cell site leases and backhaul circuits, and personnel costs associated with short-term nTelos employees required to migrate former nTelos customers to the Sprint back-office.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Interest expense has increased primarily as a result of the incremental borrowings associated with closing the nTelos acquisition and the effect of two interest rate increases implemented by the Federal Reserve in late 2016 and early 2017. The impact of the interest rate increases has been offset by a swap that covers 50% of the outstanding principal under the new debt. Other changes include increased debt cost amortization reflecting the incremental costs of entering into the new debt, partially offset by increased capitalization of interest to capital projects.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actual effective income tax rate decreased from 31.4% for the three months ended March 31, 2016 to 20.6% for the three months ended March 31, 2017. The difference for both periods between the actual effective income tax rate and the statutory income tax rate results primarily from excess tax deductions on share grant vestings and certain stock option exercises, which are recognized as incurred. The Company recognized $1.7 million in excess deductions in the three months ended March 2017 compared to $4.5 million in excess deductions in the same period of 2016; however, the March 31, 2017 excess deductions represented a larger share of pre-tax income, reducing the effective rate more in in the three months ended March 31, 2017 than the three months ended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three months ended March 31, 2017, net income decreased $11.5 million, or 83.1% over March 31, 2016, primarily reflecting increased depreciation and amortization, straight-lining of certain Sprint fee credits, and higher interest on the increased balance of outstanding debt as a result of the nTelos acquisition, net of taxes.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Wireless segment historically provided digital wireless service to a portion of a four-state area covering the region from Harrisburg, York and Altoona, Pennsylvania, to Harrisonburg, Virginia, through Shenandoah Personal Communications, LLC (“PCS”), a Sprint PCS Affiliate. Following the acquisition of nTelos in May 2016, our wireless service territory expanded to include south-central and western Virginia, West Virginia, and small portions of Kentucky and Ohio. Through Shenandoah Mobile, LLC (“Mobile”), this segment also leases land on which it builds Company-owned cell towers, which it leases to affiliates and non-affiliated wireless service providers, throughout the same multi-state area described above.</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Since January 1, 2016, the fees retained by Sprint are 16.6%, and certain revenue and expense items previously included in these fees became separately settled.</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offer prepaid wireless products and services in our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20" w:type="dxa"/>
            <w:vAlign w:val="bottom"/>
            <w:gridSpan w:val="2"/>
          </w:tcPr>
          <w:p>
            <w:pPr>
              <w:ind w:left="420"/>
              <w:spacing w:after="0"/>
              <w:rPr>
                <w:sz w:val="20"/>
                <w:szCs w:val="20"/>
                <w:color w:val="auto"/>
              </w:rPr>
            </w:pPr>
            <w:r>
              <w:rPr>
                <w:rFonts w:ascii="Arial" w:cs="Arial" w:eastAsia="Arial" w:hAnsi="Arial"/>
                <w:sz w:val="18"/>
                <w:szCs w:val="18"/>
                <w:color w:val="auto"/>
              </w:rPr>
              <w:t>March 31,</w:t>
            </w:r>
          </w:p>
        </w:tc>
        <w:tc>
          <w:tcPr>
            <w:tcW w:w="1700" w:type="dxa"/>
            <w:vAlign w:val="bottom"/>
            <w:gridSpan w:val="2"/>
          </w:tcPr>
          <w:p>
            <w:pPr>
              <w:ind w:left="280"/>
              <w:spacing w:after="0"/>
              <w:rPr>
                <w:sz w:val="20"/>
                <w:szCs w:val="20"/>
                <w:color w:val="auto"/>
              </w:rPr>
            </w:pPr>
            <w:r>
              <w:rPr>
                <w:rFonts w:ascii="Arial" w:cs="Arial" w:eastAsia="Arial" w:hAnsi="Arial"/>
                <w:sz w:val="18"/>
                <w:szCs w:val="18"/>
                <w:color w:val="auto"/>
              </w:rPr>
              <w:t>December 31,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December 31,</w:t>
            </w:r>
          </w:p>
        </w:tc>
      </w:tr>
      <w:tr>
        <w:trPr>
          <w:trHeight w:val="230"/>
        </w:trPr>
        <w:tc>
          <w:tcPr>
            <w:tcW w:w="478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March 31, 2016</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34"/>
        </w:trPr>
        <w:tc>
          <w:tcPr>
            <w:tcW w:w="47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PCS Subscribers – Postpaid</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717,150</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722,562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315,231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312,512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Retail PCS Subscribers – Prepaid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243,557</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236,138</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142,539</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142,840</w:t>
            </w: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Market POPS (000) (1)</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5,536</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PCS Covered POPS (000) (1)</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4,836</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4,807</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2,224</w:t>
            </w: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CDMA Base Stations (sites)</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Non-affiliate Cell Site Leases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47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changes from March 31, 2016 to December 31, 2016 shown above include the effects of the nTelos acquisition and the exchange with Sprint on May 6, 2016.</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Index</w:t>
              </w:r>
            </w:hyperlink>
          </w:p>
        </w:tc>
        <w:tc>
          <w:tcPr>
            <w:tcW w:w="2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27"/>
        </w:trPr>
        <w:tc>
          <w:tcPr>
            <w:tcW w:w="400" w:type="dxa"/>
            <w:vAlign w:val="bottom"/>
            <w:tcBorders>
              <w:top w:val="single" w:sz="8" w:color="0000EE"/>
            </w:tcBorders>
          </w:tcPr>
          <w:p>
            <w:pPr>
              <w:spacing w:after="0"/>
              <w:rPr>
                <w:sz w:val="24"/>
                <w:szCs w:val="24"/>
                <w:color w:val="auto"/>
              </w:rPr>
            </w:pPr>
          </w:p>
        </w:tc>
        <w:tc>
          <w:tcPr>
            <w:tcW w:w="4620" w:type="dxa"/>
            <w:vAlign w:val="bottom"/>
          </w:tcPr>
          <w:p>
            <w:pPr>
              <w:spacing w:after="0"/>
              <w:rPr>
                <w:sz w:val="24"/>
                <w:szCs w:val="24"/>
                <w:color w:val="auto"/>
              </w:rPr>
            </w:pPr>
          </w:p>
        </w:tc>
        <w:tc>
          <w:tcPr>
            <w:tcW w:w="336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30"/>
        </w:trPr>
        <w:tc>
          <w:tcPr>
            <w:tcW w:w="4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March 31,</w:t>
            </w:r>
          </w:p>
        </w:tc>
        <w:tc>
          <w:tcPr>
            <w:tcW w:w="1220" w:type="dxa"/>
            <w:vAlign w:val="bottom"/>
          </w:tcPr>
          <w:p>
            <w:pPr>
              <w:spacing w:after="0"/>
              <w:rPr>
                <w:sz w:val="20"/>
                <w:szCs w:val="20"/>
                <w:color w:val="auto"/>
              </w:rPr>
            </w:pPr>
          </w:p>
        </w:tc>
      </w:tr>
      <w:tr>
        <w:trPr>
          <w:trHeight w:val="34"/>
        </w:trPr>
        <w:tc>
          <w:tcPr>
            <w:tcW w:w="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140" w:type="dxa"/>
            <w:vAlign w:val="bottom"/>
          </w:tcPr>
          <w:p>
            <w:pPr>
              <w:jc w:val="right"/>
              <w:ind w:right="1090"/>
              <w:spacing w:after="0"/>
              <w:rPr>
                <w:sz w:val="20"/>
                <w:szCs w:val="20"/>
                <w:color w:val="auto"/>
              </w:rPr>
            </w:pPr>
            <w:r>
              <w:rPr>
                <w:rFonts w:ascii="Arial" w:cs="Arial" w:eastAsia="Arial" w:hAnsi="Arial"/>
                <w:sz w:val="18"/>
                <w:szCs w:val="18"/>
                <w:color w:val="auto"/>
              </w:rPr>
              <w:t>2017</w:t>
            </w: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2016</w:t>
            </w:r>
          </w:p>
        </w:tc>
      </w:tr>
      <w:tr>
        <w:trPr>
          <w:trHeight w:val="34"/>
        </w:trPr>
        <w:tc>
          <w:tcPr>
            <w:tcW w:w="4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21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38,701</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17,356</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Net PCS Subscriber Additions (Losses) – Postpaid</w:t>
            </w:r>
          </w:p>
        </w:tc>
        <w:tc>
          <w:tcPr>
            <w:tcW w:w="2140" w:type="dxa"/>
            <w:vAlign w:val="bottom"/>
          </w:tcPr>
          <w:p>
            <w:pPr>
              <w:jc w:val="right"/>
              <w:ind w:right="610"/>
              <w:spacing w:after="0"/>
              <w:rPr>
                <w:sz w:val="20"/>
                <w:szCs w:val="20"/>
                <w:color w:val="auto"/>
              </w:rPr>
            </w:pPr>
            <w:r>
              <w:rPr>
                <w:rFonts w:ascii="Arial" w:cs="Arial" w:eastAsia="Arial" w:hAnsi="Arial"/>
                <w:sz w:val="18"/>
                <w:szCs w:val="18"/>
                <w:color w:val="auto"/>
              </w:rPr>
              <w:t>(5,412)</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2,719</w:t>
            </w:r>
          </w:p>
        </w:tc>
      </w:tr>
      <w:tr>
        <w:trPr>
          <w:trHeight w:val="27"/>
        </w:trPr>
        <w:tc>
          <w:tcPr>
            <w:tcW w:w="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PCS Subscriber Additions – Prepaid</w:t>
            </w:r>
          </w:p>
        </w:tc>
        <w:tc>
          <w:tcPr>
            <w:tcW w:w="21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42,168</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21,231</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Net PCS Subscriber Additions (Losses) – Prepaid</w:t>
            </w:r>
          </w:p>
        </w:tc>
        <w:tc>
          <w:tcPr>
            <w:tcW w:w="2140" w:type="dxa"/>
            <w:vAlign w:val="bottom"/>
          </w:tcPr>
          <w:p>
            <w:pPr>
              <w:jc w:val="right"/>
              <w:ind w:right="670"/>
              <w:spacing w:after="0"/>
              <w:rPr>
                <w:sz w:val="20"/>
                <w:szCs w:val="20"/>
                <w:color w:val="auto"/>
              </w:rPr>
            </w:pPr>
            <w:r>
              <w:rPr>
                <w:rFonts w:ascii="Arial" w:cs="Arial" w:eastAsia="Arial" w:hAnsi="Arial"/>
                <w:sz w:val="18"/>
                <w:szCs w:val="18"/>
                <w:color w:val="auto"/>
              </w:rPr>
              <w:t>7,419</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(301)</w:t>
            </w:r>
          </w:p>
        </w:tc>
      </w:tr>
      <w:tr>
        <w:trPr>
          <w:trHeight w:val="27"/>
        </w:trPr>
        <w:tc>
          <w:tcPr>
            <w:tcW w:w="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PCS Average Monthly Retail Churn % - Postpaid (2)</w:t>
            </w:r>
          </w:p>
        </w:tc>
        <w:tc>
          <w:tcPr>
            <w:tcW w:w="21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2.05%</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PCS Average Monthly Retail Churn % - Prepaid (2)</w:t>
            </w:r>
          </w:p>
        </w:tc>
        <w:tc>
          <w:tcPr>
            <w:tcW w:w="2140" w:type="dxa"/>
            <w:vAlign w:val="bottom"/>
          </w:tcPr>
          <w:p>
            <w:pPr>
              <w:jc w:val="right"/>
              <w:ind w:right="530"/>
              <w:spacing w:after="0"/>
              <w:rPr>
                <w:sz w:val="20"/>
                <w:szCs w:val="20"/>
                <w:color w:val="auto"/>
              </w:rPr>
            </w:pPr>
            <w:r>
              <w:rPr>
                <w:rFonts w:ascii="Arial" w:cs="Arial" w:eastAsia="Arial" w:hAnsi="Arial"/>
                <w:sz w:val="18"/>
                <w:szCs w:val="18"/>
                <w:color w:val="auto"/>
              </w:rPr>
              <w:t>4.86%</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5.05%</w:t>
            </w:r>
          </w:p>
        </w:tc>
      </w:tr>
    </w:tbl>
    <w:p>
      <w:pPr>
        <w:spacing w:after="0" w:line="229" w:lineRule="exact"/>
        <w:rPr>
          <w:sz w:val="20"/>
          <w:szCs w:val="20"/>
          <w:color w:val="auto"/>
        </w:rPr>
      </w:pPr>
    </w:p>
    <w:p>
      <w:pPr>
        <w:ind w:left="660" w:right="12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w w:val="92"/>
              </w:rPr>
              <w:t>Three Months Ended March 31, 2017 Compared with the Three Months Ended March 31, 2016</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2016</w:t>
            </w:r>
          </w:p>
        </w:tc>
        <w:tc>
          <w:tcPr>
            <w:tcW w:w="4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8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108,186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52,179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56,007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2,882</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132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1,691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1,115</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115,463</w:t>
            </w: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56,518</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58,945</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38,318</w:t>
            </w: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16,578</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21,740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28,464</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11,514</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16,950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3,792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35,752</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8,494</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27,258</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71"/>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106,326</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36,586</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69,740</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9,137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19,932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(10,795)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62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Wireless service revenue increased $56.0 million, or 107.3%, for the three months ended March 31, 2017, compared to the March 31, 2016, period. See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Service Revenues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2016</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64"/>
        </w:trPr>
        <w:tc>
          <w:tcPr>
            <w:tcW w:w="596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92,989</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45,638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47,351</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Sprint fees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(3,732)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Net service fee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(3,934)</w:t>
            </w:r>
          </w:p>
        </w:tc>
        <w:tc>
          <w:tcPr>
            <w:tcW w:w="420" w:type="dxa"/>
            <w:vAlign w:val="bottom"/>
          </w:tcPr>
          <w:p>
            <w:pPr>
              <w:spacing w:after="0"/>
              <w:rPr>
                <w:sz w:val="21"/>
                <w:szCs w:val="21"/>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(3,266)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7,383</w:t>
            </w: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7,383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(7,585)</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385</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net billings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Gross billings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25,945</w:t>
            </w:r>
          </w:p>
        </w:tc>
        <w:tc>
          <w:tcPr>
            <w:tcW w:w="4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13,083</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12,862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98.3</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Sprint 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(772)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r>
      <w:tr>
        <w:trPr>
          <w:trHeight w:val="284"/>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1,557</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1,557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37"/>
        </w:trPr>
        <w:tc>
          <w:tcPr>
            <w:tcW w:w="5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25,945</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12,298</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13,647</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111.0</w:t>
            </w:r>
          </w:p>
        </w:tc>
      </w:tr>
      <w:tr>
        <w:trPr>
          <w:trHeight w:val="27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other revenues</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5,636</w:t>
            </w: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1,828</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3,808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Accounting adjustments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expanded affiliate agreement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(4,978)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84"/>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Straight-line adjustment - management fee waiver</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(4,206)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76"/>
        </w:trPr>
        <w:tc>
          <w:tcPr>
            <w:tcW w:w="5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(9,184)</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(9,184)</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64"/>
        </w:trPr>
        <w:tc>
          <w:tcPr>
            <w:tcW w:w="596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108,186</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52,179</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56,007</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20" w:firstLine="8"/>
        <w:spacing w:after="0" w:line="273" w:lineRule="auto"/>
        <w:tabs>
          <w:tab w:leader="none" w:pos="204"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changes in Wireless segment service revenues shown in the table above are almost exclusively a result of the nTelos acquisition in May 2016. Postpaid subscribers have increased by 402 thousand from March 31, 2016 to March 31, 2017 with 387 thousand of them in the former nTelos service area as of March 31, 2017. Prepaid subscribers have increased by 101 thousand over the same time period. There were 110 thousand prepaid subscribers in the former nTelos service area as of March 31, 2017.</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to the subscribers acquired as a result of the acquisition, we recorded an asset related to the changes to the Sprint affiliate agreement, including the right to serve new subscribers in the nTelos footprint, as previously described. That asset is being amortized through the expiration of the current initial term of that contract in 2029 and, as a result, we recorded $5.0 million in amortization in the first quarter of 2017. Sprint agreed to waive certain management fees that they would otherwise be entitled to under the affiliate agreement in exchange for our commitment to buy nTelos, upgrade its network and support the former nTelos and Sprint customers. The fees waived are being recognized on a straight-line basis over the remainder of the initial term of the contract through 2029 and, as a result, we recorded an adjustment of $4.2 million in the first quarter of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related to billings to customers before migration to the Sprint billing system, whereas Sprint retains the billing and related expenses and liabilities under our affiliate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goods and services increased $21.7 million, or 131.1%, in 2017 from the first quarter of 2016. The increase results primarily from increases in cell site rent, power, maintenance and backhaul costs for the incremental 868 cell sites in the nTelos territory of $19.3 million, as well as the related growth in the cost of network technicians to service and maintain these sites of $1.1 million. Cost of goods and services also included $0.1 million of costs to support nTelos legacy billing operations until customers migrate to Sprint’s back office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Selling, general and administrative costs increased $16.9 million, or 147.2%, in the first quarter of 2017 from the comparable 2016 period, again primarily due to the acquisition of nTelos in May 2016. Increases include $3.2 million of incremental separately settled national channel commissions, $4.7 million related to incremental stores acquired as a result of the nTelos acquisition, $0.9 million in incremental sales and marketing efforts to communicate with and migrate the remaining nTelos legacy customers over to the Sprint platforms, and $1.3 million in other administrative costs related to the acquired operations. Costs associated with prepaid wireless offerings increased $4.3 million. Selling, general and administrative costs also included $2.5 million of costs to support nTelos legacy billing operations until customers migrate to Sprint’s back office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Integration and acquisition expenses of $3.8 million in the first quarter of 2017 include approximately $3.7 million for replacement handsets issued to former nTelos subscribers migrated to the Sprint billing platform and $0.7 million in other expenses, partially offset by $0.6 million in reductions of previously estimated costs to terminate duplicative cell site leases and backhaul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Depreciation and amortization increased $27.3 million, or 321%, in the first quarter of 2017 over the comparable 2016 period, due primarily to $20.0 million in incremental depreciation largely on the acquired fixed assets, and $6.7 million in amortization of customer based intangibles recorded in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the Wireline segment. Increases in homes passed, available homes and video customers between December 31, 2015 and March 31, 2016, resulted from the Colane acquisition on January 1, 2016.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March 31,</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72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r>
      <w:tr>
        <w:trPr>
          <w:trHeight w:val="230"/>
        </w:trPr>
        <w:tc>
          <w:tcPr>
            <w:tcW w:w="462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2017</w:t>
            </w:r>
          </w:p>
        </w:tc>
        <w:tc>
          <w:tcPr>
            <w:tcW w:w="154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March 31, 2016</w:t>
            </w: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2015</w:t>
            </w:r>
          </w:p>
        </w:tc>
      </w:tr>
      <w:tr>
        <w:trPr>
          <w:trHeight w:val="34"/>
        </w:trPr>
        <w:tc>
          <w:tcPr>
            <w:tcW w:w="4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Homes Passed (1)</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184,819</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184,710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181,375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172,538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1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Video customers</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47,160</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48,512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50,195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48,184</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30,765</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28,854</w:t>
            </w:r>
          </w:p>
        </w:tc>
        <w:tc>
          <w:tcPr>
            <w:tcW w:w="12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26,895</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24,550</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customer relationships</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77,925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77,366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77,090</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72,734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Video</w:t>
            </w:r>
          </w:p>
        </w:tc>
        <w:tc>
          <w:tcPr>
            <w:tcW w:w="1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Customers (3)</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49,384</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52,468</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50,215</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26.7%</w:t>
            </w:r>
          </w:p>
        </w:tc>
        <w:tc>
          <w:tcPr>
            <w:tcW w:w="15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28.9%</w:t>
            </w: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Digital video penetration (5)</w:t>
            </w:r>
          </w:p>
        </w:tc>
        <w:tc>
          <w:tcPr>
            <w:tcW w:w="1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183,935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183,826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180,814</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172,538</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61,815</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60,495</w:t>
            </w:r>
          </w:p>
        </w:tc>
        <w:tc>
          <w:tcPr>
            <w:tcW w:w="12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58,273</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55,131</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Voice</w:t>
            </w:r>
          </w:p>
        </w:tc>
        <w:tc>
          <w:tcPr>
            <w:tcW w:w="18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181,198</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181,089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178,077</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169,801</w:t>
            </w: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21,647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20,786</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20,166</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132,846</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132,465</w:t>
            </w:r>
          </w:p>
        </w:tc>
        <w:tc>
          <w:tcPr>
            <w:tcW w:w="12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131,527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125,512</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3,233</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2,955</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2,844</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100,799</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92,615</w:t>
            </w:r>
          </w:p>
        </w:tc>
        <w:tc>
          <w:tcPr>
            <w:tcW w:w="12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80,727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76,949</w:t>
            </w:r>
          </w:p>
        </w:tc>
      </w:tr>
      <w:tr>
        <w:trPr>
          <w:trHeight w:val="27"/>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Revenue Generating Units</w:t>
            </w:r>
          </w:p>
        </w:tc>
        <w:tc>
          <w:tcPr>
            <w:tcW w:w="1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132,419</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131,218</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129,604</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124,054</w:t>
            </w:r>
          </w:p>
        </w:tc>
      </w:tr>
      <w:tr>
        <w:trPr>
          <w:trHeight w:val="27"/>
        </w:trPr>
        <w:tc>
          <w:tcPr>
            <w:tcW w:w="46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4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63" w:lineRule="exact"/>
        <w:rPr>
          <w:rFonts w:ascii="Arial" w:cs="Arial" w:eastAsia="Arial" w:hAnsi="Arial"/>
          <w:sz w:val="18"/>
          <w:szCs w:val="18"/>
          <w:color w:val="auto"/>
        </w:rPr>
      </w:pPr>
    </w:p>
    <w:p>
      <w:pPr>
        <w:ind w:left="660" w:right="40" w:hanging="328"/>
        <w:spacing w:after="0" w:line="30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6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with the Three Months Ended March 31, 2016</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3"/>
                <w:szCs w:val="23"/>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color w:val="auto"/>
                <w:w w:val="99"/>
              </w:rPr>
              <w:t>2016</w:t>
            </w:r>
          </w:p>
        </w:tc>
        <w:tc>
          <w:tcPr>
            <w:tcW w:w="440" w:type="dxa"/>
            <w:vAlign w:val="bottom"/>
          </w:tcPr>
          <w:p>
            <w:pPr>
              <w:spacing w:after="0"/>
              <w:rPr>
                <w:sz w:val="23"/>
                <w:szCs w:val="23"/>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26,411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24,340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2,071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2,602</w:t>
            </w: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2,106</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496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29,013</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26,446</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2,567</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15,228</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14,647</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581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4,858</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5,788</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6,095</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(307)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1"/>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25,874</w:t>
            </w: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25,850</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2,543</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426.7</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Cable segment service revenues increased $2.1 million, or 8.5%, due to a 2.2% increase in average revenue generating units, video rate increases in January 2017 to offset increases in programming costs, and new and existing customers selecting higher-speed data (HSD) access packages.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$0.5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Cable segment cost of goods and services increased $0.6 million, or 4.0%, in the first quarter of 2017 over the comparable 2016 period. The increase resulted from higher network and maintenance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decreased $0.3 million against the prior year quarter due to lower advertising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color w:val="auto"/>
              </w:rPr>
              <w:t>March 31,</w:t>
            </w: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Dec. 31,</w:t>
            </w:r>
          </w:p>
        </w:tc>
        <w:tc>
          <w:tcPr>
            <w:tcW w:w="174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Dec. 31,</w:t>
            </w:r>
          </w:p>
        </w:tc>
      </w:tr>
      <w:tr>
        <w:trPr>
          <w:trHeight w:val="230"/>
        </w:trPr>
        <w:tc>
          <w:tcPr>
            <w:tcW w:w="4760" w:type="dxa"/>
            <w:vAlign w:val="bottom"/>
          </w:tcPr>
          <w:p>
            <w:pPr>
              <w:spacing w:after="0"/>
              <w:rPr>
                <w:sz w:val="20"/>
                <w:szCs w:val="20"/>
                <w:color w:val="auto"/>
              </w:rPr>
            </w:pPr>
          </w:p>
        </w:tc>
        <w:tc>
          <w:tcPr>
            <w:tcW w:w="1840" w:type="dxa"/>
            <w:vAlign w:val="bottom"/>
          </w:tcPr>
          <w:p>
            <w:pPr>
              <w:jc w:val="right"/>
              <w:ind w:right="770"/>
              <w:spacing w:after="0"/>
              <w:rPr>
                <w:sz w:val="20"/>
                <w:szCs w:val="20"/>
                <w:color w:val="auto"/>
              </w:rPr>
            </w:pPr>
            <w:r>
              <w:rPr>
                <w:rFonts w:ascii="Arial" w:cs="Arial" w:eastAsia="Arial" w:hAnsi="Arial"/>
                <w:sz w:val="18"/>
                <w:szCs w:val="18"/>
                <w:color w:val="auto"/>
              </w:rPr>
              <w:t>2017</w:t>
            </w: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March 31, 2016</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34"/>
        </w:trPr>
        <w:tc>
          <w:tcPr>
            <w:tcW w:w="47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Telephone Access Lines (1)</w:t>
            </w:r>
          </w:p>
        </w:tc>
        <w:tc>
          <w:tcPr>
            <w:tcW w:w="1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18,160</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18,443</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19,682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9,134</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9,149</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9,377</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9,476</w:t>
            </w:r>
          </w:p>
        </w:tc>
      </w:tr>
      <w:tr>
        <w:trPr>
          <w:trHeight w:val="27"/>
        </w:trPr>
        <w:tc>
          <w:tcPr>
            <w:tcW w:w="4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Customers (2)</w:t>
            </w:r>
          </w:p>
        </w:tc>
        <w:tc>
          <w:tcPr>
            <w:tcW w:w="1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5,201</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5,264</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5,232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DSL and Cable Modem Subscribers (1)</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14,527</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14,314</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14,200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13,890</w:t>
            </w:r>
          </w:p>
        </w:tc>
      </w:tr>
      <w:tr>
        <w:trPr>
          <w:trHeight w:val="27"/>
        </w:trPr>
        <w:tc>
          <w:tcPr>
            <w:tcW w:w="4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1,997</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1,971</w:t>
            </w:r>
          </w:p>
        </w:tc>
        <w:tc>
          <w:tcPr>
            <w:tcW w:w="17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1,744</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Total Fiber Miles (3)</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145,060</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142,230</w:t>
            </w:r>
          </w:p>
        </w:tc>
        <w:tc>
          <w:tcPr>
            <w:tcW w:w="1740" w:type="dxa"/>
            <w:vAlign w:val="bottom"/>
          </w:tcPr>
          <w:p>
            <w:pPr>
              <w:jc w:val="right"/>
              <w:ind w:right="270"/>
              <w:spacing w:after="0"/>
              <w:rPr>
                <w:sz w:val="20"/>
                <w:szCs w:val="20"/>
                <w:color w:val="auto"/>
              </w:rPr>
            </w:pPr>
            <w:r>
              <w:rPr>
                <w:rFonts w:ascii="Arial" w:cs="Arial" w:eastAsia="Arial" w:hAnsi="Arial"/>
                <w:sz w:val="18"/>
                <w:szCs w:val="18"/>
                <w:color w:val="auto"/>
              </w:rPr>
              <w:t>125,559</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123,891</w:t>
            </w:r>
          </w:p>
        </w:tc>
      </w:tr>
    </w:tbl>
    <w:p>
      <w:pPr>
        <w:spacing w:after="0" w:line="229" w:lineRule="exact"/>
        <w:rPr>
          <w:sz w:val="20"/>
          <w:szCs w:val="20"/>
          <w:color w:val="auto"/>
        </w:rPr>
      </w:pPr>
    </w:p>
    <w:p>
      <w:pPr>
        <w:ind w:left="660" w:right="12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October 1, 2015, we launched cable modem services on our cable plant, and ceased the requirement that a customer have a telephone access line to purchase internet service. As of March 31, 2017, 1,226 customers have purchased cable modem service received via the coaxial cable network.</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16,500 homes.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w w:val="92"/>
              </w:rPr>
              <w:t>Three Months Ended March 31, 2017 Compared with the Three Months Ended March 31, 2016</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80"/>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2016</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5,602</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12,665</w:t>
            </w:r>
          </w:p>
        </w:tc>
        <w:tc>
          <w:tcPr>
            <w:tcW w:w="4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11,969</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696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887</w:t>
            </w: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19,154</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18,379</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775</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91"/>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9,273</w:t>
            </w: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8,643</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630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1,676</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71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3,132</w:t>
            </w: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99</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14,081</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13,281</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800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5,073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operating revenues in the quarter ended March 31, 2017 increased $0.8 million, or 4.2%, against the comparable 2016 period, as a result of increases in fiber and access contracts.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Operating expenses overall increased $0.8 million, or 6.0%, in the quarter ended March 31, 2017, compared to the 2016 quarter. The $0.6 million increase in cost of goods and services primarily resulted from costs to support the increase in carrier access and fiber revenues shown above.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by Sprint, amortization of the affiliate contract expansion intangible reflected as a contra revenue, actuarial gains and losses on pension and other post-retirement benefit plans,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by Sprint over the next approximately six-year period, showing Sprint's support for our acquisition and our commitments to enhance the network.</w:t>
      </w:r>
    </w:p>
    <w:p>
      <w:pPr>
        <w:spacing w:after="0" w:line="16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and Continuing OIBDA and similar measures are widely used by investors and financial analysts as measures of our financial performance over time, and to compare our financial performance with that of other companies in our industry.</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Adjusted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and Continuing OIBDA do not reflect cash requirements for such replacements;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and Continuing OIBDA differently than we do, limiting its usefulness as a comparative measure.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three months ended March 31, 2017 and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Index</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43"/>
        </w:trPr>
        <w:tc>
          <w:tcPr>
            <w:tcW w:w="400" w:type="dxa"/>
            <w:vAlign w:val="bottom"/>
            <w:tcBorders>
              <w:top w:val="single" w:sz="8" w:color="0000EE"/>
            </w:tcBorders>
          </w:tcPr>
          <w:p>
            <w:pPr>
              <w:spacing w:after="0"/>
              <w:rPr>
                <w:sz w:val="24"/>
                <w:szCs w:val="24"/>
                <w:color w:val="auto"/>
              </w:rPr>
            </w:pPr>
          </w:p>
        </w:tc>
        <w:tc>
          <w:tcPr>
            <w:tcW w:w="5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r>
      <w:tr>
        <w:trPr>
          <w:trHeight w:val="230"/>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r>
      <w:tr>
        <w:trPr>
          <w:trHeight w:val="311"/>
        </w:trPr>
        <w:tc>
          <w:tcPr>
            <w:tcW w:w="61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r>
      <w:tr>
        <w:trPr>
          <w:trHeight w:val="244"/>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73,541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64,601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40,416</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reconciles Adjusted OIBDA and Continuing OIBDA to operating income, which we consider to be the most directly comparable GAAP financial measure, for the three months ended March 31, 2017 and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19"/>
                <w:szCs w:val="19"/>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r>
      <w:tr>
        <w:trPr>
          <w:trHeight w:val="311"/>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44,804</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17,739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1,566</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4,206</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4,978</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Plus temporary back office costs to support the billing operations through migration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2,595</w:t>
            </w:r>
          </w:p>
        </w:tc>
        <w:tc>
          <w:tcPr>
            <w:tcW w:w="4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4,489</w:t>
            </w: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73,541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40,416</w:t>
            </w:r>
          </w:p>
        </w:tc>
      </w:tr>
      <w:tr>
        <w:trPr>
          <w:trHeight w:val="27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(8,940)</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64,601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40,416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8890</wp:posOffset>
            </wp:positionV>
            <wp:extent cx="1663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5" w:lineRule="exact"/>
        <w:rPr>
          <w:sz w:val="20"/>
          <w:szCs w:val="20"/>
          <w:color w:val="auto"/>
        </w:rPr>
      </w:pPr>
    </w:p>
    <w:p>
      <w:pPr>
        <w:ind w:right="240" w:firstLine="8"/>
        <w:spacing w:after="0" w:line="273" w:lineRule="auto"/>
        <w:tabs>
          <w:tab w:leader="none" w:pos="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Once former nTelos customers migrate to the Sprint back office, the Company incurs certain postpaid fees retained by Sprint that would offset a portion of these savings. For the three months ended March 31, 2017, these offsets were estimated at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-228600</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reconcile adjusted OIBDA and Continuing OIBDA to operating income by major segment for the three months ended March 31,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Wireless Segment:</w:t>
            </w:r>
          </w:p>
        </w:tc>
        <w:tc>
          <w:tcPr>
            <w:tcW w:w="280" w:type="dxa"/>
            <w:vAlign w:val="bottom"/>
          </w:tcPr>
          <w:p>
            <w:pPr>
              <w:spacing w:after="0"/>
              <w:rPr>
                <w:sz w:val="19"/>
                <w:szCs w:val="19"/>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35,752</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725</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4,206</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4,978</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amortization of intangible netted in rent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Plus temporary back office costs to support the billing operations through migration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2,593</w:t>
            </w:r>
          </w:p>
        </w:tc>
        <w:tc>
          <w:tcPr>
            <w:tcW w:w="4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3,792</w:t>
            </w:r>
          </w:p>
        </w:tc>
        <w:tc>
          <w:tcPr>
            <w:tcW w:w="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61,417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27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(8,940)</w:t>
            </w: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52,477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28,710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Cable Segment:</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gain on asset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974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Adjusted OIBDA and Continuing OIBDA</w:t>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Wireline Segment:</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Plus loss on asset sales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Adjusted OIBDA and Continuing OIBDA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March 31,</w:t>
      </w:r>
    </w:p>
    <w:p>
      <w:pPr>
        <w:spacing w:after="0" w:line="4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90" w:lineRule="exact"/>
        <w:rPr>
          <w:sz w:val="20"/>
          <w:szCs w:val="20"/>
          <w:color w:val="auto"/>
        </w:rPr>
      </w:pPr>
    </w:p>
    <w:p>
      <w:pPr>
        <w:spacing w:after="0"/>
        <w:tabs>
          <w:tab w:leader="none" w:pos="700" w:val="left"/>
          <w:tab w:leader="none" w:pos="1360" w:val="left"/>
          <w:tab w:leader="none" w:pos="2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3,139</w:t>
        <w:tab/>
        <w:t>$</w:t>
      </w:r>
      <w:r>
        <w:rPr>
          <w:sz w:val="20"/>
          <w:szCs w:val="20"/>
          <w:color w:val="auto"/>
        </w:rPr>
        <w:tab/>
      </w:r>
      <w:r>
        <w:rPr>
          <w:rFonts w:ascii="Arial" w:cs="Arial" w:eastAsia="Arial" w:hAnsi="Arial"/>
          <w:sz w:val="16"/>
          <w:szCs w:val="16"/>
          <w:color w:val="auto"/>
        </w:rPr>
        <w:t>597</w:t>
      </w:r>
    </w:p>
    <w:p>
      <w:pPr>
        <w:spacing w:after="0" w:line="63"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18"/>
          <w:szCs w:val="18"/>
          <w:color w:val="auto"/>
        </w:rPr>
        <w:t>5,788</w:t>
      </w:r>
      <w:r>
        <w:rPr>
          <w:sz w:val="20"/>
          <w:szCs w:val="20"/>
          <w:color w:val="auto"/>
        </w:rPr>
        <w:tab/>
      </w:r>
      <w:r>
        <w:rPr>
          <w:rFonts w:ascii="Arial" w:cs="Arial" w:eastAsia="Arial" w:hAnsi="Arial"/>
          <w:sz w:val="18"/>
          <w:szCs w:val="18"/>
          <w:color w:val="auto"/>
        </w:rPr>
        <w:t>6,095</w:t>
      </w:r>
    </w:p>
    <w:p>
      <w:pPr>
        <w:spacing w:after="0" w:line="63" w:lineRule="exact"/>
        <w:rPr>
          <w:sz w:val="20"/>
          <w:szCs w:val="20"/>
          <w:color w:val="auto"/>
        </w:rPr>
      </w:pPr>
    </w:p>
    <w:p>
      <w:pPr>
        <w:ind w:left="2260" w:hanging="1372"/>
        <w:spacing w:after="0"/>
        <w:tabs>
          <w:tab w:leader="none" w:pos="2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(13)</w:t>
      </w:r>
    </w:p>
    <w:p>
      <w:pPr>
        <w:spacing w:after="0" w:line="86"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358</w:t>
      </w:r>
    </w:p>
    <w:p>
      <w:pPr>
        <w:spacing w:after="0" w:line="90" w:lineRule="exact"/>
        <w:rPr>
          <w:sz w:val="20"/>
          <w:szCs w:val="20"/>
          <w:color w:val="auto"/>
        </w:rPr>
      </w:pPr>
    </w:p>
    <w:p>
      <w:pPr>
        <w:spacing w:after="0"/>
        <w:tabs>
          <w:tab w:leader="none" w:pos="700" w:val="left"/>
          <w:tab w:leader="none" w:pos="136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9,268</w:t>
        <w:tab/>
        <w:t>$</w:t>
      </w:r>
      <w:r>
        <w:rPr>
          <w:sz w:val="20"/>
          <w:szCs w:val="20"/>
          <w:color w:val="auto"/>
        </w:rPr>
        <w:tab/>
      </w:r>
      <w:r>
        <w:rPr>
          <w:rFonts w:ascii="Arial" w:cs="Arial" w:eastAsia="Arial" w:hAnsi="Arial"/>
          <w:sz w:val="16"/>
          <w:szCs w:val="16"/>
          <w:color w:val="auto"/>
        </w:rPr>
        <w:t>7,037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1663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March 31,</w:t>
      </w:r>
    </w:p>
    <w:p>
      <w:pPr>
        <w:spacing w:after="0" w:line="4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90" w:lineRule="exact"/>
        <w:rPr>
          <w:sz w:val="20"/>
          <w:szCs w:val="20"/>
          <w:color w:val="auto"/>
        </w:rPr>
      </w:pPr>
    </w:p>
    <w:p>
      <w:pPr>
        <w:spacing w:after="0"/>
        <w:tabs>
          <w:tab w:leader="none" w:pos="700" w:val="left"/>
          <w:tab w:leader="none" w:pos="136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5,073</w:t>
        <w:tab/>
        <w:t>$</w:t>
      </w:r>
      <w:r>
        <w:rPr>
          <w:sz w:val="20"/>
          <w:szCs w:val="20"/>
          <w:color w:val="auto"/>
        </w:rPr>
        <w:tab/>
      </w:r>
      <w:r>
        <w:rPr>
          <w:rFonts w:ascii="Arial" w:cs="Arial" w:eastAsia="Arial" w:hAnsi="Arial"/>
          <w:sz w:val="16"/>
          <w:szCs w:val="16"/>
          <w:color w:val="auto"/>
        </w:rPr>
        <w:t>5,098</w:t>
      </w:r>
    </w:p>
    <w:p>
      <w:pPr>
        <w:spacing w:after="0" w:line="63" w:lineRule="exact"/>
        <w:rPr>
          <w:sz w:val="20"/>
          <w:szCs w:val="20"/>
          <w:color w:val="auto"/>
        </w:rPr>
      </w:pPr>
    </w:p>
    <w:p>
      <w:pPr>
        <w:ind w:left="720"/>
        <w:spacing w:after="0"/>
        <w:tabs>
          <w:tab w:leader="none" w:pos="2060" w:val="left"/>
        </w:tabs>
        <w:rPr>
          <w:sz w:val="20"/>
          <w:szCs w:val="20"/>
          <w:color w:val="auto"/>
        </w:rPr>
      </w:pPr>
      <w:r>
        <w:rPr>
          <w:rFonts w:ascii="Arial" w:cs="Arial" w:eastAsia="Arial" w:hAnsi="Arial"/>
          <w:sz w:val="18"/>
          <w:szCs w:val="18"/>
          <w:color w:val="auto"/>
        </w:rPr>
        <w:t>3,132</w:t>
      </w:r>
      <w:r>
        <w:rPr>
          <w:sz w:val="20"/>
          <w:szCs w:val="20"/>
          <w:color w:val="auto"/>
        </w:rPr>
        <w:tab/>
      </w:r>
      <w:r>
        <w:rPr>
          <w:rFonts w:ascii="Arial" w:cs="Arial" w:eastAsia="Arial" w:hAnsi="Arial"/>
          <w:sz w:val="18"/>
          <w:szCs w:val="18"/>
          <w:color w:val="auto"/>
        </w:rPr>
        <w:t>3,033</w:t>
      </w:r>
    </w:p>
    <w:p>
      <w:pPr>
        <w:spacing w:after="0" w:line="63" w:lineRule="exact"/>
        <w:rPr>
          <w:sz w:val="20"/>
          <w:szCs w:val="20"/>
          <w:color w:val="auto"/>
        </w:rPr>
      </w:pPr>
    </w:p>
    <w:p>
      <w:pPr>
        <w:ind w:left="2320" w:hanging="1372"/>
        <w:spacing w:after="0"/>
        <w:tabs>
          <w:tab w:leader="none" w:pos="2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220" w:hanging="1362"/>
        <w:spacing w:after="0"/>
        <w:tabs>
          <w:tab w:leader="none" w:pos="2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169</w:t>
      </w:r>
    </w:p>
    <w:p>
      <w:pPr>
        <w:spacing w:after="0" w:line="90" w:lineRule="exact"/>
        <w:rPr>
          <w:sz w:val="20"/>
          <w:szCs w:val="20"/>
          <w:color w:val="auto"/>
        </w:rPr>
      </w:pPr>
    </w:p>
    <w:p>
      <w:pPr>
        <w:spacing w:after="0"/>
        <w:tabs>
          <w:tab w:leader="none" w:pos="700" w:val="left"/>
          <w:tab w:leader="none" w:pos="136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8,381</w:t>
        <w:tab/>
        <w:t>$</w:t>
      </w:r>
      <w:r>
        <w:rPr>
          <w:sz w:val="20"/>
          <w:szCs w:val="20"/>
          <w:color w:val="auto"/>
        </w:rPr>
        <w:tab/>
      </w:r>
      <w:r>
        <w:rPr>
          <w:rFonts w:ascii="Arial" w:cs="Arial" w:eastAsia="Arial" w:hAnsi="Arial"/>
          <w:sz w:val="16"/>
          <w:szCs w:val="16"/>
          <w:color w:val="auto"/>
        </w:rPr>
        <w:t>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1663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8100" w:space="720"/>
            <w:col w:w="2580"/>
          </w:cols>
          <w:pgMar w:left="240" w:top="125" w:right="259" w:bottom="1440" w:gutter="0" w:footer="0" w:header="0"/>
        </w:sectPr>
      </w:pPr>
    </w:p>
    <w:p>
      <w:pPr>
        <w:spacing w:after="0" w:line="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three principal sources of funds available to meet the financing needs of our operations, capital projects, debt service,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6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Sources and Uses of Cash</w:t>
      </w:r>
      <w:r>
        <w:rPr>
          <w:rFonts w:ascii="Arial" w:cs="Arial" w:eastAsia="Arial" w:hAnsi="Arial"/>
          <w:sz w:val="17"/>
          <w:szCs w:val="17"/>
          <w:color w:val="auto"/>
        </w:rPr>
        <w:t>. We generated $24.5 million of net cash from operations in the first three months of 2017, compared to $43.2 million in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of 2016. The primary change included the timing of cash disbursements in early 2017 for inventories acquired in late 2016.</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As of March 31, 2017, our indebtedness totaled $866.8 million in term loans with an annualized effective interest rate of approximately 3.91%</w:t>
      </w:r>
      <w:r>
        <w:rPr>
          <w:rFonts w:ascii="Arial" w:cs="Arial" w:eastAsia="Arial" w:hAnsi="Arial"/>
          <w:sz w:val="17"/>
          <w:szCs w:val="17"/>
          <w:i w:val="1"/>
          <w:iCs w:val="1"/>
          <w:color w:val="auto"/>
        </w:rPr>
        <w:t xml:space="preserve"> </w:t>
      </w:r>
      <w:r>
        <w:rPr>
          <w:rFonts w:ascii="Arial" w:cs="Arial" w:eastAsia="Arial" w:hAnsi="Arial"/>
          <w:sz w:val="17"/>
          <w:szCs w:val="17"/>
          <w:color w:val="auto"/>
        </w:rPr>
        <w:t>after considering the impact of the interest rate swap contract and unamortized loan costs. The balance consists of the $466.8 million Term Loan A-1 at a variable rate (3.73% as of March 31, 2017) that resets monthly based on one month LIBOR plus a margin of 2.75%, and the $400 million Term Loan A-2 at a variable rate (3.98% as of March 31, 2017) that resets monthly based on one month LIBOR plus a margin of 3.00%. The Term Loan A-1 requires quarterly principal repayments of $6.1 million through June 30, 2017, then increasing to $12.1 million quarterly through June 30, 2020, with further increases at that time through maturity in June 30, 2021. The Term Loan A-2 requires quarterly principal repayments of $10.0 million beginning on September 30, 2018 through March 31, 2023, with the remaining balance due June 30, 2023.</w:t>
      </w:r>
    </w:p>
    <w:p>
      <w:pPr>
        <w:spacing w:after="0" w:line="17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are bound by certain financial covenants under the 2016 credit agreement. Noncompliance with any one or more of the debt covenants may have an adverse effect on our financial condition or liquidity in the event such noncompliance cannot be cured or should we be unable to obtain a waiver from the lenders. As of March 31, 2017, we were in compliance with all debt covenants, and ratios at March 31, 2017 were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0"/>
        </w:trPr>
        <w:tc>
          <w:tcPr>
            <w:tcW w:w="7280" w:type="dxa"/>
            <w:vAlign w:val="bottom"/>
          </w:tcPr>
          <w:p>
            <w:pPr>
              <w:spacing w:after="0"/>
              <w:rPr>
                <w:sz w:val="20"/>
                <w:szCs w:val="20"/>
                <w:color w:val="auto"/>
              </w:rPr>
            </w:pP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Actual</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March 31, 2017</w:t>
            </w:r>
          </w:p>
        </w:tc>
      </w:tr>
      <w:tr>
        <w:trPr>
          <w:trHeight w:val="34"/>
        </w:trPr>
        <w:tc>
          <w:tcPr>
            <w:tcW w:w="72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Leverage Ratio</w:t>
            </w:r>
          </w:p>
        </w:tc>
        <w:tc>
          <w:tcPr>
            <w:tcW w:w="14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BFE4FF"/>
            </w:tcBorders>
            <w:shd w:val="clear" w:color="auto" w:fill="BFE4FF"/>
          </w:tcPr>
          <w:p>
            <w:pPr>
              <w:spacing w:after="0"/>
              <w:rPr>
                <w:sz w:val="21"/>
                <w:szCs w:val="21"/>
                <w:color w:val="auto"/>
              </w:rPr>
            </w:pPr>
          </w:p>
        </w:tc>
        <w:tc>
          <w:tcPr>
            <w:tcW w:w="23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4"/>
              </w:rPr>
              <w:t>3.75 or Lower</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Debt Service Coverage Ratio</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2.00 or Higher</w:t>
            </w:r>
          </w:p>
        </w:tc>
      </w:tr>
      <w:tr>
        <w:trPr>
          <w:trHeight w:val="27"/>
        </w:trPr>
        <w:tc>
          <w:tcPr>
            <w:tcW w:w="7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Minimum Liquidity Balance</w:t>
            </w:r>
          </w:p>
        </w:tc>
        <w:tc>
          <w:tcPr>
            <w:tcW w:w="1580" w:type="dxa"/>
            <w:vAlign w:val="bottom"/>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$113 million</w:t>
            </w:r>
          </w:p>
        </w:tc>
        <w:tc>
          <w:tcPr>
            <w:tcW w:w="234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4"/>
              </w:rPr>
              <w:t>$25 million or Higher</w:t>
            </w:r>
          </w:p>
        </w:tc>
      </w:tr>
      <w:tr>
        <w:trPr>
          <w:trHeight w:val="27"/>
        </w:trPr>
        <w:tc>
          <w:tcPr>
            <w:tcW w:w="7280" w:type="dxa"/>
            <w:vAlign w:val="bottom"/>
            <w:shd w:val="clear" w:color="auto" w:fill="CCEEFF"/>
          </w:tcPr>
          <w:p>
            <w:pPr>
              <w:spacing w:after="0"/>
              <w:rPr>
                <w:sz w:val="2"/>
                <w:szCs w:val="2"/>
                <w:color w:val="auto"/>
              </w:rPr>
            </w:pPr>
          </w:p>
        </w:tc>
        <w:tc>
          <w:tcPr>
            <w:tcW w:w="146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234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consolidated EBITDA, cash taxes, scheduled principal payments and cash interest expense for the nine month period ending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March 31, 2017, divided by three and multiplied by four, all as defined under the Credit Agreement. In addition to the covenants above, we are required to supply the lenders with quarterly financial statements and other reports as defined by the 2016 credit agreement. We were in compliance with all reporting requirements at March 31, 2017.</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had no off-balance sheet arrangements (other than operating leases) and have not entered into any transactions involving unconsolidated, limited purpose entities or commodity contracts.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i w:val="1"/>
          <w:iCs w:val="1"/>
          <w:color w:val="auto"/>
        </w:rPr>
        <w:t xml:space="preserve">Capital Commitments. </w:t>
      </w:r>
      <w:r>
        <w:rPr>
          <w:rFonts w:ascii="Arial" w:cs="Arial" w:eastAsia="Arial" w:hAnsi="Arial"/>
          <w:sz w:val="16"/>
          <w:szCs w:val="16"/>
          <w:color w:val="auto"/>
        </w:rPr>
        <w:t>The Company budgeted $152.3 million in capital expenditures for 2017, including $86.4 million in the Wireless segment for upgrades</w:t>
      </w:r>
      <w:r>
        <w:rPr>
          <w:rFonts w:ascii="Arial" w:cs="Arial" w:eastAsia="Arial" w:hAnsi="Arial"/>
          <w:sz w:val="16"/>
          <w:szCs w:val="16"/>
          <w:i w:val="1"/>
          <w:iCs w:val="1"/>
          <w:color w:val="auto"/>
        </w:rPr>
        <w:t xml:space="preserve"> </w:t>
      </w:r>
      <w:r>
        <w:rPr>
          <w:rFonts w:ascii="Arial" w:cs="Arial" w:eastAsia="Arial" w:hAnsi="Arial"/>
          <w:sz w:val="16"/>
          <w:szCs w:val="16"/>
          <w:color w:val="auto"/>
        </w:rPr>
        <w:t>and expansion of the nTelos wireless network; $28.1 million for network expansion including new fiber routes, new cell towers, and cable market expansion; $27.0 million for additional network capacity; and $10.8 million for information technology upgrades, new and renovated buildings and other projects.</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first three months of 2017, we spent $38.6 million on capital projects, compared to $20.5 million in the comparable 2016 period. Spending related to Wireless projects accounted for $25.3 million in the first three months of 2017, primarily for upgrades of former nTelos sites and additional cell sites to expand coverage in the former nTelos territory. Cable capital spending of $5.2 million related to network and cable market expansion. Wireline capital projects cost $7.6 million, driven primarily by fiber builds. Other projects totaled $0.5 million, largely related to information technology projects.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and new market developments and opportunities.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also known as Topic 606,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but not earlier than the original effective date beginning after December 15, 2016. We have formed a project team to evaluate and implement the new standard. As part of our work to date, we have begun documentation and are nearing completion of contract review. We currently plan to adopt this guidance using the modified retrospective transition approach, which would result in an adjustment to retained earnings for the cumulative effect, if any, of applying this standard. Additionally, this guidance requires us to provide additional disclosures of the amount by which each financial statement line item is affected in the current reporting period during 2018 as compared to the guidance that was in effect before the change. We continue to assess the impact this new standard will have on our financial position, results of operations and cash flows.</w:t>
      </w:r>
    </w:p>
    <w:p>
      <w:pPr>
        <w:spacing w:after="0" w:line="1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February 2016, the FASB issued ASU No. 2016-02, “Leases”, also known as Topic 842,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We are currently evaluating the ASU, but expect that it will have a material impact on our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March 31, 2017, the Company had $866.8 million of variable rate debt outstanding (excluding unamortized loan fees and costs of $17.8 million), bearing interest at a weighted average rate of 3.85% as determined on a monthly basis. An increase in market interest rates of 1.00% would add approximately $8.7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This swap, combined with the swap purchased in 2012, cover notional principal equal to approximately 50% of the expected outstanding variable rate debt through maturity in 2023. The Company is required to pay a combined fixed rate of approximately 1.16% and receive a variable rate based on one month LIBOR (0.98% as of March 31, 2017), to manage a portion of its interest rate risk. Changes in the net interest paid or received under the swaps would offset approximately 50% of the change in interest expense on the variable rate debt outstanding. The swap agreements currently add approximately $0.8 million to annual interest expense, based on the spread between the fixed rate and the variable rate currently in effect on our debt.</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March 31, 2017, the cash is invested in a commercial checking account that has limited interest rate risk. Management continually evaluates the most beneficial use of these funds.</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2017, the Company has $433.4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w:t>
      </w:r>
    </w:p>
    <w:p>
      <w:pPr>
        <w:spacing w:after="0" w:line="10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disclosed in our Annual Report on Form 10-K for our fiscal year ended December 31, 2016, we identified material weaknesses in internal control over financial reporting. The material weaknesses will not be considered remediated until the applicable remedial controls operate for a sufficient period of time and management has concluded, through testing, that these controls are operating effectively. As remediation has not yet been completed our President and Chief Executive Officer and our Vice President, Finance and Chief Financial Officer have concluded that our disclosure controls and procedures continued to be ineffective as of March 31, 2017.</w:t>
      </w:r>
    </w:p>
    <w:p>
      <w:pPr>
        <w:spacing w:after="0" w:line="10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condensed consolidated financial statements included in this Quarterly Report on Form 10-Q fairly state, in all material respects, our financial position, results of operations and cash flows for the periods presented.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 response to the material weaknesses identified in the Annual Report on Form 10-K for our fiscal year ended December 31, 2016, we expect to:</w:t>
      </w:r>
    </w:p>
    <w:p>
      <w:pPr>
        <w:spacing w:after="0" w:line="156" w:lineRule="exact"/>
        <w:rPr>
          <w:sz w:val="20"/>
          <w:szCs w:val="20"/>
          <w:color w:val="auto"/>
        </w:rPr>
      </w:pPr>
    </w:p>
    <w:p>
      <w:pPr>
        <w:ind w:left="660" w:right="4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train and retain individuals that have the appropriate skills and experience related to financial reporting and internal control related to (i) complex, significant non-routine transactions; (ii) the preparation of the consolidated statements of cash flows; and (iii) the Company’s internal audit function.</w:t>
      </w: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and develop where necessary policies and procedures to ensure our personnel are sufficiently knowledgeable about the design, operation and documentation of internal controls over financial reporting related to (i) complex, significant non-routine transactions; (ii) accounting for income taxes; and (iii) the preparation of the consolidated statements of cash flows.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Enhance the design of existing control activities and implement additional control activities to ensure management review controls and other controls (including controls that validate the completeness and accuracy of information, data and assumptions) related to complex, significant non-routine transactions and accounting for income taxes, are properly designed and documented.</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and enhance the Company’s policies, procedures and control activities over communicating with the Company’s third party experts to ensure complete and accurate information is communicated.</w:t>
      </w:r>
    </w:p>
    <w:p>
      <w:pPr>
        <w:ind w:left="660" w:right="40" w:hanging="328"/>
        <w:spacing w:after="0" w:line="32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 and enhance the Company’s monitoring activities to ensure the components of internal control are present and functioning related to (i) complex, significant non-routine transactions; (ii) accounting for income taxes; and (iii) the preparation of the 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acquisition of nTelos was completed on May 6, 2016. Our Company’s management has extended its oversight and monitoring processes that support internal control over financial reporting to include the operations of nTelos. Our management is continuing to integrate the acquired operations into our overall internal control financial reporting process, expected to be complete in 2017.</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March 31, 2017, that has materially affected or is reasonably likely to material affect, the Company’s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Under the Company’s agreements with Sprint, Sprint provides the Company with billing, collections, customer care, certain network operations and other back-office services for the PCS operation. As a result, Sprint remits to the Company a substantial portion of the Company’s total operating revenues, which will increase as legacy nTelos subscribers migrate to the Sprint billing platform in the future.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average national costs to acquire and support a prepaid customer, certain national channel commission and handset subsidy costs, and travel revenue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postpaid and 6% of prepaid revenue currently retained by Sprint (before the effect of fee waivers). Sprint reports directly billed costs and revenues to the Company.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2016 to September 30, 2016. The most recent report indicated there were no material issues which would adversely affect the information used to support the recording of the revenues provided by Sprint related to the Company’s relationship with them.</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 As of March 31, 2017, the Company has not identified any needed updates to the risk factors included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March 31, 2017:</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Average Price</w:t>
            </w:r>
          </w:p>
        </w:tc>
      </w:tr>
      <w:tr>
        <w:trPr>
          <w:trHeight w:val="230"/>
        </w:trPr>
        <w:tc>
          <w:tcPr>
            <w:tcW w:w="7440" w:type="dxa"/>
            <w:vAlign w:val="bottom"/>
          </w:tcPr>
          <w:p>
            <w:pPr>
              <w:spacing w:after="0"/>
              <w:rPr>
                <w:sz w:val="20"/>
                <w:szCs w:val="20"/>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color w:val="auto"/>
                <w:w w:val="99"/>
              </w:rPr>
              <w:t>Paid per Share</w:t>
            </w:r>
          </w:p>
        </w:tc>
      </w:tr>
      <w:tr>
        <w:trPr>
          <w:trHeight w:val="34"/>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January 1 to January 31</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43,044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1 to February 28</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March 1 to March 31</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4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620" w:right="5420" w:hanging="5612"/>
        <w:spacing w:after="0" w:line="449"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exhibits are filed with this Quarterly Report on Form 10-Q: 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394" w:lineRule="exact"/>
        <w:rPr>
          <w:sz w:val="20"/>
          <w:szCs w:val="20"/>
          <w:color w:val="auto"/>
        </w:rPr>
      </w:pPr>
    </w:p>
    <w:p>
      <w:pPr>
        <w:ind w:left="840" w:right="60" w:hanging="809"/>
        <w:spacing w:after="0" w:line="256" w:lineRule="auto"/>
        <w:tabs>
          <w:tab w:leader="none" w:pos="82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Addendum XX to Sprint PCS Management Agreement, dated as of March 9, 2017, by and among Shenandoah Personal Communications, LLC, Sprint Spectrum L.P., Sprint Communications Company, L.P., SprintCom, Inc. and Horizon Personal Communications, LLC, filed as Exhibit 10.1 to the Company's Current Report on Form 8-K filed</w:t>
      </w:r>
    </w:p>
    <w:p>
      <w:pPr>
        <w:ind w:left="840"/>
        <w:spacing w:after="0"/>
        <w:rPr>
          <w:sz w:val="20"/>
          <w:szCs w:val="20"/>
          <w:color w:val="auto"/>
        </w:rPr>
      </w:pPr>
      <w:r>
        <w:rPr>
          <w:rFonts w:ascii="Arial" w:cs="Arial" w:eastAsia="Arial" w:hAnsi="Arial"/>
          <w:sz w:val="18"/>
          <w:szCs w:val="18"/>
          <w:color w:val="auto"/>
        </w:rPr>
        <w:t>March 15,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840" w:hanging="805"/>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101.INS</w:t>
            </w:r>
          </w:p>
        </w:tc>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101.SCH</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101.CAL</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101.DEF</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101.LAB</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43"/>
        </w:trPr>
        <w:tc>
          <w:tcPr>
            <w:tcW w:w="1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101.PRE</w:t>
            </w:r>
          </w:p>
        </w:tc>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00"/>
          </w:cols>
          <w:pgMar w:left="240" w:top="125" w:right="10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540" w:type="dxa"/>
            <w:vAlign w:val="bottom"/>
            <w:gridSpan w:val="6"/>
          </w:tcPr>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Index</w:t>
              </w:r>
            </w:hyperlink>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80"/>
        </w:trPr>
        <w:tc>
          <w:tcPr>
            <w:tcW w:w="1540" w:type="dxa"/>
            <w:vAlign w:val="bottom"/>
            <w:gridSpan w:val="6"/>
          </w:tcPr>
          <w:p>
            <w:pPr>
              <w:spacing w:after="0"/>
              <w:rPr>
                <w:sz w:val="20"/>
                <w:szCs w:val="20"/>
                <w:color w:val="auto"/>
              </w:rPr>
            </w:pPr>
            <w:r>
              <w:rPr>
                <w:rFonts w:ascii="Arial" w:cs="Arial" w:eastAsia="Arial" w:hAnsi="Arial"/>
                <w:sz w:val="18"/>
                <w:szCs w:val="18"/>
                <w:color w:val="auto"/>
              </w:rPr>
              <w:t>EXHIBIT INDEX</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54"/>
        </w:trPr>
        <w:tc>
          <w:tcPr>
            <w:tcW w:w="40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ind w:left="4740"/>
              <w:spacing w:after="0"/>
              <w:rPr>
                <w:sz w:val="20"/>
                <w:szCs w:val="20"/>
                <w:color w:val="auto"/>
              </w:rPr>
            </w:pPr>
            <w:r>
              <w:rPr>
                <w:rFonts w:ascii="Arial" w:cs="Arial" w:eastAsia="Arial" w:hAnsi="Arial"/>
                <w:sz w:val="18"/>
                <w:szCs w:val="18"/>
                <w:b w:val="1"/>
                <w:bCs w:val="1"/>
                <w:color w:val="auto"/>
              </w:rPr>
              <w:t>Exhibit</w:t>
            </w:r>
          </w:p>
        </w:tc>
      </w:tr>
      <w:tr>
        <w:trPr>
          <w:trHeight w:val="345"/>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300" w:type="dxa"/>
            <w:vAlign w:val="bottom"/>
            <w:gridSpan w:val="5"/>
            <w:shd w:val="clear" w:color="auto" w:fill="CCEEFF"/>
          </w:tcPr>
          <w:p>
            <w:pPr>
              <w:jc w:val="center"/>
              <w:ind w:left="330"/>
              <w:spacing w:after="0"/>
              <w:rPr>
                <w:sz w:val="20"/>
                <w:szCs w:val="20"/>
                <w:color w:val="auto"/>
              </w:rPr>
            </w:pPr>
            <w:r>
              <w:rPr>
                <w:rFonts w:ascii="Arial" w:cs="Arial" w:eastAsia="Arial" w:hAnsi="Arial"/>
                <w:sz w:val="18"/>
                <w:szCs w:val="18"/>
                <w:color w:val="auto"/>
                <w:w w:val="88"/>
              </w:rPr>
              <w:t>10.54</w:t>
            </w:r>
          </w:p>
        </w:tc>
        <w:tc>
          <w:tcPr>
            <w:tcW w:w="24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Addendum XX to Sprint PCS Management Agreement, dated as of March 9, 2017, by and among Shenandoah Personal</w:t>
            </w:r>
          </w:p>
        </w:tc>
      </w:tr>
      <w:tr>
        <w:trPr>
          <w:trHeight w:val="216"/>
        </w:trPr>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Communications, LLC, Sprint Spectrum L.P., Sprint Communications Company, L.P., SprintCom, Inc. and Horizon Personal</w:t>
            </w:r>
          </w:p>
        </w:tc>
      </w:tr>
      <w:tr>
        <w:trPr>
          <w:trHeight w:val="237"/>
        </w:trPr>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Communications, LLC, filed as Exhibit 10.1 to the Company's Current Report on Form 8-K filed March 15, 2017.</w:t>
            </w:r>
          </w:p>
        </w:tc>
      </w:tr>
      <w:tr>
        <w:trPr>
          <w:trHeight w:val="270"/>
        </w:trPr>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250"/>
        </w:trPr>
        <w:tc>
          <w:tcPr>
            <w:tcW w:w="1300" w:type="dxa"/>
            <w:vAlign w:val="bottom"/>
            <w:gridSpan w:val="5"/>
            <w:shd w:val="clear" w:color="auto" w:fill="CCEEFF"/>
          </w:tcPr>
          <w:p>
            <w:pPr>
              <w:jc w:val="center"/>
              <w:ind w:left="330"/>
              <w:spacing w:after="0" w:line="202"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40" w:type="dxa"/>
            <w:vAlign w:val="bottom"/>
            <w:shd w:val="clear" w:color="auto" w:fill="CCEEFF"/>
          </w:tcPr>
          <w:p>
            <w:pPr>
              <w:spacing w:after="0"/>
              <w:rPr>
                <w:sz w:val="21"/>
                <w:szCs w:val="21"/>
                <w:color w:val="auto"/>
              </w:rPr>
            </w:pPr>
          </w:p>
        </w:tc>
        <w:tc>
          <w:tcPr>
            <w:tcW w:w="9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Certification of President and Chief Executive Officer pursuant to Rule 13a-14(a) under the Securities Exchange Act of 1934.</w:t>
            </w:r>
          </w:p>
        </w:tc>
      </w:tr>
      <w:tr>
        <w:trPr>
          <w:trHeight w:val="270"/>
        </w:trPr>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7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560" w:type="dxa"/>
            <w:vAlign w:val="bottom"/>
            <w:tcBorders>
              <w:top w:val="single" w:sz="8" w:color="CCEEFF"/>
            </w:tcBorders>
          </w:tcPr>
          <w:p>
            <w:pPr>
              <w:spacing w:after="0"/>
              <w:rPr>
                <w:sz w:val="23"/>
                <w:szCs w:val="23"/>
                <w:color w:val="auto"/>
              </w:rPr>
            </w:pPr>
          </w:p>
        </w:tc>
      </w:tr>
      <w:tr>
        <w:trPr>
          <w:trHeight w:val="203"/>
        </w:trPr>
        <w:tc>
          <w:tcPr>
            <w:tcW w:w="1300" w:type="dxa"/>
            <w:vAlign w:val="bottom"/>
            <w:gridSpan w:val="5"/>
            <w:shd w:val="clear" w:color="auto" w:fill="CCEEFF"/>
          </w:tcPr>
          <w:p>
            <w:pPr>
              <w:jc w:val="center"/>
              <w:ind w:left="330"/>
              <w:spacing w:after="0" w:line="202"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40" w:type="dxa"/>
            <w:vAlign w:val="bottom"/>
            <w:shd w:val="clear" w:color="auto" w:fill="CCEEFF"/>
          </w:tcPr>
          <w:p>
            <w:pPr>
              <w:spacing w:after="0"/>
              <w:rPr>
                <w:sz w:val="17"/>
                <w:szCs w:val="17"/>
                <w:color w:val="auto"/>
              </w:rPr>
            </w:pPr>
          </w:p>
        </w:tc>
        <w:tc>
          <w:tcPr>
            <w:tcW w:w="9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3"/>
              </w:rPr>
              <w:t>Certification of Vice President - Finance and Chief Financial Officer pursuant to Rule 13a-14(a) under the Securities Exchange Act</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of 1934.</w:t>
            </w:r>
          </w:p>
        </w:tc>
      </w:tr>
      <w:tr>
        <w:trPr>
          <w:trHeight w:val="27"/>
        </w:trPr>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1760" w:hanging="984"/>
        <w:spacing w:after="0"/>
        <w:tabs>
          <w:tab w:leader="none" w:pos="1760" w:val="left"/>
        </w:tabs>
        <w:numPr>
          <w:ilvl w:val="0"/>
          <w:numId w:val="27"/>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1760" w:hanging="1089"/>
        <w:spacing w:after="0"/>
        <w:tabs>
          <w:tab w:leader="none" w:pos="1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101.INS</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101.SCH</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101.CAL</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101.DEF</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101.LAB</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101.PRE</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37"/>
        </w:trPr>
        <w:tc>
          <w:tcPr>
            <w:tcW w:w="272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10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120" w:firstLine="656"/>
        <w:spacing w:after="0" w:line="342" w:lineRule="auto"/>
        <w:tabs>
          <w:tab w:leader="none" w:pos="13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2017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May 4, 2017</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May 4, 2017</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4"/>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3"/>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23"/>
    </w:lvl>
  </w:abstractNum>
  <w:abstractNum w:abstractNumId="21">
    <w:nsid w:val="189A769B"/>
    <w:multiLevelType w:val="hybridMultilevel"/>
    <w:lvl w:ilvl="0">
      <w:lvlJc w:val="left"/>
      <w:lvlText w:val="%1"/>
      <w:numFmt w:val="decimal"/>
      <w:start w:val="30"/>
    </w:lvl>
  </w:abstractNum>
  <w:abstractNum w:abstractNumId="22">
    <w:nsid w:val="54E49EB4"/>
    <w:multiLevelType w:val="hybridMultilevel"/>
    <w:lvl w:ilvl="0">
      <w:lvlJc w:val="left"/>
      <w:lvlText w:val="%1"/>
      <w:numFmt w:val="decimal"/>
      <w:start w:val="146"/>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decimal"/>
      <w:start w:val="32"/>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2019-12-29T06:34:38Z</dcterms:created>
  <dcterms:modified xsi:type="dcterms:W3CDTF">2019-12-29T06:34:38Z</dcterms:modified>
</cp:coreProperties>
</file>