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63"/>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147320</wp:posOffset>
            </wp:positionH>
            <wp:positionV relativeFrom="page">
              <wp:posOffset>109220</wp:posOffset>
            </wp:positionV>
            <wp:extent cx="7266940" cy="355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6940" cy="35560"/>
                    </a:xfrm>
                    <a:prstGeom prst="rect">
                      <a:avLst/>
                    </a:prstGeom>
                    <a:noFill/>
                  </pic:spPr>
                </pic:pic>
              </a:graphicData>
            </a:graphic>
          </wp:anchor>
        </w:drawing>
        <w:t>UNITED STATES</w:t>
      </w:r>
    </w:p>
    <w:p>
      <w:pPr>
        <w:spacing w:after="0" w:line="37" w:lineRule="exact"/>
        <w:rPr>
          <w:sz w:val="24"/>
          <w:szCs w:val="24"/>
          <w:color w:val="auto"/>
        </w:rPr>
      </w:pPr>
    </w:p>
    <w:p>
      <w:pPr>
        <w:jc w:val="center"/>
        <w:ind w:right="-363"/>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363"/>
        <w:spacing w:after="0"/>
        <w:rPr>
          <w:sz w:val="20"/>
          <w:szCs w:val="20"/>
          <w:color w:val="auto"/>
        </w:rPr>
      </w:pPr>
      <w:r>
        <w:rPr>
          <w:rFonts w:ascii="Arial" w:cs="Arial" w:eastAsia="Arial" w:hAnsi="Arial"/>
          <w:sz w:val="19"/>
          <w:szCs w:val="19"/>
          <w:b w:val="1"/>
          <w:bCs w:val="1"/>
          <w:color w:val="auto"/>
        </w:rPr>
        <w:t>Washington, D.C. 20549</w:t>
      </w:r>
    </w:p>
    <w:p>
      <w:pPr>
        <w:spacing w:after="0" w:line="180" w:lineRule="exact"/>
        <w:rPr>
          <w:sz w:val="24"/>
          <w:szCs w:val="24"/>
          <w:color w:val="auto"/>
        </w:rPr>
      </w:pPr>
    </w:p>
    <w:p>
      <w:pPr>
        <w:jc w:val="center"/>
        <w:ind w:right="-363"/>
        <w:spacing w:after="0"/>
        <w:rPr>
          <w:sz w:val="20"/>
          <w:szCs w:val="20"/>
          <w:color w:val="auto"/>
        </w:rPr>
      </w:pPr>
      <w:r>
        <w:rPr>
          <w:rFonts w:ascii="Arial" w:cs="Arial" w:eastAsia="Arial" w:hAnsi="Arial"/>
          <w:sz w:val="29"/>
          <w:szCs w:val="29"/>
          <w:b w:val="1"/>
          <w:bCs w:val="1"/>
          <w:color w:val="auto"/>
        </w:rPr>
        <w:t>FORM 8-K</w:t>
      </w:r>
    </w:p>
    <w:p>
      <w:pPr>
        <w:spacing w:after="0" w:line="227" w:lineRule="exact"/>
        <w:rPr>
          <w:sz w:val="24"/>
          <w:szCs w:val="24"/>
          <w:color w:val="auto"/>
        </w:rPr>
      </w:pPr>
    </w:p>
    <w:p>
      <w:pPr>
        <w:jc w:val="center"/>
        <w:ind w:right="-363"/>
        <w:spacing w:after="0"/>
        <w:rPr>
          <w:sz w:val="20"/>
          <w:szCs w:val="20"/>
          <w:color w:val="auto"/>
        </w:rPr>
      </w:pPr>
      <w:r>
        <w:rPr>
          <w:rFonts w:ascii="Arial" w:cs="Arial" w:eastAsia="Arial" w:hAnsi="Arial"/>
          <w:sz w:val="16"/>
          <w:szCs w:val="16"/>
          <w:b w:val="1"/>
          <w:bCs w:val="1"/>
          <w:color w:val="auto"/>
        </w:rPr>
        <w:t>CURRENT REPORT</w:t>
      </w:r>
    </w:p>
    <w:p>
      <w:pPr>
        <w:spacing w:after="0" w:line="25" w:lineRule="exact"/>
        <w:rPr>
          <w:sz w:val="24"/>
          <w:szCs w:val="24"/>
          <w:color w:val="auto"/>
        </w:rPr>
      </w:pPr>
    </w:p>
    <w:p>
      <w:pPr>
        <w:jc w:val="center"/>
        <w:ind w:right="-363"/>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12" w:lineRule="exact"/>
        <w:rPr>
          <w:sz w:val="24"/>
          <w:szCs w:val="24"/>
          <w:color w:val="auto"/>
        </w:rPr>
      </w:pPr>
    </w:p>
    <w:p>
      <w:pPr>
        <w:jc w:val="center"/>
        <w:ind w:right="-363"/>
        <w:spacing w:after="0"/>
        <w:rPr>
          <w:sz w:val="20"/>
          <w:szCs w:val="20"/>
          <w:color w:val="auto"/>
        </w:rPr>
      </w:pPr>
      <w:r>
        <w:rPr>
          <w:rFonts w:ascii="Arial" w:cs="Arial" w:eastAsia="Arial" w:hAnsi="Arial"/>
          <w:sz w:val="16"/>
          <w:szCs w:val="16"/>
          <w:color w:val="auto"/>
        </w:rPr>
        <w:t>Date of Report (Date of earliest event reported): March 2, 2012</w:t>
      </w:r>
    </w:p>
    <w:p>
      <w:pPr>
        <w:spacing w:after="0" w:line="21" w:lineRule="exact"/>
        <w:rPr>
          <w:sz w:val="24"/>
          <w:szCs w:val="24"/>
          <w:color w:val="auto"/>
        </w:rPr>
      </w:pPr>
    </w:p>
    <w:p>
      <w:pPr>
        <w:ind w:left="4964"/>
        <w:spacing w:after="0"/>
        <w:rPr>
          <w:sz w:val="20"/>
          <w:szCs w:val="20"/>
          <w:color w:val="auto"/>
        </w:rPr>
      </w:pPr>
      <w:r>
        <w:rPr>
          <w:rFonts w:ascii="Arial" w:cs="Arial" w:eastAsia="Arial" w:hAnsi="Arial"/>
          <w:sz w:val="16"/>
          <w:szCs w:val="16"/>
          <w:b w:val="1"/>
          <w:bCs w:val="1"/>
          <w:color w:val="auto"/>
        </w:rPr>
        <w:t>___________________</w:t>
      </w:r>
    </w:p>
    <w:p>
      <w:pPr>
        <w:spacing w:after="0" w:line="196" w:lineRule="exact"/>
        <w:rPr>
          <w:sz w:val="24"/>
          <w:szCs w:val="24"/>
          <w:color w:val="auto"/>
        </w:rPr>
      </w:pPr>
    </w:p>
    <w:p>
      <w:pPr>
        <w:ind w:left="2344"/>
        <w:spacing w:after="0"/>
        <w:rPr>
          <w:sz w:val="20"/>
          <w:szCs w:val="20"/>
          <w:color w:val="auto"/>
        </w:rPr>
      </w:pPr>
      <w:r>
        <w:rPr>
          <w:rFonts w:ascii="Arial" w:cs="Arial" w:eastAsia="Arial" w:hAnsi="Arial"/>
          <w:sz w:val="34"/>
          <w:szCs w:val="34"/>
          <w:color w:val="auto"/>
        </w:rPr>
        <w:t>Shenandoah Telecommunications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1438910</wp:posOffset>
            </wp:positionH>
            <wp:positionV relativeFrom="paragraph">
              <wp:posOffset>110490</wp:posOffset>
            </wp:positionV>
            <wp:extent cx="4383405" cy="20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383405" cy="20320"/>
                    </a:xfrm>
                    <a:prstGeom prst="rect">
                      <a:avLst/>
                    </a:prstGeom>
                    <a:noFill/>
                  </pic:spPr>
                </pic:pic>
              </a:graphicData>
            </a:graphic>
          </wp:anchor>
        </w:drawing>
      </w:r>
    </w:p>
    <w:p>
      <w:pPr>
        <w:spacing w:after="0" w:line="261" w:lineRule="exact"/>
        <w:rPr>
          <w:sz w:val="24"/>
          <w:szCs w:val="24"/>
          <w:color w:val="auto"/>
        </w:rPr>
      </w:pPr>
    </w:p>
    <w:p>
      <w:pPr>
        <w:jc w:val="center"/>
        <w:ind w:right="-363"/>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5" w:lineRule="exact"/>
        <w:rPr>
          <w:sz w:val="24"/>
          <w:szCs w:val="24"/>
          <w:color w:val="auto"/>
        </w:rPr>
      </w:pPr>
    </w:p>
    <w:p>
      <w:pPr>
        <w:ind w:left="4964"/>
        <w:spacing w:after="0"/>
        <w:rPr>
          <w:sz w:val="20"/>
          <w:szCs w:val="20"/>
          <w:color w:val="auto"/>
        </w:rPr>
      </w:pPr>
      <w:r>
        <w:rPr>
          <w:rFonts w:ascii="Arial" w:cs="Arial" w:eastAsia="Arial" w:hAnsi="Arial"/>
          <w:sz w:val="16"/>
          <w:szCs w:val="16"/>
          <w:b w:val="1"/>
          <w:bCs w:val="1"/>
          <w:color w:val="auto"/>
        </w:rPr>
        <w:t>___________________</w:t>
      </w:r>
    </w:p>
    <w:p>
      <w:pPr>
        <w:sectPr>
          <w:pgSz w:w="11900" w:h="16838" w:orient="portrait"/>
          <w:cols w:equalWidth="0" w:num="1">
            <w:col w:w="11084"/>
          </w:cols>
          <w:pgMar w:left="236" w:top="286" w:right="579" w:bottom="1440" w:gutter="0" w:footer="0" w:header="0"/>
        </w:sectPr>
      </w:pPr>
    </w:p>
    <w:p>
      <w:pPr>
        <w:spacing w:after="0" w:line="208" w:lineRule="exact"/>
        <w:rPr>
          <w:sz w:val="24"/>
          <w:szCs w:val="24"/>
          <w:color w:val="auto"/>
        </w:rPr>
      </w:pPr>
    </w:p>
    <w:p>
      <w:pPr>
        <w:jc w:val="center"/>
        <w:ind w:right="336"/>
        <w:spacing w:after="0"/>
        <w:rPr>
          <w:sz w:val="20"/>
          <w:szCs w:val="20"/>
          <w:color w:val="auto"/>
        </w:rPr>
      </w:pPr>
      <w:r>
        <w:rPr>
          <w:rFonts w:ascii="Arial" w:cs="Arial" w:eastAsia="Arial" w:hAnsi="Arial"/>
          <w:sz w:val="16"/>
          <w:szCs w:val="16"/>
          <w:b w:val="1"/>
          <w:bCs w:val="1"/>
          <w:color w:val="auto"/>
        </w:rPr>
        <w:t>Virginia</w:t>
      </w:r>
    </w:p>
    <w:p>
      <w:pPr>
        <w:spacing w:after="0" w:line="25" w:lineRule="exact"/>
        <w:rPr>
          <w:sz w:val="24"/>
          <w:szCs w:val="24"/>
          <w:color w:val="auto"/>
        </w:rPr>
      </w:pPr>
    </w:p>
    <w:p>
      <w:pPr>
        <w:jc w:val="center"/>
        <w:ind w:right="336"/>
        <w:spacing w:after="0"/>
        <w:rPr>
          <w:sz w:val="20"/>
          <w:szCs w:val="20"/>
          <w:color w:val="auto"/>
        </w:rPr>
      </w:pPr>
      <w:r>
        <w:rPr>
          <w:rFonts w:ascii="Arial" w:cs="Arial" w:eastAsia="Arial" w:hAnsi="Arial"/>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jc w:val="center"/>
        <w:ind w:right="1120"/>
        <w:spacing w:after="0"/>
        <w:rPr>
          <w:sz w:val="20"/>
          <w:szCs w:val="20"/>
          <w:color w:val="auto"/>
        </w:rPr>
      </w:pPr>
      <w:r>
        <w:rPr>
          <w:rFonts w:ascii="Arial" w:cs="Arial" w:eastAsia="Arial" w:hAnsi="Arial"/>
          <w:sz w:val="16"/>
          <w:szCs w:val="16"/>
          <w:b w:val="1"/>
          <w:bCs w:val="1"/>
          <w:color w:val="auto"/>
        </w:rPr>
        <w:t>0-9881</w:t>
      </w:r>
    </w:p>
    <w:p>
      <w:pPr>
        <w:spacing w:after="0" w:line="25" w:lineRule="exact"/>
        <w:rPr>
          <w:sz w:val="24"/>
          <w:szCs w:val="24"/>
          <w:color w:val="auto"/>
        </w:rPr>
      </w:pPr>
    </w:p>
    <w:p>
      <w:pPr>
        <w:jc w:val="center"/>
        <w:ind w:right="1120"/>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jc w:val="center"/>
        <w:ind w:right="440"/>
        <w:spacing w:after="0"/>
        <w:rPr>
          <w:sz w:val="20"/>
          <w:szCs w:val="20"/>
          <w:color w:val="auto"/>
        </w:rPr>
      </w:pPr>
      <w:r>
        <w:rPr>
          <w:rFonts w:ascii="Arial" w:cs="Arial" w:eastAsia="Arial" w:hAnsi="Arial"/>
          <w:sz w:val="16"/>
          <w:szCs w:val="16"/>
          <w:b w:val="1"/>
          <w:bCs w:val="1"/>
          <w:color w:val="auto"/>
        </w:rPr>
        <w:t>54-1162807</w:t>
      </w:r>
    </w:p>
    <w:p>
      <w:pPr>
        <w:spacing w:after="0" w:line="25" w:lineRule="exact"/>
        <w:rPr>
          <w:sz w:val="24"/>
          <w:szCs w:val="24"/>
          <w:color w:val="auto"/>
        </w:rPr>
      </w:pPr>
    </w:p>
    <w:p>
      <w:pPr>
        <w:jc w:val="center"/>
        <w:ind w:right="440"/>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3">
            <w:col w:w="4124" w:space="720"/>
            <w:col w:w="2880" w:space="720"/>
            <w:col w:w="2640"/>
          </w:cols>
          <w:pgMar w:left="236" w:top="286" w:right="579" w:bottom="1440" w:gutter="0" w:footer="0" w:header="0"/>
          <w:type w:val="continuous"/>
        </w:sectPr>
      </w:pPr>
    </w:p>
    <w:p>
      <w:pPr>
        <w:spacing w:after="0" w:line="19" w:lineRule="exact"/>
        <w:rPr>
          <w:sz w:val="24"/>
          <w:szCs w:val="24"/>
          <w:color w:val="auto"/>
        </w:rPr>
      </w:pPr>
    </w:p>
    <w:p>
      <w:pPr>
        <w:jc w:val="center"/>
        <w:ind w:right="1936"/>
        <w:spacing w:after="0"/>
        <w:rPr>
          <w:sz w:val="20"/>
          <w:szCs w:val="20"/>
          <w:color w:val="auto"/>
        </w:rPr>
      </w:pPr>
      <w:r>
        <w:rPr>
          <w:rFonts w:ascii="Arial" w:cs="Arial" w:eastAsia="Arial" w:hAnsi="Arial"/>
          <w:sz w:val="16"/>
          <w:szCs w:val="16"/>
          <w:b w:val="1"/>
          <w:bCs w:val="1"/>
          <w:color w:val="auto"/>
        </w:rPr>
        <w:t>500 Shentel Way</w:t>
      </w:r>
    </w:p>
    <w:p>
      <w:pPr>
        <w:spacing w:after="0" w:line="25" w:lineRule="exact"/>
        <w:rPr>
          <w:sz w:val="24"/>
          <w:szCs w:val="24"/>
          <w:color w:val="auto"/>
        </w:rPr>
      </w:pPr>
    </w:p>
    <w:p>
      <w:pPr>
        <w:jc w:val="center"/>
        <w:ind w:right="1936"/>
        <w:spacing w:after="0"/>
        <w:rPr>
          <w:sz w:val="20"/>
          <w:szCs w:val="20"/>
          <w:color w:val="auto"/>
        </w:rPr>
      </w:pPr>
      <w:r>
        <w:rPr>
          <w:rFonts w:ascii="Arial" w:cs="Arial" w:eastAsia="Arial" w:hAnsi="Arial"/>
          <w:sz w:val="16"/>
          <w:szCs w:val="16"/>
          <w:b w:val="1"/>
          <w:bCs w:val="1"/>
          <w:color w:val="auto"/>
        </w:rPr>
        <w:t>P.O. Box 459</w:t>
      </w:r>
    </w:p>
    <w:p>
      <w:pPr>
        <w:spacing w:after="0" w:line="8" w:lineRule="exact"/>
        <w:rPr>
          <w:sz w:val="24"/>
          <w:szCs w:val="24"/>
          <w:color w:val="auto"/>
        </w:rPr>
      </w:pPr>
    </w:p>
    <w:p>
      <w:pPr>
        <w:jc w:val="center"/>
        <w:ind w:right="1936"/>
        <w:spacing w:after="0"/>
        <w:rPr>
          <w:sz w:val="20"/>
          <w:szCs w:val="20"/>
          <w:color w:val="auto"/>
        </w:rPr>
      </w:pPr>
      <w:r>
        <w:rPr>
          <w:rFonts w:ascii="Arial" w:cs="Arial" w:eastAsia="Arial" w:hAnsi="Arial"/>
          <w:sz w:val="16"/>
          <w:szCs w:val="16"/>
          <w:b w:val="1"/>
          <w:bCs w:val="1"/>
          <w:color w:val="auto"/>
        </w:rPr>
        <w:t>Edinburg, VA</w:t>
      </w:r>
    </w:p>
    <w:p>
      <w:pPr>
        <w:spacing w:after="0" w:line="8" w:lineRule="exact"/>
        <w:rPr>
          <w:sz w:val="24"/>
          <w:szCs w:val="24"/>
          <w:color w:val="auto"/>
        </w:rPr>
      </w:pPr>
    </w:p>
    <w:p>
      <w:pPr>
        <w:jc w:val="center"/>
        <w:ind w:right="1936"/>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22824</w:t>
      </w:r>
    </w:p>
    <w:p>
      <w:pPr>
        <w:spacing w:after="0" w:line="25" w:lineRule="exact"/>
        <w:rPr>
          <w:sz w:val="24"/>
          <w:szCs w:val="24"/>
          <w:color w:val="auto"/>
        </w:rPr>
      </w:pPr>
    </w:p>
    <w:p>
      <w:pPr>
        <w:jc w:val="center"/>
        <w:ind w:right="2100"/>
        <w:spacing w:after="0"/>
        <w:rPr>
          <w:sz w:val="20"/>
          <w:szCs w:val="20"/>
          <w:color w:val="auto"/>
        </w:rPr>
      </w:pPr>
      <w:r>
        <w:rPr>
          <w:rFonts w:ascii="Arial" w:cs="Arial" w:eastAsia="Arial" w:hAnsi="Arial"/>
          <w:sz w:val="14"/>
          <w:szCs w:val="14"/>
          <w:color w:val="auto"/>
        </w:rPr>
        <w:t>(Zip Code)</w:t>
      </w:r>
    </w:p>
    <w:p>
      <w:pPr>
        <w:spacing w:after="0" w:line="200" w:lineRule="exact"/>
        <w:rPr>
          <w:sz w:val="24"/>
          <w:szCs w:val="24"/>
          <w:color w:val="auto"/>
        </w:rPr>
      </w:pPr>
    </w:p>
    <w:p>
      <w:pPr>
        <w:sectPr>
          <w:pgSz w:w="11900" w:h="16838" w:orient="portrait"/>
          <w:cols w:equalWidth="0" w:num="2">
            <w:col w:w="7564" w:space="720"/>
            <w:col w:w="2800"/>
          </w:cols>
          <w:pgMar w:left="236" w:top="286" w:right="579" w:bottom="1440" w:gutter="0" w:footer="0" w:header="0"/>
          <w:type w:val="continuous"/>
        </w:sectPr>
      </w:pPr>
    </w:p>
    <w:p>
      <w:pPr>
        <w:spacing w:after="0" w:line="31" w:lineRule="exact"/>
        <w:rPr>
          <w:sz w:val="24"/>
          <w:szCs w:val="24"/>
          <w:color w:val="auto"/>
        </w:rPr>
      </w:pPr>
    </w:p>
    <w:p>
      <w:pPr>
        <w:ind w:left="4"/>
        <w:spacing w:after="0"/>
        <w:rPr>
          <w:sz w:val="20"/>
          <w:szCs w:val="20"/>
          <w:color w:val="auto"/>
        </w:rPr>
      </w:pPr>
      <w:r>
        <w:rPr>
          <w:rFonts w:ascii="Arial" w:cs="Arial" w:eastAsia="Arial" w:hAnsi="Arial"/>
          <w:sz w:val="16"/>
          <w:szCs w:val="16"/>
          <w:b w:val="1"/>
          <w:bCs w:val="1"/>
          <w:color w:val="auto"/>
        </w:rPr>
        <w:t>Registrant’s telephone number, including area code: (540) 984-4141</w:t>
      </w:r>
    </w:p>
    <w:p>
      <w:pPr>
        <w:spacing w:after="0" w:line="224" w:lineRule="exact"/>
        <w:rPr>
          <w:sz w:val="24"/>
          <w:szCs w:val="24"/>
          <w:color w:val="auto"/>
        </w:rPr>
      </w:pPr>
    </w:p>
    <w:p>
      <w:pPr>
        <w:jc w:val="center"/>
        <w:ind w:right="-363"/>
        <w:spacing w:after="0"/>
        <w:rPr>
          <w:sz w:val="20"/>
          <w:szCs w:val="20"/>
          <w:color w:val="auto"/>
        </w:rPr>
      </w:pPr>
      <w:r>
        <w:rPr>
          <w:rFonts w:ascii="Arial" w:cs="Arial" w:eastAsia="Arial" w:hAnsi="Arial"/>
          <w:sz w:val="14"/>
          <w:szCs w:val="14"/>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2529840</wp:posOffset>
            </wp:positionH>
            <wp:positionV relativeFrom="paragraph">
              <wp:posOffset>88900</wp:posOffset>
            </wp:positionV>
            <wp:extent cx="2202180"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02180" cy="20320"/>
                    </a:xfrm>
                    <a:prstGeom prst="rect">
                      <a:avLst/>
                    </a:prstGeom>
                    <a:noFill/>
                  </pic:spPr>
                </pic:pic>
              </a:graphicData>
            </a:graphic>
          </wp:anchor>
        </w:drawing>
      </w:r>
    </w:p>
    <w:p>
      <w:pPr>
        <w:sectPr>
          <w:pgSz w:w="11900" w:h="16838" w:orient="portrait"/>
          <w:cols w:equalWidth="0" w:num="1">
            <w:col w:w="11084"/>
          </w:cols>
          <w:pgMar w:left="236" w:top="286" w:right="579" w:bottom="1440" w:gutter="0" w:footer="0" w:header="0"/>
          <w:type w:val="continuous"/>
        </w:sectPr>
      </w:pPr>
    </w:p>
    <w:p>
      <w:pPr>
        <w:spacing w:after="0" w:line="247" w:lineRule="exact"/>
        <w:rPr>
          <w:sz w:val="24"/>
          <w:szCs w:val="24"/>
          <w:color w:val="auto"/>
        </w:rPr>
      </w:pPr>
    </w:p>
    <w:p>
      <w:pPr>
        <w:jc w:val="center"/>
        <w:ind w:right="-343"/>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pacing w:after="0" w:line="228" w:lineRule="exact"/>
        <w:rPr>
          <w:sz w:val="24"/>
          <w:szCs w:val="24"/>
          <w:color w:val="auto"/>
        </w:rPr>
      </w:pPr>
    </w:p>
    <w:p>
      <w:pPr>
        <w:ind w:left="44"/>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 (see</w:t>
      </w:r>
    </w:p>
    <w:p>
      <w:pPr>
        <w:spacing w:after="0" w:line="44" w:lineRule="exact"/>
        <w:rPr>
          <w:sz w:val="24"/>
          <w:szCs w:val="24"/>
          <w:color w:val="auto"/>
        </w:rPr>
      </w:pPr>
    </w:p>
    <w:p>
      <w:pPr>
        <w:ind w:left="4"/>
        <w:spacing w:after="0"/>
        <w:rPr>
          <w:sz w:val="20"/>
          <w:szCs w:val="20"/>
          <w:color w:val="auto"/>
        </w:rPr>
      </w:pPr>
      <w:r>
        <w:rPr>
          <w:rFonts w:ascii="Arial" w:cs="Arial" w:eastAsia="Arial" w:hAnsi="Arial"/>
          <w:sz w:val="16"/>
          <w:szCs w:val="16"/>
          <w:color w:val="auto"/>
        </w:rPr>
        <w:t>General Instruction A.2. below):</w:t>
      </w:r>
    </w:p>
    <w:p>
      <w:pPr>
        <w:spacing w:after="0" w:line="188" w:lineRule="exact"/>
        <w:rPr>
          <w:sz w:val="24"/>
          <w:szCs w:val="24"/>
          <w:color w:val="auto"/>
        </w:rPr>
      </w:pPr>
    </w:p>
    <w:p>
      <w:pPr>
        <w:ind w:left="284" w:hanging="284"/>
        <w:spacing w:after="0"/>
        <w:tabs>
          <w:tab w:leader="none" w:pos="284"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24" w:lineRule="exact"/>
        <w:rPr>
          <w:rFonts w:ascii="Arial" w:cs="Arial" w:eastAsia="Arial" w:hAnsi="Arial"/>
          <w:sz w:val="16"/>
          <w:szCs w:val="16"/>
          <w:color w:val="auto"/>
        </w:rPr>
      </w:pPr>
    </w:p>
    <w:p>
      <w:pPr>
        <w:ind w:left="284" w:hanging="284"/>
        <w:spacing w:after="0"/>
        <w:tabs>
          <w:tab w:leader="none" w:pos="284"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24" w:lineRule="exact"/>
        <w:rPr>
          <w:rFonts w:ascii="Arial" w:cs="Arial" w:eastAsia="Arial" w:hAnsi="Arial"/>
          <w:sz w:val="16"/>
          <w:szCs w:val="16"/>
          <w:color w:val="auto"/>
        </w:rPr>
      </w:pPr>
    </w:p>
    <w:p>
      <w:pPr>
        <w:ind w:left="284" w:hanging="284"/>
        <w:spacing w:after="0"/>
        <w:tabs>
          <w:tab w:leader="none" w:pos="284"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24" w:lineRule="exact"/>
        <w:rPr>
          <w:rFonts w:ascii="Arial" w:cs="Arial" w:eastAsia="Arial" w:hAnsi="Arial"/>
          <w:sz w:val="16"/>
          <w:szCs w:val="16"/>
          <w:color w:val="auto"/>
        </w:rPr>
      </w:pPr>
    </w:p>
    <w:p>
      <w:pPr>
        <w:ind w:left="284" w:hanging="284"/>
        <w:spacing w:after="0"/>
        <w:tabs>
          <w:tab w:leader="none" w:pos="284"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79375</wp:posOffset>
            </wp:positionV>
            <wp:extent cx="726694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6940" cy="40640"/>
                    </a:xfrm>
                    <a:prstGeom prst="rect">
                      <a:avLst/>
                    </a:prstGeom>
                    <a:noFill/>
                  </pic:spPr>
                </pic:pic>
              </a:graphicData>
            </a:graphic>
          </wp:anchor>
        </w:drawing>
      </w:r>
    </w:p>
    <w:p>
      <w:pPr>
        <w:spacing w:after="0" w:line="369" w:lineRule="exact"/>
        <w:rPr>
          <w:sz w:val="24"/>
          <w:szCs w:val="24"/>
          <w:color w:val="auto"/>
        </w:rPr>
      </w:pPr>
    </w:p>
    <w:p>
      <w:pPr>
        <w:jc w:val="center"/>
        <w:ind w:right="-343"/>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7266940"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084"/>
          </w:cols>
          <w:pgMar w:left="236" w:top="286" w:right="5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228" w:lineRule="exact"/>
        <w:rPr>
          <w:sz w:val="20"/>
          <w:szCs w:val="20"/>
          <w:color w:val="auto"/>
        </w:rPr>
      </w:pPr>
    </w:p>
    <w:p>
      <w:pPr>
        <w:spacing w:after="0" w:line="351" w:lineRule="auto"/>
        <w:rPr>
          <w:sz w:val="20"/>
          <w:szCs w:val="20"/>
          <w:color w:val="auto"/>
        </w:rPr>
      </w:pPr>
      <w:r>
        <w:rPr>
          <w:rFonts w:ascii="Arial" w:cs="Arial" w:eastAsia="Arial" w:hAnsi="Arial"/>
          <w:sz w:val="14"/>
          <w:szCs w:val="14"/>
          <w:color w:val="auto"/>
        </w:rPr>
        <w:t>The following information is furnished pursuant to Regulation FD: On March 2, 2012, Shenandoah Telecommunications Company held its fourth quarter 2011 earnings release conference call. The materials attached hereto as Exhibit 99.1 were utilized during the conference call. These materials are also available on the Company’s website.</w:t>
      </w:r>
    </w:p>
    <w:p>
      <w:pPr>
        <w:spacing w:after="0" w:line="130" w:lineRule="exact"/>
        <w:rPr>
          <w:sz w:val="20"/>
          <w:szCs w:val="20"/>
          <w:color w:val="auto"/>
        </w:rPr>
      </w:pPr>
    </w:p>
    <w:p>
      <w:pPr>
        <w:spacing w:after="0" w:line="308" w:lineRule="auto"/>
        <w:rPr>
          <w:sz w:val="20"/>
          <w:szCs w:val="20"/>
          <w:color w:val="auto"/>
        </w:rPr>
      </w:pPr>
      <w:r>
        <w:rPr>
          <w:rFonts w:ascii="Arial" w:cs="Arial" w:eastAsia="Arial" w:hAnsi="Arial"/>
          <w:sz w:val="14"/>
          <w:szCs w:val="14"/>
          <w:color w:val="auto"/>
        </w:rPr>
        <w:t>These materials may contain forward-looking statements about Shenandoah Telecommunications regarding, among other things, our business strategy, our prospects and our financial position. These statements can be identified by the use of forward-looking terminology such as “believes,” “estimates,” “expects,” “intends,” “may,” “will,” “should,” “could,” or “anticipates” or the negative or other variation of these or similar words, or by discussions of strategy or risks and uncertainties. Shenandoah Telecommunications undertakes no obligation to revise or update such statements to reflect current events or circumstances after the date hereof, or to reflect the occurrence of unanticipated events.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24"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(c)  Exhibits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exhibit is furnished with this Current Report on Form 8-K.</w:t>
      </w:r>
    </w:p>
    <w:p>
      <w:pPr>
        <w:spacing w:after="0" w:line="220" w:lineRule="exact"/>
        <w:rPr>
          <w:sz w:val="20"/>
          <w:szCs w:val="20"/>
          <w:color w:val="auto"/>
        </w:rPr>
      </w:pPr>
    </w:p>
    <w:p>
      <w:pPr>
        <w:ind w:left="280"/>
        <w:spacing w:after="0"/>
        <w:tabs>
          <w:tab w:leader="none" w:pos="1120" w:val="left"/>
        </w:tabs>
        <w:rPr>
          <w:sz w:val="20"/>
          <w:szCs w:val="20"/>
          <w:color w:val="auto"/>
        </w:rPr>
      </w:pPr>
      <w:r>
        <w:rPr>
          <w:rFonts w:ascii="Arial" w:cs="Arial" w:eastAsia="Arial" w:hAnsi="Arial"/>
          <w:sz w:val="16"/>
          <w:szCs w:val="16"/>
          <w:b w:val="1"/>
          <w:bCs w:val="1"/>
          <w:u w:val="single" w:color="auto"/>
          <w:color w:val="0000EE"/>
        </w:rPr>
        <w:t>99.1</w:t>
      </w:r>
      <w:r>
        <w:rPr>
          <w:sz w:val="20"/>
          <w:szCs w:val="20"/>
          <w:color w:val="auto"/>
        </w:rPr>
        <w:tab/>
      </w:r>
      <w:r>
        <w:rPr>
          <w:rFonts w:ascii="Arial" w:cs="Arial" w:eastAsia="Arial" w:hAnsi="Arial"/>
          <w:sz w:val="14"/>
          <w:szCs w:val="14"/>
          <w:b w:val="1"/>
          <w:bCs w:val="1"/>
          <w:color w:val="auto"/>
        </w:rPr>
        <w:t>Fourth Quarter 2011 Earnings Release Conference Call Slides</w:t>
      </w: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SIGNATURE</w:t>
      </w:r>
    </w:p>
    <w:p>
      <w:pPr>
        <w:spacing w:after="0" w:line="228" w:lineRule="exact"/>
        <w:rPr>
          <w:sz w:val="20"/>
          <w:szCs w:val="20"/>
          <w:color w:val="auto"/>
        </w:rPr>
      </w:pPr>
    </w:p>
    <w:p>
      <w:pPr>
        <w:ind w:right="360"/>
        <w:spacing w:after="0" w:line="27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SHENANDOAH TELECOMMUNICATIONS COMPANY</w:t>
      </w:r>
    </w:p>
    <w:p>
      <w:pPr>
        <w:spacing w:after="0" w:line="21" w:lineRule="exact"/>
        <w:rPr>
          <w:sz w:val="20"/>
          <w:szCs w:val="20"/>
          <w:color w:val="auto"/>
        </w:rPr>
      </w:pPr>
    </w:p>
    <w:p>
      <w:pPr>
        <w:ind w:left="860"/>
        <w:spacing w:after="0"/>
        <w:rPr>
          <w:sz w:val="20"/>
          <w:szCs w:val="20"/>
          <w:color w:val="auto"/>
        </w:rPr>
      </w:pPr>
      <w:r>
        <w:rPr>
          <w:rFonts w:ascii="Arial" w:cs="Arial" w:eastAsia="Arial" w:hAnsi="Arial"/>
          <w:sz w:val="16"/>
          <w:szCs w:val="16"/>
          <w:color w:val="auto"/>
        </w:rPr>
        <w:t>(Registrant)</w:t>
      </w:r>
    </w:p>
    <w:p>
      <w:pPr>
        <w:spacing w:after="0" w:line="212" w:lineRule="exact"/>
        <w:rPr>
          <w:sz w:val="20"/>
          <w:szCs w:val="20"/>
          <w:color w:val="auto"/>
        </w:rPr>
      </w:pPr>
    </w:p>
    <w:p>
      <w:pPr>
        <w:ind w:left="580"/>
        <w:spacing w:after="0"/>
        <w:tabs>
          <w:tab w:leader="none" w:pos="5700" w:val="left"/>
        </w:tabs>
        <w:rPr>
          <w:sz w:val="20"/>
          <w:szCs w:val="20"/>
          <w:color w:val="auto"/>
        </w:rPr>
      </w:pPr>
      <w:r>
        <w:rPr>
          <w:rFonts w:ascii="Arial" w:cs="Arial" w:eastAsia="Arial" w:hAnsi="Arial"/>
          <w:sz w:val="16"/>
          <w:szCs w:val="16"/>
          <w:color w:val="auto"/>
        </w:rPr>
        <w:t>March 2, 2012</w:t>
      </w:r>
      <w:r>
        <w:rPr>
          <w:sz w:val="20"/>
          <w:szCs w:val="20"/>
          <w:color w:val="auto"/>
        </w:rPr>
        <w:tab/>
      </w:r>
      <w:r>
        <w:rPr>
          <w:rFonts w:ascii="Arial" w:cs="Arial" w:eastAsia="Arial" w:hAnsi="Arial"/>
          <w:sz w:val="15"/>
          <w:szCs w:val="15"/>
          <w:color w:val="auto"/>
        </w:rPr>
        <w:t>/S/ Adele M. Skolits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3636010</wp:posOffset>
            </wp:positionH>
            <wp:positionV relativeFrom="paragraph">
              <wp:posOffset>20955</wp:posOffset>
            </wp:positionV>
            <wp:extent cx="2174240"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74240" cy="15240"/>
                    </a:xfrm>
                    <a:prstGeom prst="rect">
                      <a:avLst/>
                    </a:prstGeom>
                    <a:noFill/>
                  </pic:spPr>
                </pic:pic>
              </a:graphicData>
            </a:graphic>
          </wp:anchor>
        </w:drawing>
      </w:r>
    </w:p>
    <w:p>
      <w:pPr>
        <w:spacing w:after="0" w:line="24"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Adele M. Skolits</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Vice President - Finance and</w:t>
      </w:r>
    </w:p>
    <w:p>
      <w:pPr>
        <w:spacing w:after="0" w:line="8"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Chief Financial Officer</w:t>
      </w:r>
    </w:p>
    <w:p>
      <w:pPr>
        <w:spacing w:after="0" w:line="8"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(Duly Authorized Officer)</w:t>
      </w: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57785</wp:posOffset>
            </wp:positionV>
            <wp:extent cx="7282180"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2180" cy="20320"/>
                    </a:xfrm>
                    <a:prstGeom prst="rect">
                      <a:avLst/>
                    </a:prstGeom>
                    <a:noFill/>
                  </pic:spPr>
                </pic:pic>
              </a:graphicData>
            </a:graphic>
          </wp:anchor>
        </w:drawing>
      </w:r>
    </w:p>
    <w:p>
      <w:pPr>
        <w:sectPr>
          <w:pgSz w:w="11900" w:h="16838" w:orient="portrait"/>
          <w:cols w:equalWidth="0" w:num="1">
            <w:col w:w="11280"/>
          </w:cols>
          <w:pgMar w:left="240" w:top="471" w:right="379" w:bottom="1440" w:gutter="0" w:footer="0" w:header="0"/>
        </w:sectPr>
      </w:pPr>
    </w:p>
    <w:bookmarkStart w:id="2" w:name="page3"/>
    <w:bookmarkEnd w:id="2"/>
    <w:p>
      <w:pPr>
        <w:ind w:left="7640"/>
        <w:spacing w:after="0"/>
        <w:rPr>
          <w:sz w:val="20"/>
          <w:szCs w:val="20"/>
          <w:color w:val="auto"/>
        </w:rPr>
      </w:pPr>
      <w:r>
        <w:rPr>
          <w:rFonts w:ascii="Arial" w:cs="Arial" w:eastAsia="Arial" w:hAnsi="Arial"/>
          <w:sz w:val="29"/>
          <w:szCs w:val="29"/>
          <w:color w:val="auto"/>
        </w:rPr>
        <w:drawing>
          <wp:anchor simplePos="0" relativeHeight="251657728" behindDoc="1" locked="0" layoutInCell="0" allowOverlap="1">
            <wp:simplePos x="0" y="0"/>
            <wp:positionH relativeFrom="page">
              <wp:posOffset>147320</wp:posOffset>
            </wp:positionH>
            <wp:positionV relativeFrom="page">
              <wp:posOffset>88900</wp:posOffset>
            </wp:positionV>
            <wp:extent cx="7320280" cy="5720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20280" cy="5720715"/>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42"/>
          <w:szCs w:val="42"/>
          <w:b w:val="1"/>
          <w:bCs w:val="1"/>
          <w:color w:val="840039"/>
        </w:rPr>
        <w:t>4Q 2011 Earnings Conference Call</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30"/>
          <w:szCs w:val="30"/>
          <w:b w:val="1"/>
          <w:bCs w:val="1"/>
          <w:color w:val="auto"/>
        </w:rPr>
        <w:t>March 2,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415925</wp:posOffset>
            </wp:positionV>
            <wp:extent cx="7266940"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9940"/>
          </w:cols>
          <w:pgMar w:left="1440" w:top="1372" w:right="519" w:bottom="1440" w:gutter="0" w:footer="0" w:header="0"/>
        </w:sectPr>
      </w:pPr>
    </w:p>
    <w:bookmarkStart w:id="3" w:name="page4"/>
    <w:bookmarkEnd w:id="3"/>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Safe Harbor Statement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80" w:right="1260"/>
        <w:spacing w:after="0" w:line="255" w:lineRule="auto"/>
        <w:rPr>
          <w:sz w:val="20"/>
          <w:szCs w:val="20"/>
          <w:color w:val="auto"/>
        </w:rPr>
      </w:pPr>
      <w:r>
        <w:rPr>
          <w:rFonts w:ascii="Arial" w:cs="Arial" w:eastAsia="Arial" w:hAnsi="Arial"/>
          <w:sz w:val="23"/>
          <w:szCs w:val="23"/>
          <w:color w:val="auto"/>
        </w:rPr>
        <w:t>This presentation includes “forward-looking statements” within the meaning of Section 27A of the Securities Act and Section 21E of the Securities Exchange Act of 1934, as amended, regarding, among other things, our business strategy, our prospects and our financial position. These statements can be identified by the use of forward-looking terminology such as “believes,” “estimates,” “expects,” “intends,” “may,” “will,” “should,” “could,” or “anticipates” or the negative or other variation of these similar words, or by discussions of strategy or risks and uncertainties. These statements are based on current expectations of future events. If underlying assumptions prove inaccurate or unknown risks or uncertainties materialize, actual results could vary materially from the Company’s expectations and projections. Important factors that could cause actual results to differ materially from such forward-looking statements include, without limitation, risks related to the following:</w:t>
      </w:r>
    </w:p>
    <w:p>
      <w:pPr>
        <w:spacing w:after="0" w:line="99" w:lineRule="exact"/>
        <w:rPr>
          <w:sz w:val="20"/>
          <w:szCs w:val="20"/>
          <w:color w:val="auto"/>
        </w:rPr>
      </w:pPr>
    </w:p>
    <w:p>
      <w:pPr>
        <w:ind w:left="380" w:right="3920"/>
        <w:spacing w:after="0" w:line="393" w:lineRule="auto"/>
        <w:rPr>
          <w:sz w:val="20"/>
          <w:szCs w:val="20"/>
          <w:color w:val="auto"/>
        </w:rPr>
      </w:pPr>
      <w:r>
        <w:rPr>
          <w:rFonts w:ascii="Arial" w:cs="Arial" w:eastAsia="Arial" w:hAnsi="Arial"/>
          <w:sz w:val="25"/>
          <w:szCs w:val="25"/>
          <w:color w:val="840039"/>
        </w:rPr>
        <w:t>q</w:t>
      </w:r>
      <w:r>
        <w:rPr>
          <w:rFonts w:ascii="Arial" w:cs="Arial" w:eastAsia="Arial" w:hAnsi="Arial"/>
          <w:sz w:val="25"/>
          <w:szCs w:val="25"/>
          <w:color w:val="000000"/>
        </w:rPr>
        <w:t>Increasing competition in the communications industry; and</w:t>
      </w:r>
      <w:r>
        <w:rPr>
          <w:rFonts w:ascii="Arial" w:cs="Arial" w:eastAsia="Arial" w:hAnsi="Arial"/>
          <w:sz w:val="25"/>
          <w:szCs w:val="25"/>
          <w:color w:val="840039"/>
        </w:rPr>
        <w:t xml:space="preserve"> q</w:t>
      </w:r>
      <w:r>
        <w:rPr>
          <w:rFonts w:ascii="Arial" w:cs="Arial" w:eastAsia="Arial" w:hAnsi="Arial"/>
          <w:sz w:val="25"/>
          <w:szCs w:val="25"/>
          <w:color w:val="000000"/>
        </w:rPr>
        <w:t>A complex and uncertain regulatory environment.</w:t>
      </w:r>
    </w:p>
    <w:p>
      <w:pPr>
        <w:spacing w:after="0" w:line="92" w:lineRule="exact"/>
        <w:rPr>
          <w:sz w:val="20"/>
          <w:szCs w:val="20"/>
          <w:color w:val="auto"/>
        </w:rPr>
      </w:pPr>
    </w:p>
    <w:p>
      <w:pPr>
        <w:ind w:left="380" w:right="1240"/>
        <w:spacing w:after="0" w:line="229" w:lineRule="auto"/>
        <w:rPr>
          <w:sz w:val="20"/>
          <w:szCs w:val="20"/>
          <w:color w:val="auto"/>
        </w:rPr>
      </w:pPr>
      <w:r>
        <w:rPr>
          <w:rFonts w:ascii="Arial" w:cs="Arial" w:eastAsia="Arial" w:hAnsi="Arial"/>
          <w:sz w:val="26"/>
          <w:szCs w:val="26"/>
          <w:color w:val="auto"/>
        </w:rPr>
        <w:t>A further list and description of these risks, uncertainties and other factors can be found in the Company’s SEC filings which are available online at www.sec.gov, www.shentel.com or on request from the Company. The Company does not undertake to update any forward-looking statements as a result of new information or future events or developments.</w:t>
      </w:r>
    </w:p>
    <w:p>
      <w:pPr>
        <w:spacing w:after="0" w:line="34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396875</wp:posOffset>
            </wp:positionV>
            <wp:extent cx="7266940"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00"/>
          </w:cols>
          <w:pgMar w:left="600" w:top="990" w:right="699" w:bottom="1440" w:gutter="0" w:footer="0" w:header="0"/>
        </w:sectPr>
      </w:pPr>
    </w:p>
    <w:bookmarkStart w:id="4" w:name="page5"/>
    <w:bookmarkEnd w:id="4"/>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Use of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80" w:right="1140"/>
        <w:spacing w:after="0" w:line="255" w:lineRule="auto"/>
        <w:rPr>
          <w:sz w:val="20"/>
          <w:szCs w:val="20"/>
          <w:color w:val="auto"/>
        </w:rPr>
      </w:pPr>
      <w:r>
        <w:rPr>
          <w:rFonts w:ascii="Arial" w:cs="Arial" w:eastAsia="Arial" w:hAnsi="Arial"/>
          <w:sz w:val="23"/>
          <w:szCs w:val="23"/>
          <w:color w:val="auto"/>
        </w:rPr>
        <w:t>Included in this presentation are certain non-GAAP financial measures that are not determined in accordance with US generally accepted accounting principles. These financial performance measures are not indicative of cash provided or used by operating activities and exclude the effects of certain operating, capital and financing costs and may differ from comparable information provided by other companies, and they should not be considered in isolation, as an alternative to, or more meaningful than measures of financial performance determined in accordance with US generally accepted accounting principles. These financial performance measures are commonly used in the industry and are presented because Shentel believes they provide relevant and useful information to investors. Shentel utilizes these financial performance measures to assess its ability to meet future capital expenditure and working capital requirements, to incur indebtedness if necessary, return investment to shareholders and to fund continued growth. Shentel also uses these financial performance measures to evaluate the performance of its businesses and for budget planning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396875</wp:posOffset>
            </wp:positionV>
            <wp:extent cx="7266940" cy="20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00"/>
          </w:cols>
          <w:pgMar w:left="600" w:top="990" w:right="69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80"/>
        <w:spacing w:after="0"/>
        <w:rPr>
          <w:sz w:val="20"/>
          <w:szCs w:val="20"/>
          <w:color w:val="auto"/>
        </w:rPr>
      </w:pPr>
      <w:r>
        <w:rPr>
          <w:rFonts w:ascii="Arial" w:cs="Arial" w:eastAsia="Arial" w:hAnsi="Arial"/>
          <w:sz w:val="58"/>
          <w:szCs w:val="58"/>
          <w:b w:val="1"/>
          <w:bCs w:val="1"/>
          <w:color w:val="840039"/>
        </w:rPr>
        <w:t>Chris French</w:t>
      </w:r>
    </w:p>
    <w:p>
      <w:pPr>
        <w:spacing w:after="0" w:line="200" w:lineRule="exact"/>
        <w:rPr>
          <w:sz w:val="20"/>
          <w:szCs w:val="20"/>
          <w:color w:val="auto"/>
        </w:rPr>
      </w:pPr>
    </w:p>
    <w:p>
      <w:pPr>
        <w:spacing w:after="0" w:line="326" w:lineRule="exact"/>
        <w:rPr>
          <w:sz w:val="20"/>
          <w:szCs w:val="20"/>
          <w:color w:val="auto"/>
        </w:rPr>
      </w:pPr>
    </w:p>
    <w:p>
      <w:pPr>
        <w:ind w:left="2380"/>
        <w:spacing w:after="0"/>
        <w:rPr>
          <w:sz w:val="20"/>
          <w:szCs w:val="20"/>
          <w:color w:val="auto"/>
        </w:rPr>
      </w:pPr>
      <w:r>
        <w:rPr>
          <w:rFonts w:ascii="Arial" w:cs="Arial" w:eastAsia="Arial" w:hAnsi="Arial"/>
          <w:sz w:val="58"/>
          <w:szCs w:val="58"/>
          <w:color w:val="auto"/>
        </w:rPr>
        <w:t>CEO and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396875</wp:posOffset>
            </wp:positionV>
            <wp:extent cx="7266940"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9760"/>
          </w:cols>
          <w:pgMar w:left="1440" w:top="1440" w:right="699" w:bottom="1440" w:gutter="0" w:footer="0" w:header="0"/>
        </w:sectPr>
      </w:pPr>
    </w:p>
    <w:bookmarkStart w:id="6" w:name="page7"/>
    <w:bookmarkEnd w:id="6"/>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4Q’11 Highlights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00" w:hanging="287"/>
        <w:spacing w:after="0"/>
        <w:tabs>
          <w:tab w:leader="none" w:pos="500" w:val="left"/>
        </w:tabs>
        <w:numPr>
          <w:ilvl w:val="0"/>
          <w:numId w:val="2"/>
        </w:numPr>
        <w:rPr>
          <w:rFonts w:ascii="Arial" w:cs="Arial" w:eastAsia="Arial" w:hAnsi="Arial"/>
          <w:sz w:val="35"/>
          <w:szCs w:val="35"/>
          <w:color w:val="840039"/>
        </w:rPr>
      </w:pPr>
      <w:r>
        <w:rPr>
          <w:rFonts w:ascii="Arial" w:cs="Arial" w:eastAsia="Arial" w:hAnsi="Arial"/>
          <w:sz w:val="35"/>
          <w:szCs w:val="35"/>
          <w:b w:val="1"/>
          <w:bCs w:val="1"/>
          <w:color w:val="840039"/>
        </w:rPr>
        <w:t>Customer Growth</w:t>
      </w:r>
    </w:p>
    <w:p>
      <w:pPr>
        <w:spacing w:after="0" w:line="200" w:lineRule="exact"/>
        <w:rPr>
          <w:rFonts w:ascii="Arial" w:cs="Arial" w:eastAsia="Arial" w:hAnsi="Arial"/>
          <w:sz w:val="35"/>
          <w:szCs w:val="35"/>
          <w:color w:val="840039"/>
        </w:rPr>
      </w:pPr>
    </w:p>
    <w:p>
      <w:pPr>
        <w:spacing w:after="0" w:line="200" w:lineRule="exact"/>
        <w:rPr>
          <w:rFonts w:ascii="Arial" w:cs="Arial" w:eastAsia="Arial" w:hAnsi="Arial"/>
          <w:sz w:val="35"/>
          <w:szCs w:val="35"/>
          <w:color w:val="840039"/>
        </w:rPr>
      </w:pPr>
    </w:p>
    <w:p>
      <w:pPr>
        <w:spacing w:after="0" w:line="200" w:lineRule="exact"/>
        <w:rPr>
          <w:rFonts w:ascii="Arial" w:cs="Arial" w:eastAsia="Arial" w:hAnsi="Arial"/>
          <w:sz w:val="35"/>
          <w:szCs w:val="35"/>
          <w:color w:val="840039"/>
        </w:rPr>
      </w:pPr>
    </w:p>
    <w:p>
      <w:pPr>
        <w:spacing w:after="0" w:line="200" w:lineRule="exact"/>
        <w:rPr>
          <w:rFonts w:ascii="Arial" w:cs="Arial" w:eastAsia="Arial" w:hAnsi="Arial"/>
          <w:sz w:val="35"/>
          <w:szCs w:val="35"/>
          <w:color w:val="840039"/>
        </w:rPr>
      </w:pPr>
    </w:p>
    <w:p>
      <w:pPr>
        <w:spacing w:after="0" w:line="200" w:lineRule="exact"/>
        <w:rPr>
          <w:rFonts w:ascii="Arial" w:cs="Arial" w:eastAsia="Arial" w:hAnsi="Arial"/>
          <w:sz w:val="35"/>
          <w:szCs w:val="35"/>
          <w:color w:val="840039"/>
        </w:rPr>
      </w:pPr>
    </w:p>
    <w:p>
      <w:pPr>
        <w:spacing w:after="0" w:line="200" w:lineRule="exact"/>
        <w:rPr>
          <w:rFonts w:ascii="Arial" w:cs="Arial" w:eastAsia="Arial" w:hAnsi="Arial"/>
          <w:sz w:val="35"/>
          <w:szCs w:val="35"/>
          <w:color w:val="840039"/>
        </w:rPr>
      </w:pPr>
    </w:p>
    <w:p>
      <w:pPr>
        <w:spacing w:after="0" w:line="200" w:lineRule="exact"/>
        <w:rPr>
          <w:rFonts w:ascii="Arial" w:cs="Arial" w:eastAsia="Arial" w:hAnsi="Arial"/>
          <w:sz w:val="35"/>
          <w:szCs w:val="35"/>
          <w:color w:val="840039"/>
        </w:rPr>
      </w:pPr>
    </w:p>
    <w:p>
      <w:pPr>
        <w:spacing w:after="0" w:line="200" w:lineRule="exact"/>
        <w:rPr>
          <w:rFonts w:ascii="Arial" w:cs="Arial" w:eastAsia="Arial" w:hAnsi="Arial"/>
          <w:sz w:val="35"/>
          <w:szCs w:val="35"/>
          <w:color w:val="840039"/>
        </w:rPr>
      </w:pPr>
    </w:p>
    <w:p>
      <w:pPr>
        <w:spacing w:after="0" w:line="200" w:lineRule="exact"/>
        <w:rPr>
          <w:rFonts w:ascii="Arial" w:cs="Arial" w:eastAsia="Arial" w:hAnsi="Arial"/>
          <w:sz w:val="35"/>
          <w:szCs w:val="35"/>
          <w:color w:val="840039"/>
        </w:rPr>
      </w:pPr>
    </w:p>
    <w:p>
      <w:pPr>
        <w:spacing w:after="0" w:line="200" w:lineRule="exact"/>
        <w:rPr>
          <w:rFonts w:ascii="Arial" w:cs="Arial" w:eastAsia="Arial" w:hAnsi="Arial"/>
          <w:sz w:val="35"/>
          <w:szCs w:val="35"/>
          <w:color w:val="840039"/>
        </w:rPr>
      </w:pPr>
    </w:p>
    <w:p>
      <w:pPr>
        <w:spacing w:after="0" w:line="228" w:lineRule="exact"/>
        <w:rPr>
          <w:rFonts w:ascii="Arial" w:cs="Arial" w:eastAsia="Arial" w:hAnsi="Arial"/>
          <w:sz w:val="35"/>
          <w:szCs w:val="35"/>
          <w:color w:val="840039"/>
        </w:rPr>
      </w:pPr>
    </w:p>
    <w:p>
      <w:pPr>
        <w:ind w:left="500" w:hanging="287"/>
        <w:spacing w:after="0"/>
        <w:tabs>
          <w:tab w:leader="none" w:pos="500" w:val="left"/>
        </w:tabs>
        <w:numPr>
          <w:ilvl w:val="0"/>
          <w:numId w:val="2"/>
        </w:numPr>
        <w:rPr>
          <w:rFonts w:ascii="Arial" w:cs="Arial" w:eastAsia="Arial" w:hAnsi="Arial"/>
          <w:sz w:val="35"/>
          <w:szCs w:val="35"/>
          <w:color w:val="840039"/>
        </w:rPr>
      </w:pPr>
      <w:r>
        <w:rPr>
          <w:rFonts w:ascii="Arial" w:cs="Arial" w:eastAsia="Arial" w:hAnsi="Arial"/>
          <w:sz w:val="35"/>
          <w:szCs w:val="35"/>
          <w:b w:val="1"/>
          <w:bCs w:val="1"/>
          <w:color w:val="840039"/>
        </w:rPr>
        <w:t>Revenue Growth</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32"/>
          <w:szCs w:val="32"/>
          <w:color w:val="auto"/>
        </w:rPr>
        <w:t>Revenues reach one-quarter billion</w:t>
      </w:r>
    </w:p>
    <w:p>
      <w:pPr>
        <w:spacing w:after="0" w:line="209" w:lineRule="exact"/>
        <w:rPr>
          <w:sz w:val="20"/>
          <w:szCs w:val="20"/>
          <w:color w:val="auto"/>
        </w:rPr>
      </w:pPr>
    </w:p>
    <w:p>
      <w:pPr>
        <w:ind w:left="640"/>
        <w:spacing w:after="0"/>
        <w:rPr>
          <w:sz w:val="20"/>
          <w:szCs w:val="20"/>
          <w:color w:val="auto"/>
        </w:rPr>
      </w:pPr>
      <w:r>
        <w:rPr>
          <w:rFonts w:ascii="Arial" w:cs="Arial" w:eastAsia="Arial" w:hAnsi="Arial"/>
          <w:sz w:val="32"/>
          <w:szCs w:val="32"/>
          <w:color w:val="auto"/>
        </w:rPr>
        <w:t>Revenue grew 15% over 4Q’10 to $66.5 million.</w:t>
      </w:r>
    </w:p>
    <w:p>
      <w:pPr>
        <w:spacing w:after="0" w:line="240" w:lineRule="exact"/>
        <w:rPr>
          <w:sz w:val="20"/>
          <w:szCs w:val="20"/>
          <w:color w:val="auto"/>
        </w:rPr>
      </w:pPr>
    </w:p>
    <w:p>
      <w:pPr>
        <w:ind w:left="500" w:hanging="287"/>
        <w:spacing w:after="0"/>
        <w:tabs>
          <w:tab w:leader="none" w:pos="500" w:val="left"/>
        </w:tabs>
        <w:numPr>
          <w:ilvl w:val="0"/>
          <w:numId w:val="3"/>
        </w:numPr>
        <w:rPr>
          <w:rFonts w:ascii="Arial" w:cs="Arial" w:eastAsia="Arial" w:hAnsi="Arial"/>
          <w:sz w:val="35"/>
          <w:szCs w:val="35"/>
          <w:color w:val="840039"/>
        </w:rPr>
      </w:pPr>
      <w:r>
        <w:rPr>
          <w:rFonts w:ascii="Arial" w:cs="Arial" w:eastAsia="Arial" w:hAnsi="Arial"/>
          <w:sz w:val="35"/>
          <w:szCs w:val="35"/>
          <w:b w:val="1"/>
          <w:bCs w:val="1"/>
          <w:color w:val="840039"/>
        </w:rPr>
        <w:t>Cash Dividend</w:t>
      </w:r>
    </w:p>
    <w:p>
      <w:pPr>
        <w:spacing w:after="0" w:line="196" w:lineRule="exact"/>
        <w:rPr>
          <w:sz w:val="20"/>
          <w:szCs w:val="20"/>
          <w:color w:val="auto"/>
        </w:rPr>
      </w:pPr>
    </w:p>
    <w:p>
      <w:pPr>
        <w:ind w:left="640"/>
        <w:spacing w:after="0"/>
        <w:rPr>
          <w:sz w:val="20"/>
          <w:szCs w:val="20"/>
          <w:color w:val="auto"/>
        </w:rPr>
      </w:pPr>
      <w:r>
        <w:rPr>
          <w:rFonts w:ascii="Arial" w:cs="Arial" w:eastAsia="Arial" w:hAnsi="Arial"/>
          <w:sz w:val="35"/>
          <w:szCs w:val="35"/>
          <w:color w:val="auto"/>
        </w:rPr>
        <w:t>52</w:t>
      </w:r>
      <w:r>
        <w:rPr>
          <w:rFonts w:ascii="Arial" w:cs="Arial" w:eastAsia="Arial" w:hAnsi="Arial"/>
          <w:sz w:val="49"/>
          <w:szCs w:val="49"/>
          <w:color w:val="auto"/>
          <w:vertAlign w:val="superscript"/>
        </w:rPr>
        <w:t>nd</w:t>
      </w:r>
      <w:r>
        <w:rPr>
          <w:rFonts w:ascii="Arial" w:cs="Arial" w:eastAsia="Arial" w:hAnsi="Arial"/>
          <w:sz w:val="35"/>
          <w:szCs w:val="35"/>
          <w:color w:val="auto"/>
        </w:rPr>
        <w:t xml:space="preserve"> consecutive year of annual dividends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396875</wp:posOffset>
            </wp:positionV>
            <wp:extent cx="7266940"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00"/>
          </w:cols>
          <w:pgMar w:left="600" w:top="990" w:right="699" w:bottom="1440" w:gutter="0" w:footer="0" w:header="0"/>
        </w:sectPr>
      </w:pPr>
    </w:p>
    <w:bookmarkStart w:id="7" w:name="page8"/>
    <w:bookmarkEnd w:id="7"/>
    <w:p>
      <w:pPr>
        <w:ind w:left="80"/>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Wireless Highlights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60" w:right="1680" w:hanging="359"/>
        <w:spacing w:after="0" w:line="235" w:lineRule="auto"/>
        <w:rPr>
          <w:sz w:val="20"/>
          <w:szCs w:val="20"/>
          <w:color w:val="auto"/>
        </w:rPr>
      </w:pPr>
      <w:r>
        <w:rPr>
          <w:rFonts w:ascii="Arial" w:cs="Arial" w:eastAsia="Arial" w:hAnsi="Arial"/>
          <w:sz w:val="37"/>
          <w:szCs w:val="37"/>
          <w:color w:val="840039"/>
        </w:rPr>
        <w:t>q</w:t>
      </w:r>
      <w:r>
        <w:rPr>
          <w:rFonts w:ascii="Arial" w:cs="Arial" w:eastAsia="Arial" w:hAnsi="Arial"/>
          <w:sz w:val="37"/>
          <w:szCs w:val="37"/>
          <w:b w:val="1"/>
          <w:bCs w:val="1"/>
          <w:color w:val="840039"/>
        </w:rPr>
        <w:t>Rapid Prepaid Growth</w:t>
      </w:r>
      <w:r>
        <w:rPr>
          <w:rFonts w:ascii="Arial" w:cs="Arial" w:eastAsia="Arial" w:hAnsi="Arial"/>
          <w:sz w:val="37"/>
          <w:szCs w:val="37"/>
          <w:color w:val="840039"/>
        </w:rPr>
        <w:t xml:space="preserve"> </w:t>
      </w:r>
      <w:r>
        <w:rPr>
          <w:rFonts w:ascii="Arial" w:cs="Arial" w:eastAsia="Arial" w:hAnsi="Arial"/>
          <w:sz w:val="37"/>
          <w:szCs w:val="37"/>
          <w:color w:val="000000"/>
        </w:rPr>
        <w:t>Q4’11 net additions of 8,828; 107,100 prepaid subs at 12/31</w:t>
      </w:r>
    </w:p>
    <w:p>
      <w:pPr>
        <w:spacing w:after="0" w:line="75" w:lineRule="exact"/>
        <w:rPr>
          <w:sz w:val="20"/>
          <w:szCs w:val="20"/>
          <w:color w:val="auto"/>
        </w:rPr>
      </w:pPr>
    </w:p>
    <w:p>
      <w:pPr>
        <w:ind w:left="360" w:right="1740" w:hanging="359"/>
        <w:spacing w:after="0" w:line="239" w:lineRule="auto"/>
        <w:rPr>
          <w:sz w:val="20"/>
          <w:szCs w:val="20"/>
          <w:color w:val="auto"/>
        </w:rPr>
      </w:pPr>
      <w:r>
        <w:rPr>
          <w:rFonts w:ascii="Arial" w:cs="Arial" w:eastAsia="Arial" w:hAnsi="Arial"/>
          <w:sz w:val="37"/>
          <w:szCs w:val="37"/>
          <w:color w:val="840039"/>
        </w:rPr>
        <w:t>q</w:t>
      </w:r>
      <w:r>
        <w:rPr>
          <w:rFonts w:ascii="Arial" w:cs="Arial" w:eastAsia="Arial" w:hAnsi="Arial"/>
          <w:sz w:val="37"/>
          <w:szCs w:val="37"/>
          <w:b w:val="1"/>
          <w:bCs w:val="1"/>
          <w:color w:val="840039"/>
        </w:rPr>
        <w:t>Steady Postpaid growth</w:t>
      </w:r>
      <w:r>
        <w:rPr>
          <w:rFonts w:ascii="Arial" w:cs="Arial" w:eastAsia="Arial" w:hAnsi="Arial"/>
          <w:sz w:val="37"/>
          <w:szCs w:val="37"/>
          <w:color w:val="840039"/>
        </w:rPr>
        <w:t xml:space="preserve"> </w:t>
      </w:r>
      <w:r>
        <w:rPr>
          <w:rFonts w:ascii="Arial" w:cs="Arial" w:eastAsia="Arial" w:hAnsi="Arial"/>
          <w:sz w:val="37"/>
          <w:szCs w:val="37"/>
          <w:color w:val="000000"/>
        </w:rPr>
        <w:t>Postpaid customers up 6% in the last year</w:t>
      </w:r>
    </w:p>
    <w:p>
      <w:pPr>
        <w:spacing w:after="0" w:line="86" w:lineRule="exact"/>
        <w:rPr>
          <w:sz w:val="20"/>
          <w:szCs w:val="20"/>
          <w:color w:val="auto"/>
        </w:rPr>
      </w:pPr>
    </w:p>
    <w:p>
      <w:pPr>
        <w:ind w:left="360" w:right="1980" w:hanging="359"/>
        <w:spacing w:after="0" w:line="282" w:lineRule="auto"/>
        <w:rPr>
          <w:sz w:val="20"/>
          <w:szCs w:val="20"/>
          <w:color w:val="auto"/>
        </w:rPr>
      </w:pPr>
      <w:r>
        <w:rPr>
          <w:rFonts w:ascii="Arial" w:cs="Arial" w:eastAsia="Arial" w:hAnsi="Arial"/>
          <w:sz w:val="33"/>
          <w:szCs w:val="33"/>
          <w:color w:val="840039"/>
        </w:rPr>
        <w:t>q</w:t>
      </w:r>
      <w:r>
        <w:rPr>
          <w:rFonts w:ascii="Arial" w:cs="Arial" w:eastAsia="Arial" w:hAnsi="Arial"/>
          <w:sz w:val="33"/>
          <w:szCs w:val="33"/>
          <w:b w:val="1"/>
          <w:bCs w:val="1"/>
          <w:color w:val="840039"/>
        </w:rPr>
        <w:t>Postpaid Churn improves</w:t>
      </w:r>
      <w:r>
        <w:rPr>
          <w:rFonts w:ascii="Arial" w:cs="Arial" w:eastAsia="Arial" w:hAnsi="Arial"/>
          <w:sz w:val="33"/>
          <w:szCs w:val="33"/>
          <w:color w:val="840039"/>
        </w:rPr>
        <w:t xml:space="preserve"> </w:t>
      </w:r>
      <w:r>
        <w:rPr>
          <w:rFonts w:ascii="Arial" w:cs="Arial" w:eastAsia="Arial" w:hAnsi="Arial"/>
          <w:sz w:val="33"/>
          <w:szCs w:val="33"/>
          <w:color w:val="000000"/>
        </w:rPr>
        <w:t>Annual churn of 1.8% compared to 1.9% for 2010</w:t>
      </w:r>
    </w:p>
    <w:p>
      <w:pPr>
        <w:spacing w:after="0" w:line="8" w:lineRule="exact"/>
        <w:rPr>
          <w:sz w:val="20"/>
          <w:szCs w:val="20"/>
          <w:color w:val="auto"/>
        </w:rPr>
      </w:pPr>
    </w:p>
    <w:p>
      <w:pPr>
        <w:spacing w:after="0"/>
        <w:rPr>
          <w:sz w:val="20"/>
          <w:szCs w:val="20"/>
          <w:color w:val="auto"/>
        </w:rPr>
      </w:pPr>
      <w:r>
        <w:rPr>
          <w:rFonts w:ascii="Arial" w:cs="Arial" w:eastAsia="Arial" w:hAnsi="Arial"/>
          <w:sz w:val="37"/>
          <w:szCs w:val="37"/>
          <w:color w:val="840039"/>
        </w:rPr>
        <w:t xml:space="preserve">q </w:t>
      </w:r>
      <w:r>
        <w:rPr>
          <w:rFonts w:ascii="Arial" w:cs="Arial" w:eastAsia="Arial" w:hAnsi="Arial"/>
          <w:sz w:val="37"/>
          <w:szCs w:val="37"/>
          <w:b w:val="1"/>
          <w:bCs w:val="1"/>
          <w:color w:val="840039"/>
        </w:rPr>
        <w:t>Earnings Improve</w:t>
      </w:r>
    </w:p>
    <w:p>
      <w:pPr>
        <w:spacing w:after="0" w:line="13" w:lineRule="exact"/>
        <w:rPr>
          <w:sz w:val="20"/>
          <w:szCs w:val="20"/>
          <w:color w:val="auto"/>
        </w:rPr>
      </w:pPr>
    </w:p>
    <w:p>
      <w:pPr>
        <w:ind w:left="360"/>
        <w:spacing w:after="0"/>
        <w:rPr>
          <w:sz w:val="20"/>
          <w:szCs w:val="20"/>
          <w:color w:val="auto"/>
        </w:rPr>
      </w:pPr>
      <w:r>
        <w:rPr>
          <w:rFonts w:ascii="Arial" w:cs="Arial" w:eastAsia="Arial" w:hAnsi="Arial"/>
          <w:sz w:val="34"/>
          <w:szCs w:val="34"/>
          <w:color w:val="auto"/>
        </w:rPr>
        <w:t>Annual operating income up</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37"/>
          <w:szCs w:val="37"/>
          <w:color w:val="auto"/>
        </w:rPr>
        <w:t>by $5.0 million over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972820</wp:posOffset>
            </wp:positionV>
            <wp:extent cx="7266940"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PCS Customers (000s)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6</w:t>
      </w:r>
    </w:p>
    <w:p>
      <w:pPr>
        <w:sectPr>
          <w:pgSz w:w="11900" w:h="16838" w:orient="portrait"/>
          <w:cols w:equalWidth="0" w:num="2">
            <w:col w:w="6380" w:space="720"/>
            <w:col w:w="3580"/>
          </w:cols>
          <w:pgMar w:left="520" w:top="990" w:right="699" w:bottom="1440" w:gutter="0" w:footer="0" w:header="0"/>
        </w:sectPr>
      </w:pPr>
    </w:p>
    <w:bookmarkStart w:id="8" w:name="page9"/>
    <w:bookmarkEnd w:id="8"/>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Cable Highlights</w:t>
      </w:r>
    </w:p>
    <w:p>
      <w:pPr>
        <w:spacing w:after="0" w:line="200" w:lineRule="exact"/>
        <w:rPr>
          <w:sz w:val="20"/>
          <w:szCs w:val="20"/>
          <w:color w:val="auto"/>
        </w:rPr>
      </w:pPr>
    </w:p>
    <w:p>
      <w:pPr>
        <w:spacing w:after="0" w:line="324" w:lineRule="exact"/>
        <w:rPr>
          <w:sz w:val="20"/>
          <w:szCs w:val="20"/>
          <w:color w:val="auto"/>
        </w:rPr>
      </w:pPr>
    </w:p>
    <w:p>
      <w:pPr>
        <w:ind w:left="300"/>
        <w:spacing w:after="0"/>
        <w:rPr>
          <w:sz w:val="20"/>
          <w:szCs w:val="20"/>
          <w:color w:val="auto"/>
        </w:rPr>
      </w:pPr>
      <w:r>
        <w:rPr>
          <w:rFonts w:ascii="Arial" w:cs="Arial" w:eastAsia="Arial" w:hAnsi="Arial"/>
          <w:sz w:val="38"/>
          <w:szCs w:val="38"/>
          <w:color w:val="840039"/>
        </w:rPr>
        <w:t xml:space="preserve">q </w:t>
      </w:r>
      <w:r>
        <w:rPr>
          <w:rFonts w:ascii="Arial" w:cs="Arial" w:eastAsia="Arial" w:hAnsi="Arial"/>
          <w:sz w:val="38"/>
          <w:szCs w:val="38"/>
          <w:b w:val="1"/>
          <w:bCs w:val="1"/>
          <w:color w:val="840039"/>
        </w:rPr>
        <w:t>Cable Upgrades</w:t>
      </w:r>
    </w:p>
    <w:p>
      <w:pPr>
        <w:spacing w:after="0" w:line="138" w:lineRule="exact"/>
        <w:rPr>
          <w:sz w:val="20"/>
          <w:szCs w:val="20"/>
          <w:color w:val="auto"/>
        </w:rPr>
      </w:pPr>
    </w:p>
    <w:p>
      <w:pPr>
        <w:ind w:left="1400" w:right="1280" w:hanging="515"/>
        <w:spacing w:after="0" w:line="254" w:lineRule="auto"/>
        <w:tabs>
          <w:tab w:leader="none" w:pos="1277" w:val="left"/>
        </w:tabs>
        <w:numPr>
          <w:ilvl w:val="0"/>
          <w:numId w:val="4"/>
        </w:numPr>
        <w:rPr>
          <w:rFonts w:ascii="Arial" w:cs="Arial" w:eastAsia="Arial" w:hAnsi="Arial"/>
          <w:sz w:val="31"/>
          <w:szCs w:val="31"/>
          <w:color w:val="C0C0C0"/>
        </w:rPr>
      </w:pPr>
      <w:r>
        <w:rPr>
          <w:rFonts w:ascii="Arial" w:cs="Arial" w:eastAsia="Arial" w:hAnsi="Arial"/>
          <w:sz w:val="38"/>
          <w:szCs w:val="38"/>
          <w:color w:val="auto"/>
        </w:rPr>
        <w:t>Former JetBroadband markets acquired in mid-2010 are approximately 51% complete</w:t>
      </w:r>
    </w:p>
    <w:p>
      <w:pPr>
        <w:spacing w:after="0" w:line="72" w:lineRule="exact"/>
        <w:rPr>
          <w:rFonts w:ascii="Arial" w:cs="Arial" w:eastAsia="Arial" w:hAnsi="Arial"/>
          <w:sz w:val="31"/>
          <w:szCs w:val="31"/>
          <w:color w:val="C0C0C0"/>
        </w:rPr>
      </w:pPr>
    </w:p>
    <w:p>
      <w:pPr>
        <w:ind w:left="1260" w:hanging="375"/>
        <w:spacing w:after="0"/>
        <w:tabs>
          <w:tab w:leader="none" w:pos="1260" w:val="left"/>
        </w:tabs>
        <w:numPr>
          <w:ilvl w:val="0"/>
          <w:numId w:val="4"/>
        </w:numPr>
        <w:rPr>
          <w:rFonts w:ascii="Arial" w:cs="Arial" w:eastAsia="Arial" w:hAnsi="Arial"/>
          <w:sz w:val="31"/>
          <w:szCs w:val="31"/>
          <w:color w:val="C0C0C0"/>
        </w:rPr>
      </w:pPr>
      <w:r>
        <w:rPr>
          <w:rFonts w:ascii="Arial" w:cs="Arial" w:eastAsia="Arial" w:hAnsi="Arial"/>
          <w:sz w:val="38"/>
          <w:szCs w:val="38"/>
          <w:color w:val="auto"/>
        </w:rPr>
        <w:t>Remainder scheduled for 2012</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38"/>
          <w:szCs w:val="38"/>
          <w:color w:val="840039"/>
        </w:rPr>
        <w:t xml:space="preserve">q </w:t>
      </w:r>
      <w:r>
        <w:rPr>
          <w:rFonts w:ascii="Arial" w:cs="Arial" w:eastAsia="Arial" w:hAnsi="Arial"/>
          <w:sz w:val="38"/>
          <w:szCs w:val="38"/>
          <w:b w:val="1"/>
          <w:bCs w:val="1"/>
          <w:color w:val="840039"/>
        </w:rPr>
        <w:t>RGU Growth</w:t>
      </w:r>
    </w:p>
    <w:p>
      <w:pPr>
        <w:spacing w:after="0" w:line="294" w:lineRule="exact"/>
        <w:rPr>
          <w:sz w:val="20"/>
          <w:szCs w:val="20"/>
          <w:color w:val="auto"/>
        </w:rPr>
      </w:pPr>
    </w:p>
    <w:p>
      <w:pPr>
        <w:ind w:left="1260" w:hanging="375"/>
        <w:spacing w:after="0"/>
        <w:tabs>
          <w:tab w:leader="none" w:pos="1260" w:val="left"/>
        </w:tabs>
        <w:numPr>
          <w:ilvl w:val="0"/>
          <w:numId w:val="5"/>
        </w:numPr>
        <w:rPr>
          <w:rFonts w:ascii="Arial" w:cs="Arial" w:eastAsia="Arial" w:hAnsi="Arial"/>
          <w:sz w:val="31"/>
          <w:szCs w:val="31"/>
          <w:color w:val="C0C0C0"/>
        </w:rPr>
      </w:pPr>
      <w:r>
        <w:rPr>
          <w:rFonts w:ascii="Arial" w:cs="Arial" w:eastAsia="Arial" w:hAnsi="Arial"/>
          <w:sz w:val="38"/>
          <w:szCs w:val="38"/>
          <w:color w:val="auto"/>
        </w:rPr>
        <w:t>Total RGU growth of 7% during 2011</w:t>
      </w:r>
    </w:p>
    <w:p>
      <w:pPr>
        <w:spacing w:after="0" w:line="259" w:lineRule="exact"/>
        <w:rPr>
          <w:rFonts w:ascii="Arial" w:cs="Arial" w:eastAsia="Arial" w:hAnsi="Arial"/>
          <w:sz w:val="31"/>
          <w:szCs w:val="31"/>
          <w:color w:val="C0C0C0"/>
        </w:rPr>
      </w:pPr>
    </w:p>
    <w:p>
      <w:pPr>
        <w:ind w:left="1260" w:hanging="375"/>
        <w:spacing w:after="0"/>
        <w:tabs>
          <w:tab w:leader="none" w:pos="1260" w:val="left"/>
        </w:tabs>
        <w:numPr>
          <w:ilvl w:val="0"/>
          <w:numId w:val="5"/>
        </w:numPr>
        <w:rPr>
          <w:rFonts w:ascii="Arial" w:cs="Arial" w:eastAsia="Arial" w:hAnsi="Arial"/>
          <w:sz w:val="31"/>
          <w:szCs w:val="31"/>
          <w:color w:val="C0C0C0"/>
        </w:rPr>
      </w:pPr>
      <w:r>
        <w:rPr>
          <w:rFonts w:ascii="Arial" w:cs="Arial" w:eastAsia="Arial" w:hAnsi="Arial"/>
          <w:sz w:val="38"/>
          <w:szCs w:val="38"/>
          <w:color w:val="auto"/>
        </w:rPr>
        <w:t>137,238 RGUs at 12/31/2011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396875</wp:posOffset>
            </wp:positionV>
            <wp:extent cx="7266940"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00"/>
          </w:cols>
          <w:pgMar w:left="600" w:top="990" w:right="699" w:bottom="1440" w:gutter="0" w:footer="0" w:header="0"/>
        </w:sectPr>
      </w:pPr>
    </w:p>
    <w:bookmarkStart w:id="9" w:name="page10"/>
    <w:bookmarkEnd w:id="9"/>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2011 Financial Highlights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1700" w:type="dxa"/>
        <w:tblCellMar>
          <w:top w:w="0" w:type="dxa"/>
          <w:left w:w="0" w:type="dxa"/>
          <w:bottom w:w="0" w:type="dxa"/>
          <w:right w:w="0" w:type="dxa"/>
        </w:tblCellMar>
      </w:tblPr>
      <w:tr>
        <w:trPr>
          <w:trHeight w:val="276"/>
        </w:trPr>
        <w:tc>
          <w:tcPr>
            <w:tcW w:w="2480" w:type="dxa"/>
            <w:vAlign w:val="bottom"/>
          </w:tcPr>
          <w:p>
            <w:pPr>
              <w:ind w:left="20"/>
              <w:spacing w:after="0"/>
              <w:rPr>
                <w:sz w:val="20"/>
                <w:szCs w:val="20"/>
                <w:color w:val="auto"/>
              </w:rPr>
            </w:pPr>
            <w:r>
              <w:rPr>
                <w:rFonts w:ascii="Arial" w:cs="Arial" w:eastAsia="Arial" w:hAnsi="Arial"/>
                <w:sz w:val="22"/>
                <w:szCs w:val="22"/>
                <w:b w:val="1"/>
                <w:bCs w:val="1"/>
                <w:color w:val="FFFFFF"/>
              </w:rPr>
              <w:t>Net Income</w:t>
            </w:r>
          </w:p>
        </w:tc>
        <w:tc>
          <w:tcPr>
            <w:tcW w:w="5220" w:type="dxa"/>
            <w:vAlign w:val="bottom"/>
          </w:tcPr>
          <w:p>
            <w:pPr>
              <w:jc w:val="center"/>
              <w:ind w:left="1208"/>
              <w:spacing w:after="0"/>
              <w:rPr>
                <w:sz w:val="20"/>
                <w:szCs w:val="20"/>
                <w:color w:val="auto"/>
              </w:rPr>
            </w:pPr>
            <w:r>
              <w:rPr>
                <w:rFonts w:ascii="Arial" w:cs="Arial" w:eastAsia="Arial" w:hAnsi="Arial"/>
                <w:sz w:val="22"/>
                <w:szCs w:val="22"/>
                <w:b w:val="1"/>
                <w:bCs w:val="1"/>
                <w:color w:val="FFFFFF"/>
                <w:w w:val="93"/>
              </w:rPr>
              <w:t>Net Income from Continuing Operations</w:t>
            </w:r>
          </w:p>
        </w:tc>
      </w:tr>
      <w:tr>
        <w:trPr>
          <w:trHeight w:val="328"/>
        </w:trPr>
        <w:tc>
          <w:tcPr>
            <w:tcW w:w="2480" w:type="dxa"/>
            <w:vAlign w:val="bottom"/>
          </w:tcPr>
          <w:p>
            <w:pPr>
              <w:spacing w:after="0"/>
              <w:rPr>
                <w:sz w:val="20"/>
                <w:szCs w:val="20"/>
                <w:color w:val="auto"/>
              </w:rPr>
            </w:pPr>
            <w:r>
              <w:rPr>
                <w:rFonts w:ascii="Arial" w:cs="Arial" w:eastAsia="Arial" w:hAnsi="Arial"/>
                <w:sz w:val="22"/>
                <w:szCs w:val="22"/>
                <w:b w:val="1"/>
                <w:bCs w:val="1"/>
                <w:color w:val="FFFFFF"/>
              </w:rPr>
              <w:t>(in millions)</w:t>
            </w:r>
          </w:p>
        </w:tc>
        <w:tc>
          <w:tcPr>
            <w:tcW w:w="5220" w:type="dxa"/>
            <w:vAlign w:val="bottom"/>
          </w:tcPr>
          <w:p>
            <w:pPr>
              <w:jc w:val="center"/>
              <w:ind w:left="1228"/>
              <w:spacing w:after="0"/>
              <w:rPr>
                <w:sz w:val="20"/>
                <w:szCs w:val="20"/>
                <w:color w:val="auto"/>
              </w:rPr>
            </w:pPr>
            <w:r>
              <w:rPr>
                <w:rFonts w:ascii="Arial" w:cs="Arial" w:eastAsia="Arial" w:hAnsi="Arial"/>
                <w:sz w:val="22"/>
                <w:szCs w:val="22"/>
                <w:b w:val="1"/>
                <w:bCs w:val="1"/>
                <w:color w:val="FFFFFF"/>
                <w:w w:val="93"/>
              </w:rPr>
              <w:t>(in millions)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396875</wp:posOffset>
            </wp:positionV>
            <wp:extent cx="7266940"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00"/>
          </w:cols>
          <w:pgMar w:left="600" w:top="990" w:right="69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600"/>
        <w:spacing w:after="0"/>
        <w:rPr>
          <w:sz w:val="20"/>
          <w:szCs w:val="20"/>
          <w:color w:val="auto"/>
        </w:rPr>
      </w:pPr>
      <w:r>
        <w:rPr>
          <w:rFonts w:ascii="Arial" w:cs="Arial" w:eastAsia="Arial" w:hAnsi="Arial"/>
          <w:sz w:val="58"/>
          <w:szCs w:val="58"/>
          <w:b w:val="1"/>
          <w:bCs w:val="1"/>
          <w:color w:val="840039"/>
        </w:rPr>
        <w:t>Adele Skolits</w:t>
      </w:r>
    </w:p>
    <w:p>
      <w:pPr>
        <w:spacing w:after="0" w:line="200" w:lineRule="exact"/>
        <w:rPr>
          <w:sz w:val="20"/>
          <w:szCs w:val="20"/>
          <w:color w:val="auto"/>
        </w:rPr>
      </w:pPr>
    </w:p>
    <w:p>
      <w:pPr>
        <w:spacing w:after="0" w:line="326" w:lineRule="exact"/>
        <w:rPr>
          <w:sz w:val="20"/>
          <w:szCs w:val="20"/>
          <w:color w:val="auto"/>
        </w:rPr>
      </w:pPr>
    </w:p>
    <w:p>
      <w:pPr>
        <w:ind w:left="1800"/>
        <w:spacing w:after="0"/>
        <w:rPr>
          <w:sz w:val="20"/>
          <w:szCs w:val="20"/>
          <w:color w:val="auto"/>
        </w:rPr>
      </w:pPr>
      <w:r>
        <w:rPr>
          <w:rFonts w:ascii="Arial" w:cs="Arial" w:eastAsia="Arial" w:hAnsi="Arial"/>
          <w:sz w:val="58"/>
          <w:szCs w:val="58"/>
          <w:color w:val="auto"/>
        </w:rPr>
        <w:t>CFO and VP of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396875</wp:posOffset>
            </wp:positionV>
            <wp:extent cx="7266940"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9760"/>
          </w:cols>
          <w:pgMar w:left="1440" w:top="1440" w:right="699" w:bottom="1440" w:gutter="0" w:footer="0" w:header="0"/>
        </w:sectPr>
      </w:pPr>
    </w:p>
    <w:bookmarkStart w:id="11" w:name="page12"/>
    <w:bookmarkEnd w:id="11"/>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Profitability</w:t>
      </w:r>
    </w:p>
    <w:p>
      <w:pPr>
        <w:spacing w:after="0" w:line="200" w:lineRule="exact"/>
        <w:rPr>
          <w:sz w:val="20"/>
          <w:szCs w:val="20"/>
          <w:color w:val="auto"/>
        </w:rPr>
      </w:pPr>
    </w:p>
    <w:p>
      <w:pPr>
        <w:spacing w:after="0" w:line="286" w:lineRule="exact"/>
        <w:rPr>
          <w:sz w:val="20"/>
          <w:szCs w:val="20"/>
          <w:color w:val="auto"/>
        </w:rPr>
      </w:pPr>
    </w:p>
    <w:p>
      <w:pPr>
        <w:jc w:val="center"/>
        <w:ind w:right="180"/>
        <w:spacing w:after="0"/>
        <w:rPr>
          <w:sz w:val="20"/>
          <w:szCs w:val="20"/>
          <w:color w:val="auto"/>
        </w:rPr>
      </w:pPr>
      <w:r>
        <w:rPr>
          <w:rFonts w:ascii="Arial" w:cs="Arial" w:eastAsia="Arial" w:hAnsi="Arial"/>
          <w:sz w:val="26"/>
          <w:szCs w:val="26"/>
          <w:b w:val="1"/>
          <w:bCs w:val="1"/>
          <w:color w:val="FFFFFF"/>
        </w:rPr>
        <w:t>Adjusted OIBDA ($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396875</wp:posOffset>
            </wp:positionV>
            <wp:extent cx="7266940"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80"/>
          </w:cols>
          <w:pgMar w:left="600" w:top="990" w:right="619" w:bottom="1440" w:gutter="0" w:footer="0" w:header="0"/>
        </w:sectPr>
      </w:pPr>
    </w:p>
    <w:bookmarkStart w:id="12" w:name="page13"/>
    <w:bookmarkEnd w:id="12"/>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Adjusted OIBDA by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396875</wp:posOffset>
            </wp:positionV>
            <wp:extent cx="7266940"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80"/>
          </w:cols>
          <w:pgMar w:left="600" w:top="990" w:right="619" w:bottom="1440" w:gutter="0" w:footer="0" w:header="0"/>
        </w:sectPr>
      </w:pPr>
    </w:p>
    <w:bookmarkStart w:id="13" w:name="page14"/>
    <w:bookmarkEnd w:id="13"/>
    <w:p>
      <w:pPr>
        <w:ind w:left="1580" w:right="1760"/>
        <w:spacing w:after="0" w:line="260" w:lineRule="auto"/>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Wireless Segment - Change in Adjusted OIBDA Q4’11 vs. Q4’10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396875</wp:posOffset>
            </wp:positionV>
            <wp:extent cx="7266940" cy="20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9840"/>
          </w:cols>
          <w:pgMar w:left="1440" w:top="570" w:right="619" w:bottom="1440" w:gutter="0" w:footer="0" w:header="0"/>
        </w:sectPr>
      </w:pPr>
    </w:p>
    <w:bookmarkStart w:id="14" w:name="page15"/>
    <w:bookmarkEnd w:id="14"/>
    <w:p>
      <w:pPr>
        <w:ind w:left="1680" w:right="2100"/>
        <w:spacing w:after="0" w:line="260" w:lineRule="auto"/>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Cable Segment - Change in Adjusted OIBDA Q4’11 vs. Q4’10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396875</wp:posOffset>
            </wp:positionV>
            <wp:extent cx="7266940"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9840"/>
          </w:cols>
          <w:pgMar w:left="1440" w:top="570" w:right="619" w:bottom="1440" w:gutter="0" w:footer="0" w:header="0"/>
        </w:sectPr>
      </w:pPr>
    </w:p>
    <w:bookmarkStart w:id="15" w:name="page16"/>
    <w:bookmarkEnd w:id="15"/>
    <w:p>
      <w:pPr>
        <w:ind w:left="1680" w:right="1660"/>
        <w:spacing w:after="0" w:line="260" w:lineRule="auto"/>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Wireline Segment - Change in Adjusted OIBDA Q4’11 vs. Q4’10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396875</wp:posOffset>
            </wp:positionV>
            <wp:extent cx="7266940" cy="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9840"/>
          </w:cols>
          <w:pgMar w:left="1440" w:top="570" w:right="61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680"/>
        <w:spacing w:after="0"/>
        <w:rPr>
          <w:sz w:val="20"/>
          <w:szCs w:val="20"/>
          <w:color w:val="auto"/>
        </w:rPr>
      </w:pPr>
      <w:r>
        <w:rPr>
          <w:rFonts w:ascii="Arial" w:cs="Arial" w:eastAsia="Arial" w:hAnsi="Arial"/>
          <w:sz w:val="54"/>
          <w:szCs w:val="54"/>
          <w:b w:val="1"/>
          <w:bCs w:val="1"/>
          <w:color w:val="840039"/>
        </w:rPr>
        <w:t>Earle MacKenzie</w:t>
      </w:r>
    </w:p>
    <w:p>
      <w:pPr>
        <w:spacing w:after="0" w:line="200" w:lineRule="exact"/>
        <w:rPr>
          <w:sz w:val="20"/>
          <w:szCs w:val="20"/>
          <w:color w:val="auto"/>
        </w:rPr>
      </w:pPr>
    </w:p>
    <w:p>
      <w:pPr>
        <w:spacing w:after="0" w:line="372" w:lineRule="exact"/>
        <w:rPr>
          <w:sz w:val="20"/>
          <w:szCs w:val="20"/>
          <w:color w:val="auto"/>
        </w:rPr>
      </w:pPr>
    </w:p>
    <w:p>
      <w:pPr>
        <w:ind w:left="2860"/>
        <w:spacing w:after="0"/>
        <w:rPr>
          <w:sz w:val="20"/>
          <w:szCs w:val="20"/>
          <w:color w:val="auto"/>
        </w:rPr>
      </w:pPr>
      <w:r>
        <w:rPr>
          <w:rFonts w:ascii="Arial" w:cs="Arial" w:eastAsia="Arial" w:hAnsi="Arial"/>
          <w:sz w:val="58"/>
          <w:szCs w:val="58"/>
          <w:color w:val="auto"/>
        </w:rPr>
        <w:t>EVP and COO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396875</wp:posOffset>
            </wp:positionV>
            <wp:extent cx="7266940" cy="20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9840"/>
          </w:cols>
          <w:pgMar w:left="1440" w:top="1440" w:right="619" w:bottom="1440" w:gutter="0" w:footer="0" w:header="0"/>
        </w:sectPr>
      </w:pPr>
    </w:p>
    <w:bookmarkStart w:id="17" w:name="page18"/>
    <w:bookmarkEnd w:id="17"/>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Key Operational Results - Wireless</w:t>
      </w:r>
    </w:p>
    <w:p>
      <w:pPr>
        <w:spacing w:after="0" w:line="312" w:lineRule="exact"/>
        <w:rPr>
          <w:sz w:val="20"/>
          <w:szCs w:val="20"/>
          <w:color w:val="auto"/>
        </w:rPr>
      </w:pPr>
    </w:p>
    <w:p>
      <w:pPr>
        <w:jc w:val="center"/>
        <w:ind w:right="340"/>
        <w:spacing w:after="0"/>
        <w:rPr>
          <w:sz w:val="20"/>
          <w:szCs w:val="20"/>
          <w:color w:val="auto"/>
        </w:rPr>
      </w:pPr>
      <w:r>
        <w:rPr>
          <w:rFonts w:ascii="Arial" w:cs="Arial" w:eastAsia="Arial" w:hAnsi="Arial"/>
          <w:sz w:val="22"/>
          <w:szCs w:val="22"/>
          <w:b w:val="1"/>
          <w:bCs w:val="1"/>
          <w:color w:val="FFFFFF"/>
        </w:rPr>
        <w:t>PCS Postpaid Customers (000s)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396875</wp:posOffset>
            </wp:positionV>
            <wp:extent cx="7266940" cy="20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80"/>
          </w:cols>
          <w:pgMar w:left="600" w:top="990" w:right="619" w:bottom="1440" w:gutter="0" w:footer="0" w:header="0"/>
        </w:sectPr>
      </w:pPr>
    </w:p>
    <w:bookmarkStart w:id="18" w:name="page19"/>
    <w:bookmarkEnd w:id="18"/>
    <w:p>
      <w:pPr>
        <w:spacing w:after="0"/>
        <w:rPr>
          <w:sz w:val="20"/>
          <w:szCs w:val="20"/>
          <w:color w:val="auto"/>
        </w:rPr>
      </w:pPr>
      <w:r>
        <w:rPr>
          <w:rFonts w:ascii="Arial" w:cs="Arial" w:eastAsia="Arial" w:hAnsi="Arial"/>
          <w:sz w:val="34"/>
          <w:szCs w:val="34"/>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Key Operational Results - Wireless</w:t>
      </w:r>
    </w:p>
    <w:p>
      <w:pPr>
        <w:sectPr>
          <w:pgSz w:w="11900" w:h="16838" w:orient="portrait"/>
          <w:cols w:equalWidth="0" w:num="1">
            <w:col w:w="10680"/>
          </w:cols>
          <w:pgMar w:left="600" w:top="990" w:right="61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800"/>
        <w:spacing w:after="0"/>
        <w:rPr>
          <w:sz w:val="20"/>
          <w:szCs w:val="20"/>
          <w:color w:val="auto"/>
        </w:rPr>
      </w:pPr>
      <w:r>
        <w:rPr>
          <w:rFonts w:ascii="Arial" w:cs="Arial" w:eastAsia="Arial" w:hAnsi="Arial"/>
          <w:sz w:val="20"/>
          <w:szCs w:val="20"/>
          <w:b w:val="1"/>
          <w:bCs w:val="1"/>
          <w:color w:val="FFFFFF"/>
        </w:rPr>
        <w:t>Annual Gross Additions - Postpaid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960"/>
        <w:spacing w:after="0"/>
        <w:rPr>
          <w:sz w:val="20"/>
          <w:szCs w:val="20"/>
          <w:color w:val="auto"/>
        </w:rPr>
      </w:pPr>
      <w:r>
        <w:rPr>
          <w:rFonts w:ascii="Arial" w:cs="Arial" w:eastAsia="Arial" w:hAnsi="Arial"/>
          <w:sz w:val="21"/>
          <w:szCs w:val="21"/>
          <w:b w:val="1"/>
          <w:bCs w:val="1"/>
          <w:color w:val="FFFFFF"/>
        </w:rPr>
        <w:t>Annual Net Additions - Postpaid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74" w:right="1460" w:hanging="574"/>
        <w:spacing w:after="0" w:line="250" w:lineRule="auto"/>
        <w:tabs>
          <w:tab w:leader="none" w:pos="486" w:val="left"/>
        </w:tabs>
        <w:numPr>
          <w:ilvl w:val="0"/>
          <w:numId w:val="6"/>
        </w:numPr>
        <w:rPr>
          <w:rFonts w:ascii="Arial" w:cs="Arial" w:eastAsia="Arial" w:hAnsi="Arial"/>
          <w:sz w:val="35"/>
          <w:szCs w:val="35"/>
          <w:color w:val="840039"/>
        </w:rPr>
      </w:pPr>
      <w:r>
        <w:rPr>
          <w:rFonts w:ascii="Arial" w:cs="Arial" w:eastAsia="Arial" w:hAnsi="Arial"/>
          <w:sz w:val="35"/>
          <w:szCs w:val="35"/>
          <w:color w:val="auto"/>
        </w:rPr>
        <w:t>6% YOY postpaid net growth</w:t>
      </w:r>
    </w:p>
    <w:p>
      <w:pPr>
        <w:spacing w:after="0" w:line="242" w:lineRule="exact"/>
        <w:rPr>
          <w:rFonts w:ascii="Arial" w:cs="Arial" w:eastAsia="Arial" w:hAnsi="Arial"/>
          <w:sz w:val="35"/>
          <w:szCs w:val="35"/>
          <w:color w:val="840039"/>
        </w:rPr>
      </w:pPr>
    </w:p>
    <w:p>
      <w:pPr>
        <w:ind w:left="574" w:right="1400" w:hanging="574"/>
        <w:spacing w:after="0" w:line="282" w:lineRule="auto"/>
        <w:tabs>
          <w:tab w:leader="none" w:pos="486" w:val="left"/>
        </w:tabs>
        <w:numPr>
          <w:ilvl w:val="0"/>
          <w:numId w:val="6"/>
        </w:numPr>
        <w:rPr>
          <w:rFonts w:ascii="Arial" w:cs="Arial" w:eastAsia="Arial" w:hAnsi="Arial"/>
          <w:sz w:val="31"/>
          <w:szCs w:val="31"/>
          <w:color w:val="840039"/>
        </w:rPr>
      </w:pPr>
      <w:r>
        <w:rPr>
          <w:rFonts w:ascii="Arial" w:cs="Arial" w:eastAsia="Arial" w:hAnsi="Arial"/>
          <w:sz w:val="31"/>
          <w:szCs w:val="31"/>
          <w:color w:val="auto"/>
        </w:rPr>
        <w:t>Q4 2011 net adds of 5,072, a 21% increase over Q4 2010.</w:t>
      </w:r>
    </w:p>
    <w:p>
      <w:pPr>
        <w:spacing w:after="0" w:line="196" w:lineRule="exact"/>
        <w:rPr>
          <w:rFonts w:ascii="Arial" w:cs="Arial" w:eastAsia="Arial" w:hAnsi="Arial"/>
          <w:sz w:val="31"/>
          <w:szCs w:val="31"/>
          <w:color w:val="840039"/>
        </w:rPr>
      </w:pPr>
    </w:p>
    <w:p>
      <w:pPr>
        <w:ind w:left="574" w:right="700" w:hanging="574"/>
        <w:spacing w:after="0" w:line="296" w:lineRule="auto"/>
        <w:tabs>
          <w:tab w:leader="none" w:pos="486" w:val="left"/>
        </w:tabs>
        <w:numPr>
          <w:ilvl w:val="0"/>
          <w:numId w:val="6"/>
        </w:numPr>
        <w:rPr>
          <w:rFonts w:ascii="Arial" w:cs="Arial" w:eastAsia="Arial" w:hAnsi="Arial"/>
          <w:sz w:val="32"/>
          <w:szCs w:val="32"/>
          <w:color w:val="840039"/>
        </w:rPr>
      </w:pPr>
      <w:r>
        <w:rPr>
          <w:rFonts w:ascii="Arial" w:cs="Arial" w:eastAsia="Arial" w:hAnsi="Arial"/>
          <w:sz w:val="32"/>
          <w:szCs w:val="32"/>
          <w:color w:val="auto"/>
        </w:rPr>
        <w:t>Q4 2011 churn of 1.89% up from 1.85% in Q4 2010</w:t>
      </w:r>
    </w:p>
    <w:p>
      <w:pPr>
        <w:spacing w:after="0" w:line="173" w:lineRule="exact"/>
        <w:rPr>
          <w:rFonts w:ascii="Arial" w:cs="Arial" w:eastAsia="Arial" w:hAnsi="Arial"/>
          <w:sz w:val="32"/>
          <w:szCs w:val="32"/>
          <w:color w:val="840039"/>
        </w:rPr>
      </w:pPr>
    </w:p>
    <w:p>
      <w:pPr>
        <w:ind w:left="494" w:hanging="494"/>
        <w:spacing w:after="0"/>
        <w:tabs>
          <w:tab w:leader="none" w:pos="494" w:val="left"/>
        </w:tabs>
        <w:numPr>
          <w:ilvl w:val="0"/>
          <w:numId w:val="6"/>
        </w:numPr>
        <w:rPr>
          <w:rFonts w:ascii="Arial" w:cs="Arial" w:eastAsia="Arial" w:hAnsi="Arial"/>
          <w:sz w:val="35"/>
          <w:szCs w:val="35"/>
          <w:color w:val="840039"/>
        </w:rPr>
      </w:pPr>
      <w:r>
        <w:rPr>
          <w:rFonts w:ascii="Arial" w:cs="Arial" w:eastAsia="Arial" w:hAnsi="Arial"/>
          <w:sz w:val="35"/>
          <w:szCs w:val="35"/>
          <w:color w:val="auto"/>
        </w:rPr>
        <w:t>2011 annual churn of</w:t>
      </w:r>
    </w:p>
    <w:p>
      <w:pPr>
        <w:ind w:left="574"/>
        <w:spacing w:after="0" w:line="222" w:lineRule="auto"/>
        <w:rPr>
          <w:sz w:val="20"/>
          <w:szCs w:val="20"/>
          <w:color w:val="auto"/>
        </w:rPr>
      </w:pPr>
      <w:r>
        <w:rPr>
          <w:rFonts w:ascii="Arial" w:cs="Arial" w:eastAsia="Arial" w:hAnsi="Arial"/>
          <w:sz w:val="35"/>
          <w:szCs w:val="35"/>
          <w:color w:val="auto"/>
        </w:rPr>
        <w:t>1.78% improved from</w:t>
      </w:r>
    </w:p>
    <w:p>
      <w:pPr>
        <w:ind w:left="574"/>
        <w:spacing w:after="0"/>
        <w:rPr>
          <w:sz w:val="20"/>
          <w:szCs w:val="20"/>
          <w:color w:val="auto"/>
        </w:rPr>
      </w:pPr>
      <w:r>
        <w:rPr>
          <w:rFonts w:ascii="Arial" w:cs="Arial" w:eastAsia="Arial" w:hAnsi="Arial"/>
          <w:sz w:val="35"/>
          <w:szCs w:val="35"/>
          <w:color w:val="auto"/>
        </w:rPr>
        <w:t>1.89% in 2010</w:t>
      </w:r>
    </w:p>
    <w:p>
      <w:pPr>
        <w:spacing w:after="0" w:line="200" w:lineRule="exact"/>
        <w:rPr>
          <w:sz w:val="20"/>
          <w:szCs w:val="20"/>
          <w:color w:val="auto"/>
        </w:rPr>
      </w:pPr>
    </w:p>
    <w:p>
      <w:pPr>
        <w:sectPr>
          <w:pgSz w:w="11900" w:h="16838" w:orient="portrait"/>
          <w:cols w:equalWidth="0" w:num="2">
            <w:col w:w="4886" w:space="720"/>
            <w:col w:w="5074"/>
          </w:cols>
          <w:pgMar w:left="600" w:top="990" w:right="6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50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419100</wp:posOffset>
            </wp:positionV>
            <wp:extent cx="7266940" cy="20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80"/>
          </w:cols>
          <w:pgMar w:left="600" w:top="990" w:right="61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Key Operational Results - PCS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460"/>
        <w:spacing w:after="0"/>
        <w:rPr>
          <w:sz w:val="20"/>
          <w:szCs w:val="20"/>
          <w:color w:val="auto"/>
        </w:rPr>
      </w:pPr>
      <w:r>
        <w:rPr>
          <w:rFonts w:ascii="Arial" w:cs="Arial" w:eastAsia="Arial" w:hAnsi="Arial"/>
          <w:sz w:val="22"/>
          <w:szCs w:val="22"/>
          <w:b w:val="1"/>
          <w:bCs w:val="1"/>
          <w:color w:val="FFFFFF"/>
        </w:rPr>
        <w:t xml:space="preserve">Gross Billed Revenue per Postpaid User - Data &amp; Voice </w:t>
      </w:r>
      <w:r>
        <w:rPr>
          <w:rFonts w:ascii="Arial" w:cs="Arial" w:eastAsia="Arial" w:hAnsi="Arial"/>
          <w:sz w:val="31"/>
          <w:szCs w:val="31"/>
          <w:b w:val="1"/>
          <w:bCs w:val="1"/>
          <w:color w:val="FFFFFF"/>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920" w:hanging="119"/>
        <w:spacing w:after="0"/>
        <w:tabs>
          <w:tab w:leader="none" w:pos="920" w:val="left"/>
        </w:tabs>
        <w:numPr>
          <w:ilvl w:val="0"/>
          <w:numId w:val="7"/>
        </w:numPr>
        <w:rPr>
          <w:rFonts w:ascii="Arial" w:cs="Arial" w:eastAsia="Arial" w:hAnsi="Arial"/>
          <w:sz w:val="27"/>
          <w:szCs w:val="27"/>
          <w:color w:val="auto"/>
          <w:vertAlign w:val="superscript"/>
        </w:rPr>
      </w:pPr>
      <w:r>
        <w:rPr>
          <w:rFonts w:ascii="Arial" w:cs="Arial" w:eastAsia="Arial" w:hAnsi="Arial"/>
          <w:sz w:val="19"/>
          <w:szCs w:val="19"/>
          <w:color w:val="auto"/>
        </w:rPr>
        <w:t>- Before Service credits, bad debt, Sprint Nextel fees.</w:t>
      </w: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396875</wp:posOffset>
            </wp:positionV>
            <wp:extent cx="7266940" cy="20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80"/>
          </w:cols>
          <w:pgMar w:left="600" w:top="990" w:right="619" w:bottom="1440" w:gutter="0" w:footer="0" w:header="0"/>
        </w:sectPr>
      </w:pPr>
    </w:p>
    <w:bookmarkStart w:id="20" w:name="page21"/>
    <w:bookmarkEnd w:id="20"/>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PCS Revenues</w:t>
      </w:r>
    </w:p>
    <w:p>
      <w:pPr>
        <w:spacing w:after="0" w:line="200" w:lineRule="exact"/>
        <w:rPr>
          <w:sz w:val="20"/>
          <w:szCs w:val="20"/>
          <w:color w:val="auto"/>
        </w:rPr>
      </w:pPr>
    </w:p>
    <w:p>
      <w:pPr>
        <w:spacing w:after="0" w:line="341"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FFFFFF"/>
        </w:rPr>
        <w:t>Annual Gross Billed Revenues - Postpaid ($ millions)</w:t>
      </w:r>
    </w:p>
    <w:p>
      <w:pPr>
        <w:spacing w:after="0" w:line="299" w:lineRule="exact"/>
        <w:rPr>
          <w:sz w:val="20"/>
          <w:szCs w:val="20"/>
          <w:color w:val="auto"/>
        </w:rPr>
      </w:pPr>
    </w:p>
    <w:p>
      <w:pPr>
        <w:ind w:left="5880"/>
        <w:spacing w:after="0"/>
        <w:rPr>
          <w:sz w:val="20"/>
          <w:szCs w:val="20"/>
          <w:color w:val="auto"/>
        </w:rPr>
      </w:pPr>
      <w:r>
        <w:rPr>
          <w:rFonts w:ascii="Arial" w:cs="Arial" w:eastAsia="Arial" w:hAnsi="Arial"/>
          <w:sz w:val="26"/>
          <w:szCs w:val="26"/>
          <w:color w:val="auto"/>
        </w:rPr>
        <w:t>$166.2</w:t>
      </w:r>
    </w:p>
    <w:p>
      <w:pPr>
        <w:spacing w:after="0" w:line="182" w:lineRule="exact"/>
        <w:rPr>
          <w:sz w:val="20"/>
          <w:szCs w:val="20"/>
          <w:color w:val="auto"/>
        </w:rPr>
      </w:pPr>
    </w:p>
    <w:p>
      <w:pPr>
        <w:ind w:left="2140"/>
        <w:spacing w:after="0"/>
        <w:rPr>
          <w:sz w:val="20"/>
          <w:szCs w:val="20"/>
          <w:color w:val="auto"/>
        </w:rPr>
      </w:pPr>
      <w:r>
        <w:rPr>
          <w:rFonts w:ascii="Arial" w:cs="Arial" w:eastAsia="Arial" w:hAnsi="Arial"/>
          <w:sz w:val="26"/>
          <w:szCs w:val="26"/>
          <w:color w:val="auto"/>
        </w:rPr>
        <w:t>$151.2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 The Net Service Fee percentage increased from 8.8% to 12% effective 6/1/2010</w:t>
      </w:r>
    </w:p>
    <w:p>
      <w:pPr>
        <w:jc w:val="right"/>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386715</wp:posOffset>
            </wp:positionV>
            <wp:extent cx="7266940"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760"/>
          </w:cols>
          <w:pgMar w:left="520" w:top="1062" w:right="619" w:bottom="1440" w:gutter="0" w:footer="0" w:header="0"/>
        </w:sectPr>
      </w:pPr>
    </w:p>
    <w:bookmarkStart w:id="21" w:name="page22"/>
    <w:bookmarkEnd w:id="21"/>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Postpaid PCS Customers Top Picks Q4 2011</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220" w:type="dxa"/>
        <w:tblCellMar>
          <w:top w:w="0" w:type="dxa"/>
          <w:left w:w="0" w:type="dxa"/>
          <w:bottom w:w="0" w:type="dxa"/>
          <w:right w:w="0" w:type="dxa"/>
        </w:tblCellMar>
      </w:tblPr>
      <w:tr>
        <w:trPr>
          <w:trHeight w:val="368"/>
        </w:trPr>
        <w:tc>
          <w:tcPr>
            <w:tcW w:w="4920" w:type="dxa"/>
            <w:vAlign w:val="bottom"/>
            <w:gridSpan w:val="2"/>
          </w:tcPr>
          <w:p>
            <w:pPr>
              <w:spacing w:after="0"/>
              <w:rPr>
                <w:sz w:val="20"/>
                <w:szCs w:val="20"/>
                <w:color w:val="auto"/>
              </w:rPr>
            </w:pPr>
            <w:r>
              <w:rPr>
                <w:rFonts w:ascii="Arial" w:cs="Arial" w:eastAsia="Arial" w:hAnsi="Arial"/>
                <w:sz w:val="32"/>
                <w:szCs w:val="32"/>
                <w:color w:val="840039"/>
                <w:w w:val="99"/>
              </w:rPr>
              <w:t xml:space="preserve">n  </w:t>
            </w:r>
            <w:r>
              <w:rPr>
                <w:rFonts w:ascii="Arial" w:cs="Arial" w:eastAsia="Arial" w:hAnsi="Arial"/>
                <w:sz w:val="32"/>
                <w:szCs w:val="32"/>
                <w:color w:val="000000"/>
                <w:w w:val="99"/>
              </w:rPr>
              <w:t>Top Service Plans - Gross Adds</w:t>
            </w:r>
          </w:p>
        </w:tc>
        <w:tc>
          <w:tcPr>
            <w:tcW w:w="4880" w:type="dxa"/>
            <w:vAlign w:val="bottom"/>
            <w:gridSpan w:val="3"/>
          </w:tcPr>
          <w:p>
            <w:pPr>
              <w:ind w:left="340"/>
              <w:spacing w:after="0"/>
              <w:rPr>
                <w:sz w:val="20"/>
                <w:szCs w:val="20"/>
                <w:color w:val="auto"/>
              </w:rPr>
            </w:pPr>
            <w:r>
              <w:rPr>
                <w:rFonts w:ascii="Arial" w:cs="Arial" w:eastAsia="Arial" w:hAnsi="Arial"/>
                <w:sz w:val="32"/>
                <w:szCs w:val="32"/>
                <w:color w:val="840039"/>
                <w:w w:val="96"/>
              </w:rPr>
              <w:t xml:space="preserve">n  </w:t>
            </w:r>
            <w:r>
              <w:rPr>
                <w:rFonts w:ascii="Arial" w:cs="Arial" w:eastAsia="Arial" w:hAnsi="Arial"/>
                <w:sz w:val="32"/>
                <w:szCs w:val="32"/>
                <w:color w:val="000000"/>
                <w:w w:val="96"/>
              </w:rPr>
              <w:t>Top Devices - New Activations</w:t>
            </w:r>
          </w:p>
        </w:tc>
        <w:tc>
          <w:tcPr>
            <w:tcW w:w="0" w:type="dxa"/>
            <w:vAlign w:val="bottom"/>
          </w:tcPr>
          <w:p>
            <w:pPr>
              <w:spacing w:after="0"/>
              <w:rPr>
                <w:sz w:val="1"/>
                <w:szCs w:val="1"/>
                <w:color w:val="auto"/>
              </w:rPr>
            </w:pPr>
          </w:p>
        </w:tc>
      </w:tr>
      <w:tr>
        <w:trPr>
          <w:trHeight w:val="409"/>
        </w:trPr>
        <w:tc>
          <w:tcPr>
            <w:tcW w:w="840" w:type="dxa"/>
            <w:vAlign w:val="bottom"/>
            <w:vMerge w:val="restart"/>
          </w:tcPr>
          <w:p>
            <w:pPr>
              <w:ind w:left="560"/>
              <w:spacing w:after="0"/>
              <w:rPr>
                <w:sz w:val="20"/>
                <w:szCs w:val="20"/>
                <w:color w:val="auto"/>
              </w:rPr>
            </w:pPr>
            <w:r>
              <w:rPr>
                <w:rFonts w:ascii="Arial" w:cs="Arial" w:eastAsia="Arial" w:hAnsi="Arial"/>
                <w:sz w:val="26"/>
                <w:szCs w:val="26"/>
                <w:color w:val="C0C0C0"/>
              </w:rPr>
              <w:t>u</w:t>
            </w:r>
          </w:p>
        </w:tc>
        <w:tc>
          <w:tcPr>
            <w:tcW w:w="4080" w:type="dxa"/>
            <w:vAlign w:val="bottom"/>
            <w:vMerge w:val="restart"/>
          </w:tcPr>
          <w:p>
            <w:pPr>
              <w:ind w:left="140"/>
              <w:spacing w:after="0"/>
              <w:rPr>
                <w:sz w:val="20"/>
                <w:szCs w:val="20"/>
                <w:color w:val="auto"/>
              </w:rPr>
            </w:pPr>
            <w:r>
              <w:rPr>
                <w:rFonts w:ascii="Arial" w:cs="Arial" w:eastAsia="Arial" w:hAnsi="Arial"/>
                <w:sz w:val="32"/>
                <w:szCs w:val="32"/>
                <w:color w:val="auto"/>
              </w:rPr>
              <w:t>Everything Data Family</w:t>
            </w:r>
          </w:p>
        </w:tc>
        <w:tc>
          <w:tcPr>
            <w:tcW w:w="3660" w:type="dxa"/>
            <w:vAlign w:val="bottom"/>
            <w:gridSpan w:val="2"/>
          </w:tcPr>
          <w:p>
            <w:pPr>
              <w:ind w:left="920"/>
              <w:spacing w:after="0"/>
              <w:rPr>
                <w:sz w:val="20"/>
                <w:szCs w:val="20"/>
                <w:color w:val="auto"/>
              </w:rPr>
            </w:pPr>
            <w:r>
              <w:rPr>
                <w:rFonts w:ascii="Arial" w:cs="Arial" w:eastAsia="Arial" w:hAnsi="Arial"/>
                <w:sz w:val="32"/>
                <w:szCs w:val="32"/>
                <w:color w:val="auto"/>
              </w:rPr>
              <w:t>- All Channels</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840" w:type="dxa"/>
            <w:vAlign w:val="bottom"/>
            <w:vMerge w:val="continue"/>
          </w:tcPr>
          <w:p>
            <w:pPr>
              <w:spacing w:after="0"/>
              <w:rPr>
                <w:sz w:val="7"/>
                <w:szCs w:val="7"/>
                <w:color w:val="auto"/>
              </w:rPr>
            </w:pPr>
          </w:p>
        </w:tc>
        <w:tc>
          <w:tcPr>
            <w:tcW w:w="408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24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21"/>
        </w:trPr>
        <w:tc>
          <w:tcPr>
            <w:tcW w:w="840" w:type="dxa"/>
            <w:vAlign w:val="bottom"/>
          </w:tcPr>
          <w:p>
            <w:pPr>
              <w:spacing w:after="0"/>
              <w:rPr>
                <w:sz w:val="24"/>
                <w:szCs w:val="24"/>
                <w:color w:val="auto"/>
              </w:rPr>
            </w:pPr>
          </w:p>
        </w:tc>
        <w:tc>
          <w:tcPr>
            <w:tcW w:w="4080" w:type="dxa"/>
            <w:vAlign w:val="bottom"/>
          </w:tcPr>
          <w:p>
            <w:pPr>
              <w:ind w:left="240"/>
              <w:spacing w:after="0"/>
              <w:rPr>
                <w:sz w:val="20"/>
                <w:szCs w:val="20"/>
                <w:color w:val="auto"/>
              </w:rPr>
            </w:pPr>
            <w:r>
              <w:rPr>
                <w:rFonts w:ascii="Arial" w:cs="Arial" w:eastAsia="Arial" w:hAnsi="Arial"/>
                <w:sz w:val="32"/>
                <w:szCs w:val="32"/>
                <w:color w:val="auto"/>
              </w:rPr>
              <w:t>1500 - 56%</w:t>
            </w:r>
          </w:p>
        </w:tc>
        <w:tc>
          <w:tcPr>
            <w:tcW w:w="1180" w:type="dxa"/>
            <w:vAlign w:val="bottom"/>
          </w:tcPr>
          <w:p>
            <w:pPr>
              <w:ind w:left="920"/>
              <w:spacing w:after="0"/>
              <w:rPr>
                <w:sz w:val="20"/>
                <w:szCs w:val="20"/>
                <w:color w:val="auto"/>
              </w:rPr>
            </w:pPr>
            <w:r>
              <w:rPr>
                <w:rFonts w:ascii="Arial" w:cs="Arial" w:eastAsia="Arial" w:hAnsi="Arial"/>
                <w:sz w:val="26"/>
                <w:szCs w:val="26"/>
                <w:color w:val="C0C0C0"/>
              </w:rPr>
              <w:t>u</w:t>
            </w:r>
          </w:p>
        </w:tc>
        <w:tc>
          <w:tcPr>
            <w:tcW w:w="2480" w:type="dxa"/>
            <w:vAlign w:val="bottom"/>
          </w:tcPr>
          <w:p>
            <w:pPr>
              <w:ind w:left="140"/>
              <w:spacing w:after="0"/>
              <w:rPr>
                <w:sz w:val="20"/>
                <w:szCs w:val="20"/>
                <w:color w:val="auto"/>
              </w:rPr>
            </w:pPr>
            <w:r>
              <w:rPr>
                <w:rFonts w:ascii="Arial" w:cs="Arial" w:eastAsia="Arial" w:hAnsi="Arial"/>
                <w:sz w:val="32"/>
                <w:szCs w:val="32"/>
                <w:color w:val="auto"/>
              </w:rPr>
              <w:t>iPhone</w:t>
            </w:r>
          </w:p>
        </w:tc>
        <w:tc>
          <w:tcPr>
            <w:tcW w:w="1220" w:type="dxa"/>
            <w:vAlign w:val="bottom"/>
          </w:tcPr>
          <w:p>
            <w:pPr>
              <w:ind w:left="480"/>
              <w:spacing w:after="0"/>
              <w:rPr>
                <w:sz w:val="20"/>
                <w:szCs w:val="20"/>
                <w:color w:val="auto"/>
              </w:rPr>
            </w:pPr>
            <w:r>
              <w:rPr>
                <w:rFonts w:ascii="Arial" w:cs="Arial" w:eastAsia="Arial" w:hAnsi="Arial"/>
                <w:sz w:val="32"/>
                <w:szCs w:val="32"/>
                <w:color w:val="auto"/>
              </w:rPr>
              <w:t>16%</w:t>
            </w:r>
          </w:p>
        </w:tc>
        <w:tc>
          <w:tcPr>
            <w:tcW w:w="0" w:type="dxa"/>
            <w:vAlign w:val="bottom"/>
          </w:tcPr>
          <w:p>
            <w:pPr>
              <w:spacing w:after="0"/>
              <w:rPr>
                <w:sz w:val="1"/>
                <w:szCs w:val="1"/>
                <w:color w:val="auto"/>
              </w:rPr>
            </w:pPr>
          </w:p>
        </w:tc>
      </w:tr>
      <w:tr>
        <w:trPr>
          <w:trHeight w:val="505"/>
        </w:trPr>
        <w:tc>
          <w:tcPr>
            <w:tcW w:w="840" w:type="dxa"/>
            <w:vAlign w:val="bottom"/>
          </w:tcPr>
          <w:p>
            <w:pPr>
              <w:ind w:left="560"/>
              <w:spacing w:after="0"/>
              <w:rPr>
                <w:sz w:val="20"/>
                <w:szCs w:val="20"/>
                <w:color w:val="auto"/>
              </w:rPr>
            </w:pPr>
            <w:r>
              <w:rPr>
                <w:rFonts w:ascii="Arial" w:cs="Arial" w:eastAsia="Arial" w:hAnsi="Arial"/>
                <w:sz w:val="26"/>
                <w:szCs w:val="26"/>
                <w:color w:val="C0C0C0"/>
              </w:rPr>
              <w:t>u</w:t>
            </w:r>
          </w:p>
        </w:tc>
        <w:tc>
          <w:tcPr>
            <w:tcW w:w="4080" w:type="dxa"/>
            <w:vAlign w:val="bottom"/>
          </w:tcPr>
          <w:p>
            <w:pPr>
              <w:ind w:left="140"/>
              <w:spacing w:after="0"/>
              <w:rPr>
                <w:sz w:val="20"/>
                <w:szCs w:val="20"/>
                <w:color w:val="auto"/>
              </w:rPr>
            </w:pPr>
            <w:r>
              <w:rPr>
                <w:rFonts w:ascii="Arial" w:cs="Arial" w:eastAsia="Arial" w:hAnsi="Arial"/>
                <w:sz w:val="32"/>
                <w:szCs w:val="32"/>
                <w:color w:val="auto"/>
              </w:rPr>
              <w:t>Everything 450 - 18%</w:t>
            </w:r>
          </w:p>
        </w:tc>
        <w:tc>
          <w:tcPr>
            <w:tcW w:w="1180" w:type="dxa"/>
            <w:vAlign w:val="bottom"/>
          </w:tcPr>
          <w:p>
            <w:pPr>
              <w:ind w:left="920"/>
              <w:spacing w:after="0"/>
              <w:rPr>
                <w:sz w:val="20"/>
                <w:szCs w:val="20"/>
                <w:color w:val="auto"/>
              </w:rPr>
            </w:pPr>
            <w:r>
              <w:rPr>
                <w:rFonts w:ascii="Arial" w:cs="Arial" w:eastAsia="Arial" w:hAnsi="Arial"/>
                <w:sz w:val="26"/>
                <w:szCs w:val="26"/>
                <w:color w:val="C0C0C0"/>
              </w:rPr>
              <w:t>u</w:t>
            </w:r>
          </w:p>
        </w:tc>
        <w:tc>
          <w:tcPr>
            <w:tcW w:w="2480" w:type="dxa"/>
            <w:vAlign w:val="bottom"/>
          </w:tcPr>
          <w:p>
            <w:pPr>
              <w:ind w:left="140"/>
              <w:spacing w:after="0"/>
              <w:rPr>
                <w:sz w:val="20"/>
                <w:szCs w:val="20"/>
                <w:color w:val="auto"/>
              </w:rPr>
            </w:pPr>
            <w:r>
              <w:rPr>
                <w:rFonts w:ascii="Arial" w:cs="Arial" w:eastAsia="Arial" w:hAnsi="Arial"/>
                <w:sz w:val="32"/>
                <w:szCs w:val="32"/>
                <w:color w:val="auto"/>
              </w:rPr>
              <w:t>HTC EVO 4G</w:t>
            </w:r>
          </w:p>
        </w:tc>
        <w:tc>
          <w:tcPr>
            <w:tcW w:w="1220" w:type="dxa"/>
            <w:vAlign w:val="bottom"/>
          </w:tcPr>
          <w:p>
            <w:pPr>
              <w:ind w:left="620"/>
              <w:spacing w:after="0"/>
              <w:rPr>
                <w:sz w:val="20"/>
                <w:szCs w:val="20"/>
                <w:color w:val="auto"/>
              </w:rPr>
            </w:pPr>
            <w:r>
              <w:rPr>
                <w:rFonts w:ascii="Arial" w:cs="Arial" w:eastAsia="Arial" w:hAnsi="Arial"/>
                <w:sz w:val="32"/>
                <w:szCs w:val="32"/>
                <w:color w:val="auto"/>
                <w:w w:val="90"/>
              </w:rPr>
              <w:t>10%</w:t>
            </w:r>
          </w:p>
        </w:tc>
        <w:tc>
          <w:tcPr>
            <w:tcW w:w="0" w:type="dxa"/>
            <w:vAlign w:val="bottom"/>
          </w:tcPr>
          <w:p>
            <w:pPr>
              <w:spacing w:after="0"/>
              <w:rPr>
                <w:sz w:val="1"/>
                <w:szCs w:val="1"/>
                <w:color w:val="auto"/>
              </w:rPr>
            </w:pPr>
          </w:p>
        </w:tc>
      </w:tr>
      <w:tr>
        <w:trPr>
          <w:trHeight w:val="432"/>
        </w:trPr>
        <w:tc>
          <w:tcPr>
            <w:tcW w:w="840" w:type="dxa"/>
            <w:vAlign w:val="bottom"/>
          </w:tcPr>
          <w:p>
            <w:pPr>
              <w:ind w:left="560"/>
              <w:spacing w:after="0"/>
              <w:rPr>
                <w:sz w:val="20"/>
                <w:szCs w:val="20"/>
                <w:color w:val="auto"/>
              </w:rPr>
            </w:pPr>
            <w:r>
              <w:rPr>
                <w:rFonts w:ascii="Arial" w:cs="Arial" w:eastAsia="Arial" w:hAnsi="Arial"/>
                <w:sz w:val="26"/>
                <w:szCs w:val="26"/>
                <w:color w:val="C0C0C0"/>
              </w:rPr>
              <w:t>u</w:t>
            </w:r>
          </w:p>
        </w:tc>
        <w:tc>
          <w:tcPr>
            <w:tcW w:w="4080" w:type="dxa"/>
            <w:vAlign w:val="bottom"/>
          </w:tcPr>
          <w:p>
            <w:pPr>
              <w:ind w:left="140"/>
              <w:spacing w:after="0"/>
              <w:rPr>
                <w:sz w:val="20"/>
                <w:szCs w:val="20"/>
                <w:color w:val="auto"/>
              </w:rPr>
            </w:pPr>
            <w:r>
              <w:rPr>
                <w:rFonts w:ascii="Arial" w:cs="Arial" w:eastAsia="Arial" w:hAnsi="Arial"/>
                <w:sz w:val="32"/>
                <w:szCs w:val="32"/>
                <w:color w:val="auto"/>
              </w:rPr>
              <w:t>Everything Messaging</w:t>
            </w:r>
          </w:p>
        </w:tc>
        <w:tc>
          <w:tcPr>
            <w:tcW w:w="1180" w:type="dxa"/>
            <w:vAlign w:val="bottom"/>
          </w:tcPr>
          <w:p>
            <w:pPr>
              <w:ind w:left="920"/>
              <w:spacing w:after="0"/>
              <w:rPr>
                <w:sz w:val="20"/>
                <w:szCs w:val="20"/>
                <w:color w:val="auto"/>
              </w:rPr>
            </w:pPr>
            <w:r>
              <w:rPr>
                <w:rFonts w:ascii="Arial" w:cs="Arial" w:eastAsia="Arial" w:hAnsi="Arial"/>
                <w:sz w:val="26"/>
                <w:szCs w:val="26"/>
                <w:color w:val="C0C0C0"/>
              </w:rPr>
              <w:t>u</w:t>
            </w:r>
          </w:p>
        </w:tc>
        <w:tc>
          <w:tcPr>
            <w:tcW w:w="2480" w:type="dxa"/>
            <w:vAlign w:val="bottom"/>
          </w:tcPr>
          <w:p>
            <w:pPr>
              <w:ind w:left="140"/>
              <w:spacing w:after="0"/>
              <w:rPr>
                <w:sz w:val="20"/>
                <w:szCs w:val="20"/>
                <w:color w:val="auto"/>
              </w:rPr>
            </w:pPr>
            <w:r>
              <w:rPr>
                <w:rFonts w:ascii="Arial" w:cs="Arial" w:eastAsia="Arial" w:hAnsi="Arial"/>
                <w:sz w:val="32"/>
                <w:szCs w:val="32"/>
                <w:color w:val="auto"/>
              </w:rPr>
              <w:t>HTC EVO 3D</w:t>
            </w:r>
          </w:p>
        </w:tc>
        <w:tc>
          <w:tcPr>
            <w:tcW w:w="1220" w:type="dxa"/>
            <w:vAlign w:val="bottom"/>
          </w:tcPr>
          <w:p>
            <w:pPr>
              <w:ind w:left="640"/>
              <w:spacing w:after="0"/>
              <w:rPr>
                <w:sz w:val="20"/>
                <w:szCs w:val="20"/>
                <w:color w:val="auto"/>
              </w:rPr>
            </w:pPr>
            <w:r>
              <w:rPr>
                <w:rFonts w:ascii="Arial" w:cs="Arial" w:eastAsia="Arial" w:hAnsi="Arial"/>
                <w:sz w:val="32"/>
                <w:szCs w:val="32"/>
                <w:color w:val="auto"/>
              </w:rPr>
              <w:t>8%</w:t>
            </w:r>
          </w:p>
        </w:tc>
        <w:tc>
          <w:tcPr>
            <w:tcW w:w="0" w:type="dxa"/>
            <w:vAlign w:val="bottom"/>
          </w:tcPr>
          <w:p>
            <w:pPr>
              <w:spacing w:after="0"/>
              <w:rPr>
                <w:sz w:val="1"/>
                <w:szCs w:val="1"/>
                <w:color w:val="auto"/>
              </w:rPr>
            </w:pPr>
          </w:p>
        </w:tc>
      </w:tr>
      <w:tr>
        <w:trPr>
          <w:trHeight w:val="409"/>
        </w:trPr>
        <w:tc>
          <w:tcPr>
            <w:tcW w:w="840" w:type="dxa"/>
            <w:vAlign w:val="bottom"/>
          </w:tcPr>
          <w:p>
            <w:pPr>
              <w:spacing w:after="0"/>
              <w:rPr>
                <w:sz w:val="24"/>
                <w:szCs w:val="24"/>
                <w:color w:val="auto"/>
              </w:rPr>
            </w:pPr>
          </w:p>
        </w:tc>
        <w:tc>
          <w:tcPr>
            <w:tcW w:w="4080" w:type="dxa"/>
            <w:vAlign w:val="bottom"/>
          </w:tcPr>
          <w:p>
            <w:pPr>
              <w:ind w:left="240"/>
              <w:spacing w:after="0"/>
              <w:rPr>
                <w:sz w:val="20"/>
                <w:szCs w:val="20"/>
                <w:color w:val="auto"/>
              </w:rPr>
            </w:pPr>
            <w:r>
              <w:rPr>
                <w:rFonts w:ascii="Arial" w:cs="Arial" w:eastAsia="Arial" w:hAnsi="Arial"/>
                <w:sz w:val="32"/>
                <w:szCs w:val="32"/>
                <w:color w:val="auto"/>
              </w:rPr>
              <w:t>Family 1500 - 2%</w:t>
            </w:r>
          </w:p>
        </w:tc>
        <w:tc>
          <w:tcPr>
            <w:tcW w:w="1180" w:type="dxa"/>
            <w:vAlign w:val="bottom"/>
            <w:vMerge w:val="restart"/>
          </w:tcPr>
          <w:p>
            <w:pPr>
              <w:ind w:left="920"/>
              <w:spacing w:after="0"/>
              <w:rPr>
                <w:sz w:val="20"/>
                <w:szCs w:val="20"/>
                <w:color w:val="auto"/>
              </w:rPr>
            </w:pPr>
            <w:r>
              <w:rPr>
                <w:rFonts w:ascii="Arial" w:cs="Arial" w:eastAsia="Arial" w:hAnsi="Arial"/>
                <w:sz w:val="26"/>
                <w:szCs w:val="26"/>
                <w:color w:val="C0C0C0"/>
              </w:rPr>
              <w:t>u</w:t>
            </w:r>
          </w:p>
        </w:tc>
        <w:tc>
          <w:tcPr>
            <w:tcW w:w="2480" w:type="dxa"/>
            <w:vAlign w:val="bottom"/>
            <w:vMerge w:val="restart"/>
          </w:tcPr>
          <w:p>
            <w:pPr>
              <w:ind w:left="140"/>
              <w:spacing w:after="0"/>
              <w:rPr>
                <w:sz w:val="20"/>
                <w:szCs w:val="20"/>
                <w:color w:val="auto"/>
              </w:rPr>
            </w:pPr>
            <w:r>
              <w:rPr>
                <w:rFonts w:ascii="Arial" w:cs="Arial" w:eastAsia="Arial" w:hAnsi="Arial"/>
                <w:sz w:val="32"/>
                <w:szCs w:val="32"/>
                <w:color w:val="auto"/>
              </w:rPr>
              <w:t>LG Optimus S</w:t>
            </w:r>
          </w:p>
        </w:tc>
        <w:tc>
          <w:tcPr>
            <w:tcW w:w="1220" w:type="dxa"/>
            <w:vAlign w:val="bottom"/>
            <w:vMerge w:val="restart"/>
          </w:tcPr>
          <w:p>
            <w:pPr>
              <w:ind w:left="600"/>
              <w:spacing w:after="0"/>
              <w:rPr>
                <w:sz w:val="20"/>
                <w:szCs w:val="20"/>
                <w:color w:val="auto"/>
              </w:rPr>
            </w:pPr>
            <w:r>
              <w:rPr>
                <w:rFonts w:ascii="Arial" w:cs="Arial" w:eastAsia="Arial" w:hAnsi="Arial"/>
                <w:sz w:val="32"/>
                <w:szCs w:val="32"/>
                <w:color w:val="auto"/>
              </w:rPr>
              <w:t>7%</w:t>
            </w: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48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05"/>
        </w:trPr>
        <w:tc>
          <w:tcPr>
            <w:tcW w:w="8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180" w:type="dxa"/>
            <w:vAlign w:val="bottom"/>
          </w:tcPr>
          <w:p>
            <w:pPr>
              <w:ind w:left="920"/>
              <w:spacing w:after="0"/>
              <w:rPr>
                <w:sz w:val="20"/>
                <w:szCs w:val="20"/>
                <w:color w:val="auto"/>
              </w:rPr>
            </w:pPr>
            <w:r>
              <w:rPr>
                <w:rFonts w:ascii="Arial" w:cs="Arial" w:eastAsia="Arial" w:hAnsi="Arial"/>
                <w:sz w:val="26"/>
                <w:szCs w:val="26"/>
                <w:color w:val="C0C0C0"/>
              </w:rPr>
              <w:t>u</w:t>
            </w:r>
          </w:p>
        </w:tc>
        <w:tc>
          <w:tcPr>
            <w:tcW w:w="2480" w:type="dxa"/>
            <w:vAlign w:val="bottom"/>
          </w:tcPr>
          <w:p>
            <w:pPr>
              <w:ind w:left="140"/>
              <w:spacing w:after="0"/>
              <w:rPr>
                <w:sz w:val="20"/>
                <w:szCs w:val="20"/>
                <w:color w:val="auto"/>
              </w:rPr>
            </w:pPr>
            <w:r>
              <w:rPr>
                <w:rFonts w:ascii="Arial" w:cs="Arial" w:eastAsia="Arial" w:hAnsi="Arial"/>
                <w:sz w:val="32"/>
                <w:szCs w:val="32"/>
                <w:color w:val="auto"/>
              </w:rPr>
              <w:t>Nexus S</w:t>
            </w:r>
          </w:p>
        </w:tc>
        <w:tc>
          <w:tcPr>
            <w:tcW w:w="1220" w:type="dxa"/>
            <w:vAlign w:val="bottom"/>
          </w:tcPr>
          <w:p>
            <w:pPr>
              <w:ind w:left="580"/>
              <w:spacing w:after="0"/>
              <w:rPr>
                <w:sz w:val="20"/>
                <w:szCs w:val="20"/>
                <w:color w:val="auto"/>
              </w:rPr>
            </w:pPr>
            <w:r>
              <w:rPr>
                <w:rFonts w:ascii="Arial" w:cs="Arial" w:eastAsia="Arial" w:hAnsi="Arial"/>
                <w:sz w:val="32"/>
                <w:szCs w:val="32"/>
                <w:color w:val="auto"/>
              </w:rPr>
              <w:t>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5500"/>
        <w:spacing w:after="0"/>
        <w:tabs>
          <w:tab w:leader="none" w:pos="5980" w:val="left"/>
        </w:tabs>
        <w:rPr>
          <w:sz w:val="20"/>
          <w:szCs w:val="20"/>
          <w:color w:val="auto"/>
        </w:rPr>
      </w:pPr>
      <w:r>
        <w:rPr>
          <w:rFonts w:ascii="Arial" w:cs="Arial" w:eastAsia="Arial" w:hAnsi="Arial"/>
          <w:sz w:val="32"/>
          <w:szCs w:val="32"/>
          <w:color w:val="840039"/>
        </w:rPr>
        <w:t>n</w:t>
      </w:r>
      <w:r>
        <w:rPr>
          <w:rFonts w:ascii="Arial" w:cs="Arial" w:eastAsia="Arial" w:hAnsi="Arial"/>
          <w:sz w:val="32"/>
          <w:szCs w:val="32"/>
          <w:color w:val="auto"/>
        </w:rPr>
        <w:tab/>
        <w:t>Smartphones made up 53% of</w:t>
      </w:r>
    </w:p>
    <w:p>
      <w:pPr>
        <w:ind w:left="6080"/>
        <w:spacing w:after="0" w:line="219" w:lineRule="auto"/>
        <w:rPr>
          <w:sz w:val="20"/>
          <w:szCs w:val="20"/>
          <w:color w:val="auto"/>
        </w:rPr>
      </w:pPr>
      <w:r>
        <w:rPr>
          <w:rFonts w:ascii="Arial" w:cs="Arial" w:eastAsia="Arial" w:hAnsi="Arial"/>
          <w:sz w:val="32"/>
          <w:szCs w:val="32"/>
          <w:color w:val="auto"/>
        </w:rPr>
        <w:t>the Postpaid base in Q4 2011,</w:t>
      </w:r>
    </w:p>
    <w:p>
      <w:pPr>
        <w:ind w:left="6080"/>
        <w:spacing w:after="0" w:line="219" w:lineRule="auto"/>
        <w:rPr>
          <w:sz w:val="20"/>
          <w:szCs w:val="20"/>
          <w:color w:val="auto"/>
        </w:rPr>
      </w:pPr>
      <w:r>
        <w:rPr>
          <w:rFonts w:ascii="Arial" w:cs="Arial" w:eastAsia="Arial" w:hAnsi="Arial"/>
          <w:sz w:val="32"/>
          <w:szCs w:val="32"/>
          <w:color w:val="auto"/>
        </w:rPr>
        <w:t>up from 48% in Q3 2011 and</w:t>
      </w:r>
    </w:p>
    <w:p>
      <w:pPr>
        <w:spacing w:after="0" w:line="1" w:lineRule="exact"/>
        <w:rPr>
          <w:sz w:val="20"/>
          <w:szCs w:val="20"/>
          <w:color w:val="auto"/>
        </w:rPr>
      </w:pPr>
    </w:p>
    <w:p>
      <w:pPr>
        <w:ind w:left="6080"/>
        <w:spacing w:after="0"/>
        <w:rPr>
          <w:sz w:val="20"/>
          <w:szCs w:val="20"/>
          <w:color w:val="auto"/>
        </w:rPr>
      </w:pPr>
      <w:r>
        <w:rPr>
          <w:rFonts w:ascii="Arial" w:cs="Arial" w:eastAsia="Arial" w:hAnsi="Arial"/>
          <w:sz w:val="32"/>
          <w:szCs w:val="32"/>
          <w:color w:val="auto"/>
        </w:rPr>
        <w:t>34% in Q4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396875</wp:posOffset>
            </wp:positionV>
            <wp:extent cx="7266940" cy="20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80"/>
          </w:cols>
          <w:pgMar w:left="600" w:top="990" w:right="619" w:bottom="1440" w:gutter="0" w:footer="0" w:header="0"/>
        </w:sectPr>
      </w:pPr>
    </w:p>
    <w:bookmarkStart w:id="22" w:name="page23"/>
    <w:bookmarkEnd w:id="22"/>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iPhone Statistics - Q4’11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280" w:hanging="491"/>
        <w:spacing w:after="0"/>
        <w:tabs>
          <w:tab w:leader="none" w:pos="1280" w:val="left"/>
        </w:tabs>
        <w:numPr>
          <w:ilvl w:val="0"/>
          <w:numId w:val="8"/>
        </w:numPr>
        <w:rPr>
          <w:rFonts w:ascii="Arial" w:cs="Arial" w:eastAsia="Arial" w:hAnsi="Arial"/>
          <w:sz w:val="37"/>
          <w:szCs w:val="37"/>
          <w:color w:val="840039"/>
        </w:rPr>
      </w:pPr>
      <w:r>
        <w:rPr>
          <w:rFonts w:ascii="Arial" w:cs="Arial" w:eastAsia="Arial" w:hAnsi="Arial"/>
          <w:sz w:val="37"/>
          <w:szCs w:val="37"/>
          <w:color w:val="auto"/>
        </w:rPr>
        <w:t>16% of Q4 Gross Adds</w:t>
      </w:r>
    </w:p>
    <w:p>
      <w:pPr>
        <w:spacing w:after="0" w:line="379" w:lineRule="exact"/>
        <w:rPr>
          <w:rFonts w:ascii="Arial" w:cs="Arial" w:eastAsia="Arial" w:hAnsi="Arial"/>
          <w:sz w:val="37"/>
          <w:szCs w:val="37"/>
          <w:color w:val="840039"/>
        </w:rPr>
      </w:pPr>
    </w:p>
    <w:p>
      <w:pPr>
        <w:ind w:left="1360" w:right="2000" w:hanging="571"/>
        <w:spacing w:after="0" w:line="248" w:lineRule="auto"/>
        <w:tabs>
          <w:tab w:leader="none" w:pos="1268" w:val="left"/>
        </w:tabs>
        <w:numPr>
          <w:ilvl w:val="0"/>
          <w:numId w:val="8"/>
        </w:numPr>
        <w:rPr>
          <w:rFonts w:ascii="Arial" w:cs="Arial" w:eastAsia="Arial" w:hAnsi="Arial"/>
          <w:sz w:val="37"/>
          <w:szCs w:val="37"/>
          <w:color w:val="840039"/>
        </w:rPr>
      </w:pPr>
      <w:r>
        <w:rPr>
          <w:rFonts w:ascii="Arial" w:cs="Arial" w:eastAsia="Arial" w:hAnsi="Arial"/>
          <w:sz w:val="37"/>
          <w:szCs w:val="37"/>
          <w:color w:val="auto"/>
        </w:rPr>
        <w:t>36% of iPhones were sold or upgraded in Shentel-controlled channels</w:t>
      </w:r>
    </w:p>
    <w:p>
      <w:pPr>
        <w:spacing w:after="0" w:line="333" w:lineRule="exact"/>
        <w:rPr>
          <w:rFonts w:ascii="Arial" w:cs="Arial" w:eastAsia="Arial" w:hAnsi="Arial"/>
          <w:sz w:val="37"/>
          <w:szCs w:val="37"/>
          <w:color w:val="840039"/>
        </w:rPr>
      </w:pPr>
    </w:p>
    <w:p>
      <w:pPr>
        <w:ind w:left="1280" w:hanging="491"/>
        <w:spacing w:after="0"/>
        <w:tabs>
          <w:tab w:leader="none" w:pos="1280" w:val="left"/>
        </w:tabs>
        <w:numPr>
          <w:ilvl w:val="0"/>
          <w:numId w:val="8"/>
        </w:numPr>
        <w:rPr>
          <w:rFonts w:ascii="Arial" w:cs="Arial" w:eastAsia="Arial" w:hAnsi="Arial"/>
          <w:sz w:val="37"/>
          <w:szCs w:val="37"/>
          <w:color w:val="840039"/>
        </w:rPr>
      </w:pPr>
      <w:r>
        <w:rPr>
          <w:rFonts w:ascii="Arial" w:cs="Arial" w:eastAsia="Arial" w:hAnsi="Arial"/>
          <w:sz w:val="37"/>
          <w:szCs w:val="37"/>
          <w:color w:val="auto"/>
        </w:rPr>
        <w:t>3.6% of 12/31/11 Postpaid customers had the iPhone</w:t>
      </w:r>
    </w:p>
    <w:p>
      <w:pPr>
        <w:spacing w:after="0" w:line="223" w:lineRule="exact"/>
        <w:rPr>
          <w:sz w:val="20"/>
          <w:szCs w:val="20"/>
          <w:color w:val="auto"/>
        </w:rPr>
      </w:pPr>
    </w:p>
    <w:p>
      <w:pPr>
        <w:ind w:left="1760" w:hanging="394"/>
        <w:spacing w:after="0"/>
        <w:tabs>
          <w:tab w:leader="none" w:pos="1760" w:val="left"/>
        </w:tabs>
        <w:numPr>
          <w:ilvl w:val="0"/>
          <w:numId w:val="9"/>
        </w:numPr>
        <w:rPr>
          <w:rFonts w:ascii="Arial" w:cs="Arial" w:eastAsia="Arial" w:hAnsi="Arial"/>
          <w:sz w:val="29"/>
          <w:szCs w:val="29"/>
          <w:color w:val="C0C0C0"/>
        </w:rPr>
      </w:pPr>
      <w:r>
        <w:rPr>
          <w:rFonts w:ascii="Arial" w:cs="Arial" w:eastAsia="Arial" w:hAnsi="Arial"/>
          <w:sz w:val="37"/>
          <w:szCs w:val="37"/>
          <w:color w:val="auto"/>
        </w:rPr>
        <w:t>58% iPhone 4S</w:t>
      </w:r>
    </w:p>
    <w:p>
      <w:pPr>
        <w:spacing w:after="0" w:line="139" w:lineRule="exact"/>
        <w:rPr>
          <w:rFonts w:ascii="Arial" w:cs="Arial" w:eastAsia="Arial" w:hAnsi="Arial"/>
          <w:sz w:val="29"/>
          <w:szCs w:val="29"/>
          <w:color w:val="C0C0C0"/>
        </w:rPr>
      </w:pPr>
    </w:p>
    <w:p>
      <w:pPr>
        <w:ind w:left="1760" w:hanging="394"/>
        <w:spacing w:after="0"/>
        <w:tabs>
          <w:tab w:leader="none" w:pos="1760" w:val="left"/>
        </w:tabs>
        <w:numPr>
          <w:ilvl w:val="0"/>
          <w:numId w:val="9"/>
        </w:numPr>
        <w:rPr>
          <w:rFonts w:ascii="Arial" w:cs="Arial" w:eastAsia="Arial" w:hAnsi="Arial"/>
          <w:sz w:val="29"/>
          <w:szCs w:val="29"/>
          <w:color w:val="C0C0C0"/>
        </w:rPr>
      </w:pPr>
      <w:r>
        <w:rPr>
          <w:rFonts w:ascii="Arial" w:cs="Arial" w:eastAsia="Arial" w:hAnsi="Arial"/>
          <w:sz w:val="37"/>
          <w:szCs w:val="37"/>
          <w:color w:val="auto"/>
        </w:rPr>
        <w:t>42% iPhone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396875</wp:posOffset>
            </wp:positionV>
            <wp:extent cx="7266940" cy="20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80"/>
          </w:cols>
          <w:pgMar w:left="600" w:top="990" w:right="619" w:bottom="1440" w:gutter="0" w:footer="0" w:header="0"/>
        </w:sectPr>
      </w:pPr>
    </w:p>
    <w:bookmarkStart w:id="23" w:name="page24"/>
    <w:bookmarkEnd w:id="23"/>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PCS Prepaid Statistics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520"/>
        <w:spacing w:after="0"/>
        <w:tabs>
          <w:tab w:leader="none" w:pos="7060" w:val="left"/>
        </w:tabs>
        <w:rPr>
          <w:sz w:val="20"/>
          <w:szCs w:val="20"/>
          <w:color w:val="auto"/>
        </w:rPr>
      </w:pPr>
      <w:r>
        <w:rPr>
          <w:rFonts w:ascii="Arial" w:cs="Arial" w:eastAsia="Arial" w:hAnsi="Arial"/>
          <w:sz w:val="22"/>
          <w:szCs w:val="22"/>
          <w:b w:val="1"/>
          <w:bCs w:val="1"/>
          <w:color w:val="FFFFFF"/>
        </w:rPr>
        <w:t>Gross Additions (000s)</w:t>
      </w:r>
      <w:r>
        <w:rPr>
          <w:sz w:val="20"/>
          <w:szCs w:val="20"/>
          <w:color w:val="auto"/>
        </w:rPr>
        <w:tab/>
      </w:r>
      <w:r>
        <w:rPr>
          <w:rFonts w:ascii="Arial" w:cs="Arial" w:eastAsia="Arial" w:hAnsi="Arial"/>
          <w:sz w:val="20"/>
          <w:szCs w:val="20"/>
          <w:b w:val="1"/>
          <w:bCs w:val="1"/>
          <w:color w:val="FFFFFF"/>
        </w:rPr>
        <w:t>Cumulative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396875</wp:posOffset>
            </wp:positionV>
            <wp:extent cx="7266940" cy="20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80"/>
          </w:cols>
          <w:pgMar w:left="600" w:top="990" w:right="619" w:bottom="1440" w:gutter="0" w:footer="0" w:header="0"/>
        </w:sectPr>
      </w:pPr>
    </w:p>
    <w:bookmarkStart w:id="24" w:name="page25"/>
    <w:bookmarkEnd w:id="24"/>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PCS Prepaid Statistics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100"/>
        <w:spacing w:after="0"/>
        <w:tabs>
          <w:tab w:leader="none" w:pos="6760" w:val="left"/>
        </w:tabs>
        <w:rPr>
          <w:sz w:val="20"/>
          <w:szCs w:val="20"/>
          <w:color w:val="auto"/>
        </w:rPr>
      </w:pPr>
      <w:r>
        <w:rPr>
          <w:rFonts w:ascii="Arial" w:cs="Arial" w:eastAsia="Arial" w:hAnsi="Arial"/>
          <w:sz w:val="22"/>
          <w:szCs w:val="22"/>
          <w:b w:val="1"/>
          <w:bCs w:val="1"/>
          <w:color w:val="FFFFFF"/>
        </w:rPr>
        <w:t>Churn %</w:t>
      </w:r>
      <w:r>
        <w:rPr>
          <w:sz w:val="20"/>
          <w:szCs w:val="20"/>
          <w:color w:val="auto"/>
        </w:rPr>
        <w:tab/>
      </w:r>
      <w:r>
        <w:rPr>
          <w:rFonts w:ascii="Arial" w:cs="Arial" w:eastAsia="Arial" w:hAnsi="Arial"/>
          <w:sz w:val="19"/>
          <w:szCs w:val="19"/>
          <w:b w:val="1"/>
          <w:bCs w:val="1"/>
          <w:color w:val="FFFFFF"/>
        </w:rPr>
        <w:t>Average Gross Billed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396875</wp:posOffset>
            </wp:positionV>
            <wp:extent cx="7266940" cy="20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80"/>
          </w:cols>
          <w:pgMar w:left="600" w:top="990" w:right="619" w:bottom="1440" w:gutter="0" w:footer="0" w:header="0"/>
        </w:sectPr>
      </w:pPr>
    </w:p>
    <w:bookmarkStart w:id="25" w:name="page26"/>
    <w:bookmarkEnd w:id="25"/>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Cable - RGU Growth by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220" w:type="dxa"/>
        <w:tblCellMar>
          <w:top w:w="0" w:type="dxa"/>
          <w:left w:w="0" w:type="dxa"/>
          <w:bottom w:w="0" w:type="dxa"/>
          <w:right w:w="0" w:type="dxa"/>
        </w:tblCellMar>
      </w:tblPr>
      <w:tr>
        <w:trPr>
          <w:trHeight w:val="218"/>
        </w:trPr>
        <w:tc>
          <w:tcPr>
            <w:tcW w:w="1540" w:type="dxa"/>
            <w:vAlign w:val="bottom"/>
          </w:tcPr>
          <w:p>
            <w:pPr>
              <w:spacing w:after="0"/>
              <w:rPr>
                <w:sz w:val="20"/>
                <w:szCs w:val="20"/>
                <w:color w:val="auto"/>
              </w:rPr>
            </w:pPr>
            <w:r>
              <w:rPr>
                <w:rFonts w:ascii="Arial" w:cs="Arial" w:eastAsia="Arial" w:hAnsi="Arial"/>
                <w:sz w:val="19"/>
                <w:szCs w:val="19"/>
                <w:b w:val="1"/>
                <w:bCs w:val="1"/>
                <w:color w:val="auto"/>
              </w:rPr>
              <w:t>Customers</w:t>
            </w:r>
          </w:p>
        </w:tc>
        <w:tc>
          <w:tcPr>
            <w:tcW w:w="980" w:type="dxa"/>
            <w:vAlign w:val="bottom"/>
          </w:tcPr>
          <w:p>
            <w:pPr>
              <w:jc w:val="right"/>
              <w:ind w:right="244"/>
              <w:spacing w:after="0"/>
              <w:rPr>
                <w:sz w:val="20"/>
                <w:szCs w:val="20"/>
                <w:color w:val="auto"/>
              </w:rPr>
            </w:pPr>
            <w:r>
              <w:rPr>
                <w:rFonts w:ascii="Arial" w:cs="Arial" w:eastAsia="Arial" w:hAnsi="Arial"/>
                <w:sz w:val="19"/>
                <w:szCs w:val="19"/>
                <w:b w:val="1"/>
                <w:bCs w:val="1"/>
                <w:color w:val="auto"/>
              </w:rPr>
              <w:t>74,178</w:t>
            </w:r>
          </w:p>
        </w:tc>
        <w:tc>
          <w:tcPr>
            <w:tcW w:w="1180" w:type="dxa"/>
            <w:vAlign w:val="bottom"/>
          </w:tcPr>
          <w:p>
            <w:pPr>
              <w:jc w:val="right"/>
              <w:ind w:right="224"/>
              <w:spacing w:after="0"/>
              <w:rPr>
                <w:sz w:val="20"/>
                <w:szCs w:val="20"/>
                <w:color w:val="auto"/>
              </w:rPr>
            </w:pPr>
            <w:r>
              <w:rPr>
                <w:rFonts w:ascii="Arial" w:cs="Arial" w:eastAsia="Arial" w:hAnsi="Arial"/>
                <w:sz w:val="19"/>
                <w:szCs w:val="19"/>
                <w:b w:val="1"/>
                <w:bCs w:val="1"/>
                <w:color w:val="auto"/>
              </w:rPr>
              <w:t>74,657</w:t>
            </w:r>
          </w:p>
        </w:tc>
        <w:tc>
          <w:tcPr>
            <w:tcW w:w="1220" w:type="dxa"/>
            <w:vAlign w:val="bottom"/>
          </w:tcPr>
          <w:p>
            <w:pPr>
              <w:jc w:val="right"/>
              <w:ind w:right="264"/>
              <w:spacing w:after="0"/>
              <w:rPr>
                <w:sz w:val="20"/>
                <w:szCs w:val="20"/>
                <w:color w:val="auto"/>
              </w:rPr>
            </w:pPr>
            <w:r>
              <w:rPr>
                <w:rFonts w:ascii="Arial" w:cs="Arial" w:eastAsia="Arial" w:hAnsi="Arial"/>
                <w:sz w:val="19"/>
                <w:szCs w:val="19"/>
                <w:b w:val="1"/>
                <w:bCs w:val="1"/>
                <w:color w:val="auto"/>
              </w:rPr>
              <w:t>73,930</w:t>
            </w:r>
          </w:p>
        </w:tc>
        <w:tc>
          <w:tcPr>
            <w:tcW w:w="1180" w:type="dxa"/>
            <w:vAlign w:val="bottom"/>
          </w:tcPr>
          <w:p>
            <w:pPr>
              <w:jc w:val="right"/>
              <w:ind w:right="204"/>
              <w:spacing w:after="0"/>
              <w:rPr>
                <w:sz w:val="20"/>
                <w:szCs w:val="20"/>
                <w:color w:val="auto"/>
              </w:rPr>
            </w:pPr>
            <w:r>
              <w:rPr>
                <w:rFonts w:ascii="Arial" w:cs="Arial" w:eastAsia="Arial" w:hAnsi="Arial"/>
                <w:sz w:val="19"/>
                <w:szCs w:val="19"/>
                <w:b w:val="1"/>
                <w:bCs w:val="1"/>
                <w:color w:val="auto"/>
              </w:rPr>
              <w:t>75,131</w:t>
            </w:r>
          </w:p>
        </w:tc>
        <w:tc>
          <w:tcPr>
            <w:tcW w:w="860" w:type="dxa"/>
            <w:vAlign w:val="bottom"/>
          </w:tcPr>
          <w:p>
            <w:pPr>
              <w:jc w:val="right"/>
              <w:ind w:right="4"/>
              <w:spacing w:after="0"/>
              <w:rPr>
                <w:sz w:val="20"/>
                <w:szCs w:val="20"/>
                <w:color w:val="auto"/>
              </w:rPr>
            </w:pPr>
            <w:r>
              <w:rPr>
                <w:rFonts w:ascii="Arial" w:cs="Arial" w:eastAsia="Arial" w:hAnsi="Arial"/>
                <w:sz w:val="19"/>
                <w:szCs w:val="19"/>
                <w:b w:val="1"/>
                <w:bCs w:val="1"/>
                <w:color w:val="auto"/>
              </w:rPr>
              <w:t>75,348</w:t>
            </w:r>
          </w:p>
        </w:tc>
      </w:tr>
      <w:tr>
        <w:trPr>
          <w:trHeight w:val="250"/>
        </w:trPr>
        <w:tc>
          <w:tcPr>
            <w:tcW w:w="1540" w:type="dxa"/>
            <w:vAlign w:val="bottom"/>
          </w:tcPr>
          <w:p>
            <w:pPr>
              <w:spacing w:after="0"/>
              <w:rPr>
                <w:sz w:val="20"/>
                <w:szCs w:val="20"/>
                <w:color w:val="auto"/>
              </w:rPr>
            </w:pPr>
            <w:r>
              <w:rPr>
                <w:rFonts w:ascii="Arial" w:cs="Arial" w:eastAsia="Arial" w:hAnsi="Arial"/>
                <w:sz w:val="19"/>
                <w:szCs w:val="19"/>
                <w:b w:val="1"/>
                <w:bCs w:val="1"/>
                <w:color w:val="auto"/>
              </w:rPr>
              <w:t>RGU's/Customer</w:t>
            </w:r>
          </w:p>
        </w:tc>
        <w:tc>
          <w:tcPr>
            <w:tcW w:w="980" w:type="dxa"/>
            <w:vAlign w:val="bottom"/>
          </w:tcPr>
          <w:p>
            <w:pPr>
              <w:jc w:val="right"/>
              <w:ind w:right="304"/>
              <w:spacing w:after="0"/>
              <w:rPr>
                <w:sz w:val="20"/>
                <w:szCs w:val="20"/>
                <w:color w:val="auto"/>
              </w:rPr>
            </w:pPr>
            <w:r>
              <w:rPr>
                <w:rFonts w:ascii="Arial" w:cs="Arial" w:eastAsia="Arial" w:hAnsi="Arial"/>
                <w:sz w:val="19"/>
                <w:szCs w:val="19"/>
                <w:b w:val="1"/>
                <w:bCs w:val="1"/>
                <w:color w:val="auto"/>
              </w:rPr>
              <w:t>1.73</w:t>
            </w:r>
          </w:p>
        </w:tc>
        <w:tc>
          <w:tcPr>
            <w:tcW w:w="1180" w:type="dxa"/>
            <w:vAlign w:val="bottom"/>
          </w:tcPr>
          <w:p>
            <w:pPr>
              <w:jc w:val="right"/>
              <w:ind w:right="244"/>
              <w:spacing w:after="0"/>
              <w:rPr>
                <w:sz w:val="20"/>
                <w:szCs w:val="20"/>
                <w:color w:val="auto"/>
              </w:rPr>
            </w:pPr>
            <w:r>
              <w:rPr>
                <w:rFonts w:ascii="Arial" w:cs="Arial" w:eastAsia="Arial" w:hAnsi="Arial"/>
                <w:sz w:val="19"/>
                <w:szCs w:val="19"/>
                <w:b w:val="1"/>
                <w:bCs w:val="1"/>
                <w:color w:val="auto"/>
              </w:rPr>
              <w:t>1.75</w:t>
            </w:r>
          </w:p>
        </w:tc>
        <w:tc>
          <w:tcPr>
            <w:tcW w:w="1220" w:type="dxa"/>
            <w:vAlign w:val="bottom"/>
          </w:tcPr>
          <w:p>
            <w:pPr>
              <w:jc w:val="right"/>
              <w:ind w:right="224"/>
              <w:spacing w:after="0"/>
              <w:rPr>
                <w:sz w:val="20"/>
                <w:szCs w:val="20"/>
                <w:color w:val="auto"/>
              </w:rPr>
            </w:pPr>
            <w:r>
              <w:rPr>
                <w:rFonts w:ascii="Arial" w:cs="Arial" w:eastAsia="Arial" w:hAnsi="Arial"/>
                <w:sz w:val="19"/>
                <w:szCs w:val="19"/>
                <w:b w:val="1"/>
                <w:bCs w:val="1"/>
                <w:color w:val="auto"/>
              </w:rPr>
              <w:t>1.77</w:t>
            </w:r>
          </w:p>
        </w:tc>
        <w:tc>
          <w:tcPr>
            <w:tcW w:w="1180" w:type="dxa"/>
            <w:vAlign w:val="bottom"/>
          </w:tcPr>
          <w:p>
            <w:pPr>
              <w:jc w:val="right"/>
              <w:ind w:right="144"/>
              <w:spacing w:after="0"/>
              <w:rPr>
                <w:sz w:val="20"/>
                <w:szCs w:val="20"/>
                <w:color w:val="auto"/>
              </w:rPr>
            </w:pPr>
            <w:r>
              <w:rPr>
                <w:rFonts w:ascii="Arial" w:cs="Arial" w:eastAsia="Arial" w:hAnsi="Arial"/>
                <w:sz w:val="19"/>
                <w:szCs w:val="19"/>
                <w:b w:val="1"/>
                <w:bCs w:val="1"/>
                <w:color w:val="auto"/>
              </w:rPr>
              <w:t>1.81</w:t>
            </w: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1.82</w:t>
            </w:r>
          </w:p>
        </w:tc>
      </w:tr>
    </w:tbl>
    <w:p>
      <w:pPr>
        <w:jc w:val="right"/>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386715</wp:posOffset>
            </wp:positionV>
            <wp:extent cx="7266940" cy="20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80"/>
          </w:cols>
          <w:pgMar w:left="600" w:top="990" w:right="619" w:bottom="1440" w:gutter="0" w:footer="0" w:header="0"/>
        </w:sectPr>
      </w:pPr>
    </w:p>
    <w:bookmarkStart w:id="26" w:name="page27"/>
    <w:bookmarkEnd w:id="26"/>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Key Operational Results - 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700" w:right="1980"/>
        <w:spacing w:after="0" w:line="253" w:lineRule="auto"/>
        <w:rPr>
          <w:sz w:val="20"/>
          <w:szCs w:val="20"/>
          <w:color w:val="auto"/>
        </w:rPr>
      </w:pPr>
      <w:r>
        <w:rPr>
          <w:rFonts w:ascii="Arial" w:cs="Arial" w:eastAsia="Arial" w:hAnsi="Arial"/>
          <w:sz w:val="19"/>
          <w:szCs w:val="19"/>
          <w:u w:val="single" w:color="auto"/>
          <w:color w:val="auto"/>
        </w:rPr>
        <w:t>Note</w:t>
      </w:r>
      <w:r>
        <w:rPr>
          <w:rFonts w:ascii="Arial" w:cs="Arial" w:eastAsia="Arial" w:hAnsi="Arial"/>
          <w:sz w:val="19"/>
          <w:szCs w:val="19"/>
          <w:color w:val="auto"/>
        </w:rPr>
        <w:t>: Video homes passed includes 16K homes located in Shenandoah County, VA, where internet and voice services are provided by the Wireline segment.</w:t>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396875</wp:posOffset>
            </wp:positionV>
            <wp:extent cx="7266940" cy="20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80"/>
          </w:cols>
          <w:pgMar w:left="600" w:top="990" w:right="619" w:bottom="1440" w:gutter="0" w:footer="0" w:header="0"/>
        </w:sectPr>
      </w:pPr>
    </w:p>
    <w:bookmarkStart w:id="27" w:name="page28"/>
    <w:bookmarkEnd w:id="27"/>
    <w:p>
      <w:pPr>
        <w:spacing w:after="0"/>
        <w:rPr>
          <w:sz w:val="20"/>
          <w:szCs w:val="20"/>
          <w:color w:val="auto"/>
        </w:rPr>
      </w:pPr>
      <w:r>
        <w:rPr>
          <w:rFonts w:ascii="Arial" w:cs="Arial" w:eastAsia="Arial" w:hAnsi="Arial"/>
          <w:sz w:val="35"/>
          <w:szCs w:val="35"/>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Key Operational Results - Wireline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080" w:right="1300" w:hanging="579"/>
        <w:spacing w:after="0" w:line="282" w:lineRule="auto"/>
        <w:tabs>
          <w:tab w:leader="none" w:pos="984" w:val="left"/>
        </w:tabs>
        <w:numPr>
          <w:ilvl w:val="0"/>
          <w:numId w:val="10"/>
        </w:numPr>
        <w:rPr>
          <w:rFonts w:ascii="Arial" w:cs="Arial" w:eastAsia="Arial" w:hAnsi="Arial"/>
          <w:sz w:val="36"/>
          <w:szCs w:val="36"/>
          <w:color w:val="840039"/>
        </w:rPr>
      </w:pPr>
      <w:r>
        <w:rPr>
          <w:rFonts w:ascii="Arial" w:cs="Arial" w:eastAsia="Arial" w:hAnsi="Arial"/>
          <w:sz w:val="36"/>
          <w:szCs w:val="36"/>
          <w:color w:val="auto"/>
        </w:rPr>
        <w:t>Modest access line loss of 3% in past 12 months</w:t>
      </w:r>
    </w:p>
    <w:p>
      <w:pPr>
        <w:spacing w:after="0" w:line="168" w:lineRule="exact"/>
        <w:rPr>
          <w:rFonts w:ascii="Arial" w:cs="Arial" w:eastAsia="Arial" w:hAnsi="Arial"/>
          <w:sz w:val="36"/>
          <w:szCs w:val="36"/>
          <w:color w:val="840039"/>
        </w:rPr>
      </w:pPr>
    </w:p>
    <w:p>
      <w:pPr>
        <w:ind w:left="1080" w:right="1140" w:hanging="579"/>
        <w:spacing w:after="0" w:line="239" w:lineRule="auto"/>
        <w:tabs>
          <w:tab w:leader="none" w:pos="984" w:val="left"/>
        </w:tabs>
        <w:numPr>
          <w:ilvl w:val="0"/>
          <w:numId w:val="10"/>
        </w:numPr>
        <w:rPr>
          <w:rFonts w:ascii="Arial" w:cs="Arial" w:eastAsia="Arial" w:hAnsi="Arial"/>
          <w:sz w:val="38"/>
          <w:szCs w:val="38"/>
          <w:color w:val="840039"/>
        </w:rPr>
      </w:pPr>
      <w:r>
        <w:rPr>
          <w:rFonts w:ascii="Arial" w:cs="Arial" w:eastAsia="Arial" w:hAnsi="Arial"/>
          <w:sz w:val="38"/>
          <w:szCs w:val="38"/>
          <w:color w:val="auto"/>
        </w:rPr>
        <w:t>Continued broadband penetration in LEC area to 53%</w:t>
      </w:r>
    </w:p>
    <w:p>
      <w:pPr>
        <w:spacing w:after="0" w:line="248" w:lineRule="exact"/>
        <w:rPr>
          <w:rFonts w:ascii="Arial" w:cs="Arial" w:eastAsia="Arial" w:hAnsi="Arial"/>
          <w:sz w:val="38"/>
          <w:szCs w:val="38"/>
          <w:color w:val="840039"/>
        </w:rPr>
      </w:pPr>
    </w:p>
    <w:p>
      <w:pPr>
        <w:ind w:left="1080" w:right="1340" w:hanging="579"/>
        <w:spacing w:after="0" w:line="260" w:lineRule="auto"/>
        <w:tabs>
          <w:tab w:leader="none" w:pos="988" w:val="left"/>
        </w:tabs>
        <w:numPr>
          <w:ilvl w:val="0"/>
          <w:numId w:val="10"/>
        </w:numPr>
        <w:rPr>
          <w:rFonts w:ascii="Arial" w:cs="Arial" w:eastAsia="Arial" w:hAnsi="Arial"/>
          <w:sz w:val="33"/>
          <w:szCs w:val="33"/>
          <w:color w:val="840039"/>
        </w:rPr>
      </w:pPr>
      <w:r>
        <w:rPr>
          <w:rFonts w:ascii="Arial" w:cs="Arial" w:eastAsia="Arial" w:hAnsi="Arial"/>
          <w:sz w:val="33"/>
          <w:szCs w:val="33"/>
          <w:color w:val="auto"/>
        </w:rPr>
        <w:t>3% growth in DSL customers since 12/31/10, partially offsetting access line losses, resulting in total connections of 35.4 thousand, down from 35.6 thousand at 12/31/10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1045845</wp:posOffset>
            </wp:positionV>
            <wp:extent cx="7266940" cy="20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280"/>
        <w:spacing w:after="0"/>
        <w:rPr>
          <w:sz w:val="20"/>
          <w:szCs w:val="20"/>
          <w:color w:val="auto"/>
        </w:rPr>
      </w:pPr>
      <w:r>
        <w:rPr>
          <w:rFonts w:ascii="Arial" w:cs="Arial" w:eastAsia="Arial" w:hAnsi="Arial"/>
          <w:sz w:val="22"/>
          <w:szCs w:val="22"/>
          <w:b w:val="1"/>
          <w:bCs w:val="1"/>
          <w:color w:val="FFFFFF"/>
        </w:rPr>
        <w:t>Access lines (000s)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160"/>
        <w:spacing w:after="0"/>
        <w:rPr>
          <w:sz w:val="20"/>
          <w:szCs w:val="20"/>
          <w:color w:val="auto"/>
        </w:rPr>
      </w:pPr>
      <w:r>
        <w:rPr>
          <w:rFonts w:ascii="Arial" w:cs="Arial" w:eastAsia="Arial" w:hAnsi="Arial"/>
          <w:sz w:val="20"/>
          <w:szCs w:val="20"/>
          <w:b w:val="1"/>
          <w:bCs w:val="1"/>
          <w:color w:val="FFFFFF"/>
        </w:rPr>
        <w:t>Internet Customers (000s)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26</w:t>
      </w:r>
    </w:p>
    <w:p>
      <w:pPr>
        <w:sectPr>
          <w:pgSz w:w="11900" w:h="16838" w:orient="portrait"/>
          <w:cols w:equalWidth="0" w:num="2">
            <w:col w:w="6300" w:space="720"/>
            <w:col w:w="3660"/>
          </w:cols>
          <w:pgMar w:left="600" w:top="990" w:right="619" w:bottom="1440" w:gutter="0" w:footer="0" w:header="0"/>
        </w:sectPr>
      </w:pPr>
    </w:p>
    <w:bookmarkStart w:id="28" w:name="page29"/>
    <w:bookmarkEnd w:id="28"/>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Investing in the Future</w:t>
      </w:r>
    </w:p>
    <w:p>
      <w:pPr>
        <w:spacing w:after="0" w:line="312" w:lineRule="exact"/>
        <w:rPr>
          <w:sz w:val="20"/>
          <w:szCs w:val="20"/>
          <w:color w:val="auto"/>
        </w:rPr>
      </w:pPr>
    </w:p>
    <w:p>
      <w:pPr>
        <w:ind w:left="1920"/>
        <w:spacing w:after="0"/>
        <w:rPr>
          <w:sz w:val="20"/>
          <w:szCs w:val="20"/>
          <w:color w:val="auto"/>
        </w:rPr>
      </w:pPr>
      <w:r>
        <w:rPr>
          <w:rFonts w:ascii="Arial" w:cs="Arial" w:eastAsia="Arial" w:hAnsi="Arial"/>
          <w:sz w:val="22"/>
          <w:szCs w:val="22"/>
          <w:b w:val="1"/>
          <w:bCs w:val="1"/>
          <w:color w:val="FFFFFF"/>
        </w:rPr>
        <w:t>Capex Spending</w:t>
      </w:r>
    </w:p>
    <w:p>
      <w:pPr>
        <w:spacing w:after="0" w:line="256" w:lineRule="exact"/>
        <w:rPr>
          <w:sz w:val="20"/>
          <w:szCs w:val="20"/>
          <w:color w:val="auto"/>
        </w:rPr>
      </w:pPr>
    </w:p>
    <w:p>
      <w:pPr>
        <w:ind w:left="5700"/>
        <w:spacing w:after="0"/>
        <w:tabs>
          <w:tab w:leader="none" w:pos="6160" w:val="left"/>
        </w:tabs>
        <w:rPr>
          <w:sz w:val="20"/>
          <w:szCs w:val="20"/>
          <w:color w:val="auto"/>
        </w:rPr>
      </w:pPr>
      <w:r>
        <w:rPr>
          <w:rFonts w:ascii="Arial" w:cs="Arial" w:eastAsia="Arial" w:hAnsi="Arial"/>
          <w:sz w:val="32"/>
          <w:szCs w:val="32"/>
          <w:color w:val="840039"/>
        </w:rPr>
        <w:t>n</w:t>
      </w:r>
      <w:r>
        <w:rPr>
          <w:rFonts w:ascii="Arial" w:cs="Arial" w:eastAsia="Arial" w:hAnsi="Arial"/>
          <w:sz w:val="32"/>
          <w:szCs w:val="32"/>
          <w:color w:val="auto"/>
        </w:rPr>
        <w:tab/>
        <w:t>Upgrade of Jet Network is</w:t>
      </w:r>
    </w:p>
    <w:p>
      <w:pPr>
        <w:ind w:left="6260"/>
        <w:spacing w:after="0"/>
        <w:rPr>
          <w:sz w:val="20"/>
          <w:szCs w:val="20"/>
          <w:color w:val="auto"/>
        </w:rPr>
      </w:pPr>
      <w:r>
        <w:rPr>
          <w:rFonts w:ascii="Arial" w:cs="Arial" w:eastAsia="Arial" w:hAnsi="Arial"/>
          <w:sz w:val="32"/>
          <w:szCs w:val="32"/>
          <w:color w:val="auto"/>
        </w:rPr>
        <w:t>approximately 51% complete</w:t>
      </w:r>
    </w:p>
    <w:p>
      <w:pPr>
        <w:spacing w:after="0" w:line="261" w:lineRule="exact"/>
        <w:rPr>
          <w:sz w:val="20"/>
          <w:szCs w:val="20"/>
          <w:color w:val="auto"/>
        </w:rPr>
      </w:pPr>
    </w:p>
    <w:p>
      <w:pPr>
        <w:ind w:left="5700"/>
        <w:spacing w:after="0"/>
        <w:tabs>
          <w:tab w:leader="none" w:pos="6160" w:val="left"/>
        </w:tabs>
        <w:rPr>
          <w:sz w:val="20"/>
          <w:szCs w:val="20"/>
          <w:color w:val="auto"/>
        </w:rPr>
      </w:pPr>
      <w:r>
        <w:rPr>
          <w:rFonts w:ascii="Arial" w:cs="Arial" w:eastAsia="Arial" w:hAnsi="Arial"/>
          <w:sz w:val="32"/>
          <w:szCs w:val="32"/>
          <w:color w:val="840039"/>
        </w:rPr>
        <w:t>n</w:t>
      </w:r>
      <w:r>
        <w:rPr>
          <w:rFonts w:ascii="Arial" w:cs="Arial" w:eastAsia="Arial" w:hAnsi="Arial"/>
          <w:sz w:val="32"/>
          <w:szCs w:val="32"/>
          <w:color w:val="auto"/>
        </w:rPr>
        <w:tab/>
        <w:t>All remaining systems in</w:t>
      </w:r>
    </w:p>
    <w:p>
      <w:pPr>
        <w:ind w:left="6260"/>
        <w:spacing w:after="0" w:line="219" w:lineRule="auto"/>
        <w:rPr>
          <w:sz w:val="20"/>
          <w:szCs w:val="20"/>
          <w:color w:val="auto"/>
        </w:rPr>
      </w:pPr>
      <w:r>
        <w:rPr>
          <w:rFonts w:ascii="Arial" w:cs="Arial" w:eastAsia="Arial" w:hAnsi="Arial"/>
          <w:sz w:val="32"/>
          <w:szCs w:val="32"/>
          <w:color w:val="auto"/>
        </w:rPr>
        <w:t>Virginia, West Virginia and</w:t>
      </w:r>
    </w:p>
    <w:p>
      <w:pPr>
        <w:ind w:left="6260"/>
        <w:spacing w:after="0" w:line="219" w:lineRule="auto"/>
        <w:rPr>
          <w:sz w:val="20"/>
          <w:szCs w:val="20"/>
          <w:color w:val="auto"/>
        </w:rPr>
      </w:pPr>
      <w:r>
        <w:rPr>
          <w:rFonts w:ascii="Arial" w:cs="Arial" w:eastAsia="Arial" w:hAnsi="Arial"/>
          <w:sz w:val="32"/>
          <w:szCs w:val="32"/>
          <w:color w:val="auto"/>
        </w:rPr>
        <w:t>Maryland to have upgrades</w:t>
      </w:r>
    </w:p>
    <w:p>
      <w:pPr>
        <w:spacing w:after="0" w:line="1" w:lineRule="exact"/>
        <w:rPr>
          <w:sz w:val="20"/>
          <w:szCs w:val="20"/>
          <w:color w:val="auto"/>
        </w:rPr>
      </w:pPr>
    </w:p>
    <w:p>
      <w:pPr>
        <w:ind w:left="6260"/>
        <w:spacing w:after="0"/>
        <w:rPr>
          <w:sz w:val="20"/>
          <w:szCs w:val="20"/>
          <w:color w:val="auto"/>
        </w:rPr>
      </w:pPr>
      <w:r>
        <w:rPr>
          <w:rFonts w:ascii="Arial" w:cs="Arial" w:eastAsia="Arial" w:hAnsi="Arial"/>
          <w:sz w:val="32"/>
          <w:szCs w:val="32"/>
          <w:color w:val="auto"/>
        </w:rPr>
        <w:t>completed in 2012</w:t>
      </w:r>
    </w:p>
    <w:p>
      <w:pPr>
        <w:spacing w:after="0" w:line="297" w:lineRule="exact"/>
        <w:rPr>
          <w:sz w:val="20"/>
          <w:szCs w:val="20"/>
          <w:color w:val="auto"/>
        </w:rPr>
      </w:pPr>
    </w:p>
    <w:p>
      <w:pPr>
        <w:ind w:left="5700"/>
        <w:spacing w:after="0"/>
        <w:tabs>
          <w:tab w:leader="none" w:pos="6160" w:val="left"/>
        </w:tabs>
        <w:rPr>
          <w:sz w:val="20"/>
          <w:szCs w:val="20"/>
          <w:color w:val="auto"/>
        </w:rPr>
      </w:pPr>
      <w:r>
        <w:rPr>
          <w:rFonts w:ascii="Arial" w:cs="Arial" w:eastAsia="Arial" w:hAnsi="Arial"/>
          <w:sz w:val="32"/>
          <w:szCs w:val="32"/>
          <w:color w:val="840039"/>
        </w:rPr>
        <w:t>n</w:t>
      </w:r>
      <w:r>
        <w:rPr>
          <w:rFonts w:ascii="Arial" w:cs="Arial" w:eastAsia="Arial" w:hAnsi="Arial"/>
          <w:sz w:val="32"/>
          <w:szCs w:val="32"/>
          <w:color w:val="auto"/>
        </w:rPr>
        <w:tab/>
        <w:t>Network Vision expected to</w:t>
      </w:r>
    </w:p>
    <w:p>
      <w:pPr>
        <w:ind w:left="6260"/>
        <w:spacing w:after="0"/>
        <w:rPr>
          <w:sz w:val="20"/>
          <w:szCs w:val="20"/>
          <w:color w:val="auto"/>
        </w:rPr>
      </w:pPr>
      <w:r>
        <w:rPr>
          <w:rFonts w:ascii="Arial" w:cs="Arial" w:eastAsia="Arial" w:hAnsi="Arial"/>
          <w:sz w:val="32"/>
          <w:szCs w:val="32"/>
          <w:color w:val="auto"/>
        </w:rPr>
        <w:t>drive $60M of spend in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396875</wp:posOffset>
            </wp:positionV>
            <wp:extent cx="7266940" cy="20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80"/>
          </w:cols>
          <w:pgMar w:left="600" w:top="990" w:right="619" w:bottom="1440" w:gutter="0" w:footer="0" w:header="0"/>
        </w:sectPr>
      </w:pPr>
    </w:p>
    <w:bookmarkStart w:id="29" w:name="page30"/>
    <w:bookmarkEnd w:id="29"/>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Investing in the Future - Network Vision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00" w:hanging="491"/>
        <w:spacing w:after="0"/>
        <w:tabs>
          <w:tab w:leader="none" w:pos="800" w:val="left"/>
        </w:tabs>
        <w:numPr>
          <w:ilvl w:val="0"/>
          <w:numId w:val="11"/>
        </w:numPr>
        <w:rPr>
          <w:rFonts w:ascii="Arial" w:cs="Arial" w:eastAsia="Arial" w:hAnsi="Arial"/>
          <w:sz w:val="32"/>
          <w:szCs w:val="32"/>
          <w:color w:val="840039"/>
        </w:rPr>
      </w:pPr>
      <w:r>
        <w:rPr>
          <w:rFonts w:ascii="Arial" w:cs="Arial" w:eastAsia="Arial" w:hAnsi="Arial"/>
          <w:sz w:val="32"/>
          <w:szCs w:val="32"/>
          <w:color w:val="auto"/>
        </w:rPr>
        <w:t>Plan to upgrade 274 cell sites in 2012 and the remaining</w:t>
      </w:r>
    </w:p>
    <w:p>
      <w:pPr>
        <w:ind w:left="880"/>
        <w:spacing w:after="0"/>
        <w:rPr>
          <w:rFonts w:ascii="Arial" w:cs="Arial" w:eastAsia="Arial" w:hAnsi="Arial"/>
          <w:sz w:val="32"/>
          <w:szCs w:val="32"/>
          <w:color w:val="840039"/>
        </w:rPr>
      </w:pPr>
      <w:r>
        <w:rPr>
          <w:rFonts w:ascii="Arial" w:cs="Arial" w:eastAsia="Arial" w:hAnsi="Arial"/>
          <w:sz w:val="32"/>
          <w:szCs w:val="32"/>
          <w:color w:val="auto"/>
        </w:rPr>
        <w:t>236 in 2013 including:</w:t>
      </w:r>
    </w:p>
    <w:p>
      <w:pPr>
        <w:spacing w:after="0" w:line="112" w:lineRule="exact"/>
        <w:rPr>
          <w:sz w:val="20"/>
          <w:szCs w:val="20"/>
          <w:color w:val="auto"/>
        </w:rPr>
      </w:pPr>
    </w:p>
    <w:p>
      <w:pPr>
        <w:ind w:left="1320" w:hanging="435"/>
        <w:spacing w:after="0"/>
        <w:tabs>
          <w:tab w:leader="none" w:pos="1320" w:val="left"/>
        </w:tabs>
        <w:numPr>
          <w:ilvl w:val="0"/>
          <w:numId w:val="12"/>
        </w:numPr>
        <w:rPr>
          <w:rFonts w:ascii="Arial" w:cs="Arial" w:eastAsia="Arial" w:hAnsi="Arial"/>
          <w:sz w:val="20"/>
          <w:szCs w:val="20"/>
          <w:color w:val="C0C0C0"/>
        </w:rPr>
      </w:pPr>
      <w:r>
        <w:rPr>
          <w:rFonts w:ascii="Arial" w:cs="Arial" w:eastAsia="Arial" w:hAnsi="Arial"/>
          <w:sz w:val="26"/>
          <w:szCs w:val="26"/>
          <w:color w:val="auto"/>
        </w:rPr>
        <w:t>Multi-modal base station at each site</w:t>
      </w:r>
    </w:p>
    <w:p>
      <w:pPr>
        <w:spacing w:after="0" w:line="133" w:lineRule="exact"/>
        <w:rPr>
          <w:rFonts w:ascii="Arial" w:cs="Arial" w:eastAsia="Arial" w:hAnsi="Arial"/>
          <w:sz w:val="20"/>
          <w:szCs w:val="20"/>
          <w:color w:val="C0C0C0"/>
        </w:rPr>
      </w:pPr>
    </w:p>
    <w:p>
      <w:pPr>
        <w:ind w:left="1320" w:hanging="435"/>
        <w:spacing w:after="0"/>
        <w:tabs>
          <w:tab w:leader="none" w:pos="1320" w:val="left"/>
        </w:tabs>
        <w:numPr>
          <w:ilvl w:val="0"/>
          <w:numId w:val="12"/>
        </w:numPr>
        <w:rPr>
          <w:rFonts w:ascii="Arial" w:cs="Arial" w:eastAsia="Arial" w:hAnsi="Arial"/>
          <w:sz w:val="20"/>
          <w:szCs w:val="20"/>
          <w:color w:val="C0C0C0"/>
        </w:rPr>
      </w:pPr>
      <w:r>
        <w:rPr>
          <w:rFonts w:ascii="Arial" w:cs="Arial" w:eastAsia="Arial" w:hAnsi="Arial"/>
          <w:sz w:val="26"/>
          <w:szCs w:val="26"/>
          <w:color w:val="auto"/>
        </w:rPr>
        <w:t>Expanded backhaul capacity</w:t>
      </w:r>
    </w:p>
    <w:p>
      <w:pPr>
        <w:spacing w:after="0" w:line="145" w:lineRule="exact"/>
        <w:rPr>
          <w:rFonts w:ascii="Arial" w:cs="Arial" w:eastAsia="Arial" w:hAnsi="Arial"/>
          <w:sz w:val="20"/>
          <w:szCs w:val="20"/>
          <w:color w:val="C0C0C0"/>
        </w:rPr>
      </w:pPr>
    </w:p>
    <w:p>
      <w:pPr>
        <w:ind w:left="1320" w:hanging="435"/>
        <w:spacing w:after="0"/>
        <w:tabs>
          <w:tab w:leader="none" w:pos="1320" w:val="left"/>
        </w:tabs>
        <w:numPr>
          <w:ilvl w:val="0"/>
          <w:numId w:val="12"/>
        </w:numPr>
        <w:rPr>
          <w:rFonts w:ascii="Arial" w:cs="Arial" w:eastAsia="Arial" w:hAnsi="Arial"/>
          <w:sz w:val="20"/>
          <w:szCs w:val="20"/>
          <w:color w:val="C0C0C0"/>
        </w:rPr>
      </w:pPr>
      <w:r>
        <w:rPr>
          <w:rFonts w:ascii="Arial" w:cs="Arial" w:eastAsia="Arial" w:hAnsi="Arial"/>
          <w:sz w:val="26"/>
          <w:szCs w:val="26"/>
          <w:color w:val="auto"/>
        </w:rPr>
        <w:t>LTE in the PCS G-block</w:t>
      </w:r>
    </w:p>
    <w:p>
      <w:pPr>
        <w:spacing w:after="0" w:line="133" w:lineRule="exact"/>
        <w:rPr>
          <w:rFonts w:ascii="Arial" w:cs="Arial" w:eastAsia="Arial" w:hAnsi="Arial"/>
          <w:sz w:val="20"/>
          <w:szCs w:val="20"/>
          <w:color w:val="C0C0C0"/>
        </w:rPr>
      </w:pPr>
    </w:p>
    <w:p>
      <w:pPr>
        <w:ind w:left="1320" w:hanging="435"/>
        <w:spacing w:after="0"/>
        <w:tabs>
          <w:tab w:leader="none" w:pos="1320" w:val="left"/>
        </w:tabs>
        <w:numPr>
          <w:ilvl w:val="0"/>
          <w:numId w:val="12"/>
        </w:numPr>
        <w:rPr>
          <w:rFonts w:ascii="Arial" w:cs="Arial" w:eastAsia="Arial" w:hAnsi="Arial"/>
          <w:sz w:val="20"/>
          <w:szCs w:val="20"/>
          <w:color w:val="C0C0C0"/>
        </w:rPr>
      </w:pPr>
      <w:r>
        <w:rPr>
          <w:rFonts w:ascii="Arial" w:cs="Arial" w:eastAsia="Arial" w:hAnsi="Arial"/>
          <w:sz w:val="26"/>
          <w:szCs w:val="26"/>
          <w:color w:val="auto"/>
        </w:rPr>
        <w:t>Voice service in the 800Mhz block</w:t>
      </w:r>
    </w:p>
    <w:p>
      <w:pPr>
        <w:spacing w:after="0" w:line="299" w:lineRule="exact"/>
        <w:rPr>
          <w:sz w:val="20"/>
          <w:szCs w:val="20"/>
          <w:color w:val="auto"/>
        </w:rPr>
      </w:pPr>
    </w:p>
    <w:p>
      <w:pPr>
        <w:ind w:left="800" w:hanging="491"/>
        <w:spacing w:after="0"/>
        <w:tabs>
          <w:tab w:leader="none" w:pos="800" w:val="left"/>
        </w:tabs>
        <w:numPr>
          <w:ilvl w:val="0"/>
          <w:numId w:val="13"/>
        </w:numPr>
        <w:rPr>
          <w:rFonts w:ascii="Arial" w:cs="Arial" w:eastAsia="Arial" w:hAnsi="Arial"/>
          <w:sz w:val="32"/>
          <w:szCs w:val="32"/>
          <w:color w:val="840039"/>
        </w:rPr>
      </w:pPr>
      <w:r>
        <w:rPr>
          <w:rFonts w:ascii="Arial" w:cs="Arial" w:eastAsia="Arial" w:hAnsi="Arial"/>
          <w:sz w:val="32"/>
          <w:szCs w:val="32"/>
          <w:color w:val="auto"/>
        </w:rPr>
        <w:t>Expect to accelerate depreciation by</w:t>
      </w:r>
    </w:p>
    <w:p>
      <w:pPr>
        <w:spacing w:after="0" w:line="140" w:lineRule="exact"/>
        <w:rPr>
          <w:sz w:val="20"/>
          <w:szCs w:val="20"/>
          <w:color w:val="auto"/>
        </w:rPr>
      </w:pPr>
    </w:p>
    <w:p>
      <w:pPr>
        <w:ind w:left="1320" w:hanging="435"/>
        <w:spacing w:after="0"/>
        <w:tabs>
          <w:tab w:leader="none" w:pos="1320" w:val="left"/>
        </w:tabs>
        <w:numPr>
          <w:ilvl w:val="0"/>
          <w:numId w:val="14"/>
        </w:numPr>
        <w:rPr>
          <w:rFonts w:ascii="Arial" w:cs="Arial" w:eastAsia="Arial" w:hAnsi="Arial"/>
          <w:sz w:val="20"/>
          <w:szCs w:val="20"/>
          <w:color w:val="C0C0C0"/>
        </w:rPr>
      </w:pPr>
      <w:r>
        <w:rPr>
          <w:rFonts w:ascii="Arial" w:cs="Arial" w:eastAsia="Arial" w:hAnsi="Arial"/>
          <w:sz w:val="26"/>
          <w:szCs w:val="26"/>
          <w:color w:val="auto"/>
        </w:rPr>
        <w:t>$7.3M in 2012</w:t>
      </w:r>
    </w:p>
    <w:p>
      <w:pPr>
        <w:spacing w:after="0" w:line="133" w:lineRule="exact"/>
        <w:rPr>
          <w:rFonts w:ascii="Arial" w:cs="Arial" w:eastAsia="Arial" w:hAnsi="Arial"/>
          <w:sz w:val="20"/>
          <w:szCs w:val="20"/>
          <w:color w:val="C0C0C0"/>
        </w:rPr>
      </w:pPr>
    </w:p>
    <w:p>
      <w:pPr>
        <w:ind w:left="1320" w:hanging="435"/>
        <w:spacing w:after="0"/>
        <w:tabs>
          <w:tab w:leader="none" w:pos="1320" w:val="left"/>
        </w:tabs>
        <w:numPr>
          <w:ilvl w:val="0"/>
          <w:numId w:val="14"/>
        </w:numPr>
        <w:rPr>
          <w:rFonts w:ascii="Arial" w:cs="Arial" w:eastAsia="Arial" w:hAnsi="Arial"/>
          <w:sz w:val="20"/>
          <w:szCs w:val="20"/>
          <w:color w:val="C0C0C0"/>
        </w:rPr>
      </w:pPr>
      <w:r>
        <w:rPr>
          <w:rFonts w:ascii="Arial" w:cs="Arial" w:eastAsia="Arial" w:hAnsi="Arial"/>
          <w:sz w:val="26"/>
          <w:szCs w:val="26"/>
          <w:color w:val="auto"/>
        </w:rPr>
        <w:t>$5.3M in 2013</w:t>
      </w:r>
    </w:p>
    <w:p>
      <w:pPr>
        <w:spacing w:after="0" w:line="299" w:lineRule="exact"/>
        <w:rPr>
          <w:sz w:val="20"/>
          <w:szCs w:val="20"/>
          <w:color w:val="auto"/>
        </w:rPr>
      </w:pPr>
    </w:p>
    <w:p>
      <w:pPr>
        <w:ind w:left="800" w:hanging="491"/>
        <w:spacing w:after="0"/>
        <w:tabs>
          <w:tab w:leader="none" w:pos="800" w:val="left"/>
        </w:tabs>
        <w:numPr>
          <w:ilvl w:val="0"/>
          <w:numId w:val="15"/>
        </w:numPr>
        <w:rPr>
          <w:rFonts w:ascii="Arial" w:cs="Arial" w:eastAsia="Arial" w:hAnsi="Arial"/>
          <w:sz w:val="32"/>
          <w:szCs w:val="32"/>
          <w:color w:val="840039"/>
        </w:rPr>
      </w:pPr>
      <w:r>
        <w:rPr>
          <w:rFonts w:ascii="Arial" w:cs="Arial" w:eastAsia="Arial" w:hAnsi="Arial"/>
          <w:sz w:val="32"/>
          <w:szCs w:val="32"/>
          <w:color w:val="auto"/>
        </w:rPr>
        <w:t>Expect to launch LTE as early as Q3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396875</wp:posOffset>
            </wp:positionV>
            <wp:extent cx="7266940" cy="20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80"/>
          </w:cols>
          <w:pgMar w:left="600" w:top="990" w:right="61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360"/>
        <w:spacing w:after="0"/>
        <w:rPr>
          <w:sz w:val="20"/>
          <w:szCs w:val="20"/>
          <w:color w:val="auto"/>
        </w:rPr>
      </w:pPr>
      <w:r>
        <w:rPr>
          <w:rFonts w:ascii="Arial" w:cs="Arial" w:eastAsia="Arial" w:hAnsi="Arial"/>
          <w:sz w:val="160"/>
          <w:szCs w:val="160"/>
          <w:b w:val="1"/>
          <w:bCs w:val="1"/>
          <w:color w:val="840039"/>
        </w:rPr>
        <w:t>Q&amp;A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396875</wp:posOffset>
            </wp:positionV>
            <wp:extent cx="7266940" cy="20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9840"/>
          </w:cols>
          <w:pgMar w:left="1440" w:top="1440" w:right="61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020"/>
        <w:spacing w:after="0"/>
        <w:rPr>
          <w:sz w:val="20"/>
          <w:szCs w:val="20"/>
          <w:color w:val="auto"/>
        </w:rPr>
      </w:pPr>
      <w:r>
        <w:rPr>
          <w:rFonts w:ascii="Arial" w:cs="Arial" w:eastAsia="Arial" w:hAnsi="Arial"/>
          <w:sz w:val="58"/>
          <w:szCs w:val="58"/>
          <w:b w:val="1"/>
          <w:bCs w:val="1"/>
          <w:color w:val="840039"/>
        </w:rPr>
        <w:t>Appendix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396875</wp:posOffset>
            </wp:positionV>
            <wp:extent cx="7266940" cy="20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9840"/>
          </w:cols>
          <w:pgMar w:left="1440" w:top="1440" w:right="619" w:bottom="1440" w:gutter="0" w:footer="0" w:header="0"/>
        </w:sectPr>
      </w:pPr>
    </w:p>
    <w:bookmarkStart w:id="32" w:name="page33"/>
    <w:bookmarkEnd w:id="32"/>
    <w:p>
      <w:pP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Non-GAAP Financial Measure - Billed Revenue per Postpaid Subscriber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504190</wp:posOffset>
            </wp:positionV>
            <wp:extent cx="7282180" cy="20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2180" cy="20320"/>
                    </a:xfrm>
                    <a:prstGeom prst="rect">
                      <a:avLst/>
                    </a:prstGeom>
                    <a:noFill/>
                  </pic:spPr>
                </pic:pic>
              </a:graphicData>
            </a:graphic>
          </wp:anchor>
        </w:drawing>
      </w:r>
    </w:p>
    <w:sectPr>
      <w:pgSz w:w="11900" w:h="16838" w:orient="portrait"/>
      <w:cols w:equalWidth="0" w:num="1">
        <w:col w:w="10660"/>
      </w:cols>
      <w:pgMar w:left="620" w:top="1064"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o"/>
      <w:numFmt w:val="bullet"/>
      <w:start w:val="1"/>
    </w:lvl>
  </w:abstractNum>
  <w:abstractNum w:abstractNumId="1">
    <w:nsid w:val="515F007C"/>
    <w:multiLevelType w:val="hybridMultilevel"/>
    <w:lvl w:ilvl="0">
      <w:lvlJc w:val="left"/>
      <w:lvlText w:val="q"/>
      <w:numFmt w:val="bullet"/>
      <w:start w:val="1"/>
    </w:lvl>
  </w:abstractNum>
  <w:abstractNum w:abstractNumId="2">
    <w:nsid w:val="5BD062C2"/>
    <w:multiLevelType w:val="hybridMultilevel"/>
    <w:lvl w:ilvl="0">
      <w:lvlJc w:val="left"/>
      <w:lvlText w:val="q"/>
      <w:numFmt w:val="bullet"/>
      <w:start w:val="1"/>
    </w:lvl>
  </w:abstractNum>
  <w:abstractNum w:abstractNumId="3">
    <w:nsid w:val="12200854"/>
    <w:multiLevelType w:val="hybridMultilevel"/>
    <w:lvl w:ilvl="0">
      <w:lvlJc w:val="left"/>
      <w:lvlText w:val="u"/>
      <w:numFmt w:val="bullet"/>
      <w:start w:val="1"/>
    </w:lvl>
  </w:abstractNum>
  <w:abstractNum w:abstractNumId="4">
    <w:nsid w:val="4DB127F8"/>
    <w:multiLevelType w:val="hybridMultilevel"/>
    <w:lvl w:ilvl="0">
      <w:lvlJc w:val="left"/>
      <w:lvlText w:val="u"/>
      <w:numFmt w:val="bullet"/>
      <w:start w:val="1"/>
    </w:lvl>
  </w:abstractNum>
  <w:abstractNum w:abstractNumId="5">
    <w:nsid w:val="216231B"/>
    <w:multiLevelType w:val="hybridMultilevel"/>
    <w:lvl w:ilvl="0">
      <w:lvlJc w:val="left"/>
      <w:lvlText w:val="n"/>
      <w:numFmt w:val="bullet"/>
      <w:start w:val="1"/>
    </w:lvl>
  </w:abstractNum>
  <w:abstractNum w:abstractNumId="6">
    <w:nsid w:val="1F16E9E8"/>
    <w:multiLevelType w:val="hybridMultilevel"/>
    <w:lvl w:ilvl="0">
      <w:lvlJc w:val="left"/>
      <w:lvlText w:val="1"/>
      <w:numFmt w:val="bullet"/>
      <w:start w:val="1"/>
    </w:lvl>
  </w:abstractNum>
  <w:abstractNum w:abstractNumId="7">
    <w:nsid w:val="1190CDE7"/>
    <w:multiLevelType w:val="hybridMultilevel"/>
    <w:lvl w:ilvl="0">
      <w:lvlJc w:val="left"/>
      <w:lvlText w:val="n"/>
      <w:numFmt w:val="bullet"/>
      <w:start w:val="1"/>
    </w:lvl>
  </w:abstractNum>
  <w:abstractNum w:abstractNumId="8">
    <w:nsid w:val="66EF438D"/>
    <w:multiLevelType w:val="hybridMultilevel"/>
    <w:lvl w:ilvl="0">
      <w:lvlJc w:val="left"/>
      <w:lvlText w:val="u"/>
      <w:numFmt w:val="bullet"/>
      <w:start w:val="1"/>
    </w:lvl>
  </w:abstractNum>
  <w:abstractNum w:abstractNumId="9">
    <w:nsid w:val="140E0F76"/>
    <w:multiLevelType w:val="hybridMultilevel"/>
    <w:lvl w:ilvl="0">
      <w:lvlJc w:val="left"/>
      <w:lvlText w:val="n"/>
      <w:numFmt w:val="bullet"/>
      <w:start w:val="1"/>
    </w:lvl>
  </w:abstractNum>
  <w:abstractNum w:abstractNumId="10">
    <w:nsid w:val="3352255A"/>
    <w:multiLevelType w:val="hybridMultilevel"/>
    <w:lvl w:ilvl="0">
      <w:lvlJc w:val="left"/>
      <w:lvlText w:val="n"/>
      <w:numFmt w:val="bullet"/>
      <w:start w:val="1"/>
    </w:lvl>
  </w:abstractNum>
  <w:abstractNum w:abstractNumId="11">
    <w:nsid w:val="109CF92E"/>
    <w:multiLevelType w:val="hybridMultilevel"/>
    <w:lvl w:ilvl="0">
      <w:lvlJc w:val="left"/>
      <w:lvlText w:val="u"/>
      <w:numFmt w:val="bullet"/>
      <w:start w:val="1"/>
    </w:lvl>
  </w:abstractNum>
  <w:abstractNum w:abstractNumId="12">
    <w:nsid w:val="DED7263"/>
    <w:multiLevelType w:val="hybridMultilevel"/>
    <w:lvl w:ilvl="0">
      <w:lvlJc w:val="left"/>
      <w:lvlText w:val="n"/>
      <w:numFmt w:val="bullet"/>
      <w:start w:val="1"/>
    </w:lvl>
  </w:abstractNum>
  <w:abstractNum w:abstractNumId="13">
    <w:nsid w:val="7FDCC233"/>
    <w:multiLevelType w:val="hybridMultilevel"/>
    <w:lvl w:ilvl="0">
      <w:lvlJc w:val="left"/>
      <w:lvlText w:val="u"/>
      <w:numFmt w:val="bullet"/>
      <w:start w:val="1"/>
    </w:lvl>
  </w:abstractNum>
  <w:abstractNum w:abstractNumId="14">
    <w:nsid w:val="1BEFD79F"/>
    <w:multiLevelType w:val="hybridMultilevel"/>
    <w:lvl w:ilvl="0">
      <w:lvlJc w:val="left"/>
      <w:lvlText w:val="n"/>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2019-12-09T08:11:14Z</dcterms:created>
  <dcterms:modified xsi:type="dcterms:W3CDTF">2019-12-09T08:11:14Z</dcterms:modified>
</cp:coreProperties>
</file>