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 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9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For the quarterly period ended September 30, 2018</w:t>
      </w:r>
    </w:p>
    <w:p>
      <w:pPr>
        <w:spacing w:after="0" w:line="198" w:lineRule="exact"/>
        <w:rPr>
          <w:sz w:val="24"/>
          <w:szCs w:val="24"/>
          <w:color w:val="auto"/>
        </w:rPr>
      </w:pPr>
    </w:p>
    <w:p>
      <w:pPr>
        <w:ind w:left="600" w:right="2120" w:hanging="565"/>
        <w:spacing w:after="0" w:line="496" w:lineRule="auto"/>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14605</wp:posOffset>
            </wp:positionV>
            <wp:extent cx="20326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28" w:right="239" w:bottom="1440" w:gutter="0" w:footer="0" w:header="0"/>
        </w:sectPr>
      </w:pPr>
    </w:p>
    <w:p>
      <w:pPr>
        <w:spacing w:after="0" w:line="151"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VIRGINIA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54-1162807</w:t>
      </w:r>
    </w:p>
    <w:p>
      <w:pPr>
        <w:spacing w:after="0" w:line="89" w:lineRule="exact"/>
        <w:rPr>
          <w:sz w:val="24"/>
          <w:szCs w:val="24"/>
          <w:color w:val="auto"/>
        </w:rPr>
      </w:pPr>
    </w:p>
    <w:p>
      <w:pPr>
        <w:sectPr>
          <w:pgSz w:w="11900" w:h="16838" w:orient="portrait"/>
          <w:cols w:equalWidth="0" w:num="2">
            <w:col w:w="7540" w:space="720"/>
            <w:col w:w="3160"/>
          </w:cols>
          <w:pgMar w:left="240" w:top="528" w:right="23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528" w:right="239" w:bottom="1440" w:gutter="0" w:footer="0" w:header="0"/>
          <w:type w:val="continuous"/>
        </w:sectPr>
      </w:pPr>
    </w:p>
    <w:p>
      <w:pPr>
        <w:spacing w:after="0" w:line="64"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28"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28"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28" w:right="239" w:bottom="1440" w:gutter="0" w:footer="0" w:header="0"/>
          <w:type w:val="continuous"/>
        </w:sectPr>
      </w:pPr>
    </w:p>
    <w:p>
      <w:pPr>
        <w:spacing w:after="0" w:line="9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3">
            <w:col w:w="2840" w:space="720"/>
            <w:col w:w="2160" w:space="720"/>
            <w:col w:w="4980"/>
          </w:cols>
          <w:pgMar w:left="240" w:top="528" w:right="2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Smaller reporting company</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Emerging growth company</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840" w:space="720"/>
            <w:col w:w="7860"/>
          </w:cols>
          <w:pgMar w:left="240" w:top="528" w:right="239" w:bottom="1440" w:gutter="0" w:footer="0" w:header="0"/>
          <w:type w:val="continuous"/>
        </w:sectPr>
      </w:pPr>
    </w:p>
    <w:p>
      <w:pPr>
        <w:spacing w:after="0" w:line="9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November 2, 2018 was 49,558,663.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INDEX</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6"/>
          </w:tcPr>
          <w:p>
            <w:pPr>
              <w:jc w:val="right"/>
              <w:ind w:right="50"/>
              <w:spacing w:after="0"/>
              <w:rPr>
                <w:sz w:val="20"/>
                <w:szCs w:val="20"/>
                <w:color w:val="auto"/>
              </w:rPr>
            </w:pPr>
            <w:r>
              <w:rPr>
                <w:rFonts w:ascii="Arial" w:cs="Arial" w:eastAsia="Arial" w:hAnsi="Arial"/>
                <w:sz w:val="18"/>
                <w:szCs w:val="18"/>
                <w:color w:val="auto"/>
                <w:w w:val="90"/>
              </w:rPr>
              <w:t>Page</w:t>
            </w:r>
          </w:p>
        </w:tc>
      </w:tr>
      <w:tr>
        <w:trPr>
          <w:trHeight w:val="230"/>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gridSpan w:val="8"/>
          </w:tcPr>
          <w:p>
            <w:pPr>
              <w:jc w:val="right"/>
              <w:spacing w:after="0"/>
              <w:rPr>
                <w:sz w:val="20"/>
                <w:szCs w:val="20"/>
                <w:color w:val="auto"/>
              </w:rPr>
            </w:pPr>
            <w:r>
              <w:rPr>
                <w:rFonts w:ascii="Arial" w:cs="Arial" w:eastAsia="Arial" w:hAnsi="Arial"/>
                <w:sz w:val="18"/>
                <w:szCs w:val="18"/>
                <w:color w:val="auto"/>
              </w:rPr>
              <w:t>Numbers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8360" w:type="dxa"/>
            <w:vAlign w:val="bottom"/>
            <w:gridSpan w:val="13"/>
          </w:tcPr>
          <w:p>
            <w:pPr>
              <w:spacing w:after="0"/>
              <w:rPr>
                <w:sz w:val="20"/>
                <w:szCs w:val="20"/>
                <w:color w:val="auto"/>
              </w:rPr>
            </w:pPr>
            <w:r>
              <w:rPr>
                <w:rFonts w:ascii="Arial" w:cs="Arial" w:eastAsia="Arial" w:hAnsi="Arial"/>
                <w:sz w:val="18"/>
                <w:szCs w:val="18"/>
                <w:color w:val="auto"/>
              </w:rPr>
              <w:t>FINANCIAL INFORMATION</w:t>
            </w: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tcPr>
          <w:p>
            <w:pPr>
              <w:spacing w:after="0"/>
              <w:rPr>
                <w:sz w:val="24"/>
                <w:szCs w:val="24"/>
                <w:color w:val="auto"/>
              </w:rPr>
            </w:pPr>
          </w:p>
        </w:tc>
        <w:tc>
          <w:tcPr>
            <w:tcW w:w="3740" w:type="dxa"/>
            <w:vAlign w:val="bottom"/>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w:t>
              </w:r>
            </w:hyperlink>
          </w:p>
        </w:tc>
        <w:tc>
          <w:tcPr>
            <w:tcW w:w="4620" w:type="dxa"/>
            <w:vAlign w:val="bottom"/>
            <w:gridSpan w:val="8"/>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83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 and Comprehensive Income (Loss)</w:t>
              </w:r>
            </w:hyperlink>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5200" w:type="dxa"/>
            <w:vAlign w:val="bottom"/>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Shareholders’ Equity</w:t>
              </w:r>
            </w:hyperlink>
          </w:p>
        </w:tc>
        <w:tc>
          <w:tcPr>
            <w:tcW w:w="182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4520" w:type="dxa"/>
            <w:vAlign w:val="bottom"/>
            <w:gridSpan w:val="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w:t>
              </w:r>
            </w:hyperlink>
          </w:p>
        </w:tc>
        <w:tc>
          <w:tcPr>
            <w:tcW w:w="680" w:type="dxa"/>
            <w:vAlign w:val="bottom"/>
            <w:gridSpan w:val="2"/>
          </w:tcPr>
          <w:p>
            <w:pPr>
              <w:spacing w:after="0"/>
              <w:rPr>
                <w:sz w:val="24"/>
                <w:szCs w:val="24"/>
                <w:color w:val="auto"/>
              </w:rPr>
            </w:pPr>
          </w:p>
        </w:tc>
        <w:tc>
          <w:tcPr>
            <w:tcW w:w="3160" w:type="dxa"/>
            <w:vAlign w:val="bottom"/>
            <w:gridSpan w:val="3"/>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4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560" w:type="dxa"/>
            <w:vAlign w:val="bottom"/>
            <w:gridSpan w:val="4"/>
          </w:tcPr>
          <w:p>
            <w:pPr>
              <w:spacing w:after="0"/>
              <w:rPr>
                <w:sz w:val="24"/>
                <w:szCs w:val="24"/>
                <w:color w:val="auto"/>
              </w:rPr>
            </w:pPr>
          </w:p>
        </w:tc>
        <w:tc>
          <w:tcPr>
            <w:tcW w:w="1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8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620" w:type="dxa"/>
            <w:vAlign w:val="bottom"/>
            <w:gridSpan w:val="4"/>
          </w:tcPr>
          <w:p>
            <w:pPr>
              <w:jc w:val="right"/>
              <w:ind w:right="8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tcBorders>
            <w:gridSpan w:val="6"/>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24"/>
                <w:szCs w:val="24"/>
                <w:color w:val="auto"/>
              </w:rPr>
            </w:pPr>
          </w:p>
        </w:tc>
        <w:tc>
          <w:tcPr>
            <w:tcW w:w="19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5">
              <w:r>
                <w:rPr>
                  <w:rFonts w:ascii="Arial" w:cs="Arial" w:eastAsia="Arial" w:hAnsi="Arial"/>
                  <w:sz w:val="15"/>
                  <w:szCs w:val="15"/>
                  <w:color w:val="0000EE"/>
                  <w:w w:val="71"/>
                </w:rPr>
                <w:t>45</w:t>
              </w:r>
            </w:hyperlink>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Controls and Procedures</w:t>
              </w:r>
            </w:hyperlink>
          </w:p>
        </w:tc>
        <w:tc>
          <w:tcPr>
            <w:tcW w:w="2540" w:type="dxa"/>
            <w:vAlign w:val="bottom"/>
            <w:gridSpan w:val="2"/>
          </w:tcPr>
          <w:p>
            <w:pPr>
              <w:spacing w:after="0"/>
              <w:rPr>
                <w:sz w:val="24"/>
                <w:szCs w:val="24"/>
                <w:color w:val="auto"/>
              </w:rPr>
            </w:pPr>
          </w:p>
        </w:tc>
        <w:tc>
          <w:tcPr>
            <w:tcW w:w="4040" w:type="dxa"/>
            <w:vAlign w:val="bottom"/>
            <w:gridSpan w:val="7"/>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6">
              <w:r>
                <w:rPr>
                  <w:rFonts w:ascii="Arial" w:cs="Arial" w:eastAsia="Arial" w:hAnsi="Arial"/>
                  <w:sz w:val="15"/>
                  <w:szCs w:val="15"/>
                  <w:color w:val="0000EE"/>
                  <w:w w:val="71"/>
                </w:rPr>
                <w:t>46</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61"/>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8360" w:type="dxa"/>
            <w:vAlign w:val="bottom"/>
            <w:gridSpan w:val="13"/>
          </w:tcPr>
          <w:p>
            <w:pPr>
              <w:spacing w:after="0"/>
              <w:rPr>
                <w:sz w:val="20"/>
                <w:szCs w:val="20"/>
                <w:color w:val="auto"/>
              </w:rPr>
            </w:pPr>
            <w:r>
              <w:rPr>
                <w:rFonts w:ascii="Arial" w:cs="Arial" w:eastAsia="Arial" w:hAnsi="Arial"/>
                <w:sz w:val="18"/>
                <w:szCs w:val="18"/>
                <w:color w:val="auto"/>
              </w:rPr>
              <w:t>OTHER INFORMATION</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Risk Factors</w:t>
              </w:r>
            </w:hyperlink>
          </w:p>
        </w:tc>
        <w:tc>
          <w:tcPr>
            <w:tcW w:w="7440" w:type="dxa"/>
            <w:vAlign w:val="bottom"/>
            <w:gridSpan w:val="10"/>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7">
              <w:r>
                <w:rPr>
                  <w:rFonts w:ascii="Arial" w:cs="Arial" w:eastAsia="Arial" w:hAnsi="Arial"/>
                  <w:sz w:val="15"/>
                  <w:szCs w:val="15"/>
                  <w:color w:val="0000EE"/>
                  <w:w w:val="71"/>
                </w:rPr>
                <w:t>47</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7"/>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Unregistered Sales of Equity Securities and Use of Proceeds</w:t>
              </w:r>
            </w:hyperlink>
          </w:p>
        </w:tc>
        <w:tc>
          <w:tcPr>
            <w:tcW w:w="400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7">
              <w:r>
                <w:rPr>
                  <w:rFonts w:ascii="Arial" w:cs="Arial" w:eastAsia="Arial" w:hAnsi="Arial"/>
                  <w:sz w:val="15"/>
                  <w:szCs w:val="15"/>
                  <w:color w:val="0000EE"/>
                  <w:w w:val="71"/>
                </w:rPr>
                <w:t>47</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400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8">
              <w:r>
                <w:rPr>
                  <w:rFonts w:ascii="Arial" w:cs="Arial" w:eastAsia="Arial" w:hAnsi="Arial"/>
                  <w:sz w:val="15"/>
                  <w:szCs w:val="15"/>
                  <w:color w:val="0000EE"/>
                  <w:w w:val="71"/>
                </w:rPr>
                <w:t>48</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0" w:type="dxa"/>
            <w:vAlign w:val="bottom"/>
            <w:gridSpan w:val="11"/>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836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50">
              <w:r>
                <w:rPr>
                  <w:rFonts w:ascii="Arial" w:cs="Arial" w:eastAsia="Arial" w:hAnsi="Arial"/>
                  <w:sz w:val="15"/>
                  <w:szCs w:val="15"/>
                  <w:color w:val="0000EE"/>
                  <w:w w:val="71"/>
                </w:rPr>
                <w:t>50</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140"/>
          </w:cols>
          <w:pgMar w:left="280" w:top="584" w:right="47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86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BALANCE SHEETS</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7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2017</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75,207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78,585</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59,968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54,184</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63,383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17,111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206,065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172,895</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669,709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686,327</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381,537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380,979</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146,497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146,497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53,723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1,469,827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1,411,860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Current maturities of long-term debt, net of unamortized loan fees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84,743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64,397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23,868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28,953</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Advanced billings and customer deposits</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21,153</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Accrued liabilities and other</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14,756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13,914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137,615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137,584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1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694,045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757,561</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120,846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100,879</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Deferred lease</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22,162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15,782</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22,372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21,211</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Retirement plan obligations</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13,235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14,567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15,293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4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193,182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166,493</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860" w:type="dxa"/>
            <w:vAlign w:val="bottom"/>
          </w:tcPr>
          <w:p>
            <w:pPr>
              <w:ind w:left="140"/>
              <w:spacing w:after="0"/>
              <w:rPr>
                <w:sz w:val="20"/>
                <w:szCs w:val="20"/>
                <w:color w:val="auto"/>
              </w:rPr>
            </w:pPr>
            <w:r>
              <w:rPr>
                <w:rFonts w:ascii="Arial" w:cs="Arial" w:eastAsia="Arial" w:hAnsi="Arial"/>
                <w:sz w:val="18"/>
                <w:szCs w:val="18"/>
                <w:color w:val="auto"/>
                <w:w w:val="90"/>
              </w:rPr>
              <w:t>Common stock, no par value, authorized 96,000; 49,559 and 49,328 issued and outstanding at September</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30, 2018 and December 31, 2017, respectively</w:t>
            </w: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47,350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44,787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385,045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297,205</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 net of taxes</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12,590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444,985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350,222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Pr>
          <w:p>
            <w:pPr>
              <w:ind w:left="2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1,469,827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1,411,860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SHENANDOAH TELECOMMUNICATIONS COMPANY AND SUBSIDIARIES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UNAUDITED CONDENSED CONSOLIDATED STATEMENTS OF OPERATIONS AND COMPREHENSIVE INCOME (LOSS)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340" w:type="dxa"/>
            <w:vAlign w:val="bottom"/>
          </w:tcPr>
          <w:p>
            <w:pPr>
              <w:spacing w:after="0"/>
              <w:rPr>
                <w:sz w:val="20"/>
                <w:szCs w:val="20"/>
                <w:color w:val="auto"/>
              </w:rPr>
            </w:pPr>
            <w:r>
              <w:rPr>
                <w:rFonts w:ascii="Arial" w:cs="Arial" w:eastAsia="Arial" w:hAnsi="Arial"/>
                <w:sz w:val="16"/>
                <w:szCs w:val="16"/>
                <w:i w:val="1"/>
                <w:iCs w:val="1"/>
                <w:color w:val="auto"/>
              </w:rPr>
              <w:t>(in thousands, except per share amounts)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2"/>
                <w:szCs w:val="22"/>
                <w:color w:val="auto"/>
              </w:rPr>
            </w:pPr>
          </w:p>
        </w:tc>
        <w:tc>
          <w:tcPr>
            <w:tcW w:w="25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r>
              <w:rPr>
                <w:rFonts w:ascii="Arial" w:cs="Arial" w:eastAsia="Arial" w:hAnsi="Arial"/>
                <w:sz w:val="16"/>
                <w:szCs w:val="16"/>
                <w:color w:val="auto"/>
              </w:rPr>
              <w:t>Operating revenue:</w:t>
            </w: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59"/>
              <w:spacing w:after="0"/>
              <w:rPr>
                <w:sz w:val="20"/>
                <w:szCs w:val="20"/>
                <w:color w:val="auto"/>
              </w:rPr>
            </w:pPr>
            <w:r>
              <w:rPr>
                <w:rFonts w:ascii="Arial" w:cs="Arial" w:eastAsia="Arial" w:hAnsi="Arial"/>
                <w:sz w:val="16"/>
                <w:szCs w:val="16"/>
                <w:b w:val="1"/>
                <w:bCs w:val="1"/>
                <w:color w:val="auto"/>
                <w:w w:val="95"/>
              </w:rPr>
              <w:t>2017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140"/>
              <w:spacing w:after="0"/>
              <w:rPr>
                <w:sz w:val="20"/>
                <w:szCs w:val="20"/>
                <w:color w:val="auto"/>
              </w:rPr>
            </w:pPr>
            <w:r>
              <w:rPr>
                <w:rFonts w:ascii="Arial" w:cs="Arial" w:eastAsia="Arial" w:hAnsi="Arial"/>
                <w:sz w:val="16"/>
                <w:szCs w:val="16"/>
                <w:color w:val="auto"/>
              </w:rPr>
              <w:t>Service revenue and other</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142,768</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149,788</w:t>
            </w:r>
          </w:p>
        </w:tc>
        <w:tc>
          <w:tcPr>
            <w:tcW w:w="3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419,819</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450,617</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15,963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1,994</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49,551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8,303</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Total operating revenue</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158,731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151,782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469,370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458,920</w:t>
            </w:r>
          </w:p>
        </w:tc>
        <w:tc>
          <w:tcPr>
            <w:tcW w:w="0" w:type="dxa"/>
            <w:vAlign w:val="bottom"/>
          </w:tcPr>
          <w:p>
            <w:pPr>
              <w:spacing w:after="0"/>
              <w:rPr>
                <w:sz w:val="1"/>
                <w:szCs w:val="1"/>
                <w:color w:val="auto"/>
              </w:rPr>
            </w:pPr>
          </w:p>
        </w:tc>
      </w:tr>
      <w:tr>
        <w:trPr>
          <w:trHeight w:val="33"/>
        </w:trPr>
        <w:tc>
          <w:tcPr>
            <w:tcW w:w="534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47,886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48,552</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146,362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145,744</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15,036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7,282</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46,007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17,232</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27,452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42,199</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86,117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125,374</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Acquisition, integration and migration expenses</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1,706</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9,873</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40,028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42,568</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124,632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132,297</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130,402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142,307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403,118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430,520</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Operating income (loss)</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28,329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9,475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66,252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28,400</w:t>
            </w:r>
          </w:p>
        </w:tc>
        <w:tc>
          <w:tcPr>
            <w:tcW w:w="0" w:type="dxa"/>
            <w:vAlign w:val="bottom"/>
          </w:tcPr>
          <w:p>
            <w:pPr>
              <w:spacing w:after="0"/>
              <w:rPr>
                <w:sz w:val="1"/>
                <w:szCs w:val="1"/>
                <w:color w:val="auto"/>
              </w:rPr>
            </w:pPr>
          </w:p>
        </w:tc>
      </w:tr>
      <w:tr>
        <w:trPr>
          <w:trHeight w:val="33"/>
        </w:trPr>
        <w:tc>
          <w:tcPr>
            <w:tcW w:w="5340" w:type="dxa"/>
            <w:vAlign w:val="bottom"/>
            <w:vMerge w:val="restart"/>
          </w:tcPr>
          <w:p>
            <w:pPr>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(9,001)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(9,823)</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(27,184)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(28,312)</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Gain (loss) on investments, net</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Non-operating income (loss), net</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1,003</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2,770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20,382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857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41,950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4,848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(2,677)</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10,207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15,534</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3,534</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31,743</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5,795</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Unrealized gain (loss) on interest rate hedge, net of tax</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4,360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15,999</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3,540</w:t>
            </w:r>
          </w:p>
        </w:tc>
        <w:tc>
          <w:tcPr>
            <w:tcW w:w="34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36,103</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5,025</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6"/>
                <w:szCs w:val="16"/>
                <w:color w:val="auto"/>
              </w:rPr>
              <w:t>Net income (loss) per share, basic and diluted:</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5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340" w:type="dxa"/>
            <w:vAlign w:val="bottom"/>
          </w:tcPr>
          <w:p>
            <w:pPr>
              <w:ind w:left="140"/>
              <w:spacing w:after="0"/>
              <w:rPr>
                <w:sz w:val="20"/>
                <w:szCs w:val="20"/>
                <w:color w:val="auto"/>
              </w:rPr>
            </w:pPr>
            <w:r>
              <w:rPr>
                <w:rFonts w:ascii="Arial" w:cs="Arial" w:eastAsia="Arial" w:hAnsi="Arial"/>
                <w:sz w:val="16"/>
                <w:szCs w:val="16"/>
                <w:color w:val="auto"/>
              </w:rPr>
              <w:t>Basic net income (loss)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0.07</w:t>
            </w:r>
          </w:p>
        </w:tc>
        <w:tc>
          <w:tcPr>
            <w:tcW w:w="340" w:type="dxa"/>
            <w:vAlign w:val="bottom"/>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Pr>
          <w:p>
            <w:pPr>
              <w:ind w:left="140"/>
              <w:spacing w:after="0"/>
              <w:rPr>
                <w:sz w:val="20"/>
                <w:szCs w:val="20"/>
                <w:color w:val="auto"/>
              </w:rPr>
            </w:pPr>
            <w:r>
              <w:rPr>
                <w:rFonts w:ascii="Arial" w:cs="Arial" w:eastAsia="Arial" w:hAnsi="Arial"/>
                <w:sz w:val="16"/>
                <w:szCs w:val="16"/>
                <w:color w:val="auto"/>
              </w:rPr>
              <w:t>Diluted net income (loss)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0.07</w:t>
            </w:r>
          </w:p>
        </w:tc>
        <w:tc>
          <w:tcPr>
            <w:tcW w:w="34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Pr>
          <w:p>
            <w:pPr>
              <w:ind w:left="140"/>
              <w:spacing w:after="0"/>
              <w:rPr>
                <w:sz w:val="20"/>
                <w:szCs w:val="20"/>
                <w:color w:val="auto"/>
              </w:rPr>
            </w:pPr>
            <w:r>
              <w:rPr>
                <w:rFonts w:ascii="Arial" w:cs="Arial" w:eastAsia="Arial" w:hAnsi="Arial"/>
                <w:sz w:val="16"/>
                <w:szCs w:val="16"/>
                <w:color w:val="auto"/>
              </w:rPr>
              <w:t>Weighted average shares outstanding, basic</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49,559</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49,133</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49,527</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49,100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Pr>
          <w:p>
            <w:pPr>
              <w:ind w:left="140"/>
              <w:spacing w:after="0"/>
              <w:rPr>
                <w:sz w:val="20"/>
                <w:szCs w:val="20"/>
                <w:color w:val="auto"/>
              </w:rPr>
            </w:pPr>
            <w:r>
              <w:rPr>
                <w:rFonts w:ascii="Arial" w:cs="Arial" w:eastAsia="Arial" w:hAnsi="Arial"/>
                <w:sz w:val="16"/>
                <w:szCs w:val="16"/>
                <w:color w:val="auto"/>
              </w:rPr>
              <w:t>Weighted average shares outstanding, diluted</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50,117</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49,959</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50,044</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 except share amounts)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Shares of Common</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Additional Paid in</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 Other</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Retained Earnings</w:t>
            </w:r>
          </w:p>
        </w:tc>
        <w:tc>
          <w:tcPr>
            <w:tcW w:w="144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5"/>
                <w:szCs w:val="5"/>
                <w:color w:val="auto"/>
              </w:rPr>
            </w:pPr>
          </w:p>
        </w:tc>
        <w:tc>
          <w:tcPr>
            <w:tcW w:w="1040" w:type="dxa"/>
            <w:vAlign w:val="bottom"/>
            <w:vMerge w:val="restart"/>
          </w:tcPr>
          <w:p>
            <w:pPr>
              <w:jc w:val="right"/>
              <w:ind w:right="46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60" w:type="dxa"/>
            <w:vAlign w:val="bottom"/>
          </w:tcPr>
          <w:p>
            <w:pPr>
              <w:spacing w:after="0"/>
              <w:rPr>
                <w:sz w:val="5"/>
                <w:szCs w:val="5"/>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42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(Loss)</w:t>
            </w: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2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gridSpan w:val="2"/>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49,328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44,787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297,205</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8,230</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350,222</w:t>
            </w:r>
          </w:p>
        </w:tc>
        <w:tc>
          <w:tcPr>
            <w:tcW w:w="0" w:type="dxa"/>
            <w:vAlign w:val="bottom"/>
          </w:tcPr>
          <w:p>
            <w:pPr>
              <w:spacing w:after="0"/>
              <w:rPr>
                <w:sz w:val="1"/>
                <w:szCs w:val="1"/>
                <w:color w:val="auto"/>
              </w:rPr>
            </w:pPr>
          </w:p>
        </w:tc>
      </w:tr>
      <w:tr>
        <w:trPr>
          <w:trHeight w:val="209"/>
        </w:trPr>
        <w:tc>
          <w:tcPr>
            <w:tcW w:w="4240" w:type="dxa"/>
            <w:vAlign w:val="bottom"/>
          </w:tcPr>
          <w:p>
            <w:pPr>
              <w:ind w:left="180"/>
              <w:spacing w:after="0"/>
              <w:rPr>
                <w:sz w:val="20"/>
                <w:szCs w:val="20"/>
                <w:color w:val="auto"/>
              </w:rPr>
            </w:pPr>
            <w:r>
              <w:rPr>
                <w:rFonts w:ascii="Arial" w:cs="Arial" w:eastAsia="Arial" w:hAnsi="Arial"/>
                <w:sz w:val="14"/>
                <w:szCs w:val="14"/>
                <w:color w:val="auto"/>
              </w:rPr>
              <w:t>Change in accounting principle - adoption of accounting standard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180"/>
              <w:spacing w:after="0"/>
              <w:rPr>
                <w:sz w:val="20"/>
                <w:szCs w:val="20"/>
                <w:color w:val="auto"/>
              </w:rPr>
            </w:pPr>
            <w:r>
              <w:rPr>
                <w:rFonts w:ascii="Arial" w:cs="Arial" w:eastAsia="Arial" w:hAnsi="Arial"/>
                <w:sz w:val="14"/>
                <w:szCs w:val="14"/>
                <w:color w:val="auto"/>
              </w:rPr>
              <w:t>(Note 2)</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56,097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56,097</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31,743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31,743</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gain (loss), net of tax of $1,441</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4,360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Stock based compensation</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4,578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4,578</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Stock options exercised</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Common stock issued</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9"/>
        </w:trPr>
        <w:tc>
          <w:tcPr>
            <w:tcW w:w="4240" w:type="dxa"/>
            <w:vAlign w:val="bottom"/>
          </w:tcPr>
          <w:p>
            <w:pPr>
              <w:ind w:left="180"/>
              <w:spacing w:after="0"/>
              <w:rPr>
                <w:sz w:val="20"/>
                <w:szCs w:val="20"/>
                <w:color w:val="auto"/>
              </w:rPr>
            </w:pPr>
            <w:r>
              <w:rPr>
                <w:rFonts w:ascii="Arial" w:cs="Arial" w:eastAsia="Arial" w:hAnsi="Arial"/>
                <w:sz w:val="14"/>
                <w:szCs w:val="14"/>
                <w:color w:val="auto"/>
              </w:rPr>
              <w:t>Shares retired for settlement of employee taxes upon issuance of</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180"/>
              <w:spacing w:after="0"/>
              <w:rPr>
                <w:sz w:val="20"/>
                <w:szCs w:val="20"/>
                <w:color w:val="auto"/>
              </w:rPr>
            </w:pPr>
            <w:r>
              <w:rPr>
                <w:rFonts w:ascii="Arial" w:cs="Arial" w:eastAsia="Arial" w:hAnsi="Arial"/>
                <w:sz w:val="14"/>
                <w:szCs w:val="14"/>
                <w:color w:val="auto"/>
              </w:rPr>
              <w:t>vested equity awards</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(2,137)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276"/>
        </w:trPr>
        <w:tc>
          <w:tcPr>
            <w:tcW w:w="4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8"/>
              </w:rPr>
              <w:t>Common stock issued to acquire non-controlling interest in nTelos</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49,559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47,350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385,045</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12,590</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444,985</w:t>
            </w: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94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7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31,743</w:t>
            </w:r>
          </w:p>
        </w:tc>
        <w:tc>
          <w:tcPr>
            <w:tcW w:w="20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5,795</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106,002</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113,437</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18,630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18,860</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Amortization reflected as rent expense in cost of services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Bad debt expense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1,362</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Stock based compensation expense, net of amount capitalized</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4,578</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3,053</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Waived management fee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28,164</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27,068</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(1,989)</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(12,251)</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(Gain) loss on investments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Net (gain) loss from patronage and equity investments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Amortization of long-term debt issuance costs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3,472</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3,572</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Accrued interest and other</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1,633</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(5,492)</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6,418</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Inventory, net</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741</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31,604</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14,932</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(8,704)</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(13,393)</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(1,913)</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(30,795)</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Deferred lease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4,159</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3,729</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Other deferrals and accruals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(5,146)</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34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188,800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158,705</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(92,309)</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(109,435)</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sale of assets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Cash distributions (contributions) from investments and other</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Sprint expansion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(52,000)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24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(143,770)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(115,075)</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Principal payments on long-term debt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(46,375)</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(24,250)</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 borrowings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credit facility borrowings</w:t>
            </w:r>
          </w:p>
        </w:tc>
        <w:tc>
          <w:tcPr>
            <w:tcW w:w="3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Principal payments on revolving credit facility</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Taxes paid for equity award issuances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(2,033)</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(5,106)</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2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(48,408)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(4,356)</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1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39,274</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78,585</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36,193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Pr>
          <w:p>
            <w:pPr>
              <w:ind w:left="140"/>
              <w:spacing w:after="0"/>
              <w:rPr>
                <w:sz w:val="20"/>
                <w:szCs w:val="20"/>
                <w:color w:val="auto"/>
              </w:rPr>
            </w:pPr>
            <w:r>
              <w:rPr>
                <w:rFonts w:ascii="Arial" w:cs="Arial" w:eastAsia="Arial" w:hAnsi="Arial"/>
                <w:sz w:val="16"/>
                <w:szCs w:val="16"/>
                <w:b w:val="1"/>
                <w:bCs w:val="1"/>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75,207</w:t>
            </w:r>
          </w:p>
        </w:tc>
        <w:tc>
          <w:tcPr>
            <w:tcW w:w="20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75,467</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Cash payments for:</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940" w:type="dxa"/>
            <w:vAlign w:val="bottom"/>
          </w:tcPr>
          <w:p>
            <w:pPr>
              <w:ind w:left="240"/>
              <w:spacing w:after="0"/>
              <w:rPr>
                <w:sz w:val="20"/>
                <w:szCs w:val="20"/>
                <w:color w:val="auto"/>
              </w:rPr>
            </w:pPr>
            <w:r>
              <w:rPr>
                <w:rFonts w:ascii="Arial" w:cs="Arial" w:eastAsia="Arial" w:hAnsi="Arial"/>
                <w:sz w:val="16"/>
                <w:szCs w:val="16"/>
                <w:color w:val="auto"/>
              </w:rPr>
              <w:t>Interest, net of capitalized interest of $1,187 and $1,266, respectively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25,067</w:t>
            </w:r>
          </w:p>
        </w:tc>
        <w:tc>
          <w:tcPr>
            <w:tcW w:w="200" w:type="dxa"/>
            <w:vAlign w:val="bottom"/>
          </w:tcPr>
          <w:p>
            <w:pPr>
              <w:spacing w:after="0"/>
              <w:rPr>
                <w:sz w:val="24"/>
                <w:szCs w:val="24"/>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25,934</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Pr>
          <w:p>
            <w:pPr>
              <w:ind w:left="240"/>
              <w:spacing w:after="0"/>
              <w:rPr>
                <w:sz w:val="20"/>
                <w:szCs w:val="20"/>
                <w:color w:val="auto"/>
              </w:rPr>
            </w:pPr>
            <w:r>
              <w:rPr>
                <w:rFonts w:ascii="Arial" w:cs="Arial" w:eastAsia="Arial" w:hAnsi="Arial"/>
                <w:sz w:val="16"/>
                <w:szCs w:val="16"/>
                <w:color w:val="auto"/>
              </w:rPr>
              <w:t>Income tax (refunds received) payments,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w:t>
            </w:r>
          </w:p>
        </w:tc>
        <w:tc>
          <w:tcPr>
            <w:tcW w:w="20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Pr>
          <w:p>
            <w:pPr>
              <w:ind w:left="240"/>
              <w:spacing w:after="0"/>
              <w:rPr>
                <w:sz w:val="20"/>
                <w:szCs w:val="20"/>
                <w:color w:val="auto"/>
              </w:rPr>
            </w:pPr>
            <w:r>
              <w:rPr>
                <w:rFonts w:ascii="Arial" w:cs="Arial" w:eastAsia="Arial" w:hAnsi="Arial"/>
                <w:sz w:val="16"/>
                <w:szCs w:val="16"/>
                <w:color w:val="auto"/>
              </w:rPr>
              <w:t>Capital expenditures payable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11,919</w:t>
            </w:r>
          </w:p>
        </w:tc>
        <w:tc>
          <w:tcPr>
            <w:tcW w:w="20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0740"/>
          </w:cols>
          <w:pgMar w:left="240" w:top="125" w:right="919" w:bottom="287" w:gutter="0" w:footer="0" w:header="0"/>
        </w:sectPr>
      </w:pPr>
    </w:p>
    <w:p>
      <w:pPr>
        <w:spacing w:after="0" w:line="24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40"/>
          </w:cols>
          <w:pgMar w:left="240" w:top="125" w:right="919" w:bottom="287"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in accordance with accounting principles generally accepted in the United States ("GAAP") for interim financial reporting and as required by Rule 10-01 of Regulation S-X. Accordingly, the unaudited condensed consolidated financial statements may not include all of the information and notes required by GAAP for audited financial statements. The information contained herein should be read in conjunction with the audited financial statements included in the Company's Annual Report on Form 10-K for the year ended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Prior Period Adjustment</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During the three months ended September 30, 2018, the Company determined that the unaudited condensed consolidated financial statements for the three months ended March 31, 2018, and the three and six months ended June 30, 2018, contained an immaterial misstatement. Excess amortization of deferred contract costs that are recognized as a reduction of revenue, as described in Note 2, resulted in an understatement of revenue for the three months ended March 31, 2018, and the three and six months ended June 30, 2018. Additionally, amounts recorded upon the adoption of ASU No.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("Topic 606", or "the new revenue recognition standard"), on January 1, 2018 were misstated. The Company evaluated the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materiality of the prior period adjustment quantitatively and qualitatively, under the SEC’s authoritative guidance on materiality, and concluded that the prior period adjustment was not material to the financial statements of any of the impacted unaudited 2018 periods. The Company elected to correct the prior period adjustment by revising the prior period financial statements.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 of the adjustment made to the consolidated January 1, 2018 balance sheet for the adoption of the new revenue recognition standard was as follows: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As of January 1, 2018</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53,688</w:t>
            </w:r>
          </w:p>
        </w:tc>
        <w:tc>
          <w:tcPr>
            <w:tcW w:w="12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46,987</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29,797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44,761</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119,030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121,231</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347,240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353,302</w:t>
            </w: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the effects of the immaterial prior period adjustment on the unaudited condensed consolidated balance sheet as of March 31, 2018 and June 30, 2018:</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As of March 31, 2018</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64,200</w:t>
            </w:r>
          </w:p>
        </w:tc>
        <w:tc>
          <w:tcPr>
            <w:tcW w:w="12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58,459</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33,934</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50,344</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115,809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118,662</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352,069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359,885</w:t>
            </w:r>
          </w:p>
        </w:tc>
      </w:tr>
    </w:tbl>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As of June 30, 2018</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64,163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59,407</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34,021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17,896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51,917</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111,125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114,647</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359,893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9,618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369,511</w:t>
            </w:r>
          </w:p>
        </w:tc>
      </w:tr>
      <w:tr>
        <w:trPr>
          <w:trHeight w:val="702"/>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ind w:right="13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effects of the immaterial prior period adjustment on the unaudited condensed consolidated statements of operations and comprehensive income (loss) for the three months ended March 31, 2018 and the three and six months ended June 30, 2018:</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92"/>
              </w:rPr>
              <w:t>For the Three Months Ended March 31, 2018</w:t>
            </w: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Service revenue and 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134,153</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136,559</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6,583</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0.13</w:t>
            </w:r>
          </w:p>
        </w:tc>
      </w:tr>
    </w:tbl>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91"/>
              </w:rPr>
              <w:t>For the Three Months Ended June 30, 2018</w:t>
            </w: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Service revenue and 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138,021</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140,492</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3,531</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7,824</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9,626</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0.19</w:t>
            </w:r>
          </w:p>
        </w:tc>
      </w:tr>
    </w:tbl>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For the Six Months Ended June 30, 2018</w:t>
            </w: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Service revenue and 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272,174</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277,051</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5,359</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16,209</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3"/>
                <w:szCs w:val="23"/>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Principles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developments related to recently issued accounting standards, including the expected dates of adoption and estimated effects on the Company's unaudited condensed consolidated financial statements and note disclosures, from those disclosed in the Company's 2017 Annual Report on Form 10-K, that would be expected to impact the Company except for the topics discussed below.</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adopted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 or "the new revenue recognition standard"</w:t>
      </w:r>
      <w:r>
        <w:rPr>
          <w:rFonts w:ascii="Arial" w:cs="Arial" w:eastAsia="Arial" w:hAnsi="Arial"/>
          <w:sz w:val="16"/>
          <w:szCs w:val="16"/>
          <w:color w:val="auto"/>
        </w:rPr>
        <w:t>), and all related amendments, effective January 1, 2018, using the modified retrospective method as discussed in Note 2</w:t>
      </w:r>
      <w:r>
        <w:rPr>
          <w:rFonts w:ascii="Arial" w:cs="Arial" w:eastAsia="Arial" w:hAnsi="Arial"/>
          <w:sz w:val="16"/>
          <w:szCs w:val="16"/>
          <w:i w:val="1"/>
          <w:iCs w:val="1"/>
          <w:color w:val="auto"/>
        </w:rPr>
        <w:t>, Revenue from Contracts with Customers.</w:t>
      </w:r>
      <w:r>
        <w:rPr>
          <w:rFonts w:ascii="Arial" w:cs="Arial" w:eastAsia="Arial" w:hAnsi="Arial"/>
          <w:sz w:val="16"/>
          <w:szCs w:val="16"/>
          <w:color w:val="auto"/>
        </w:rPr>
        <w:t xml:space="preserve"> The Company recognized the cumulative effect of applying the new revenue recognition standard as an adjustment to the opening balance of retained earnings. The comparative information has not been retrospectively modified and continues to be reported under the accounting standards in effect for those periods.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which requires lessees to recognize a right-of-use asset and a lease liability for all leases with terms greater than 12 months. The standard also requires disclosures by lessees and lessors about the amount, timing and uncertainty of cash flows arising from leases, as well as changes in the categorization of rental costs, from rent expense to interest and depreciation expense. Other effects may occur depending on the types of leases and the specific terms of them utilized by particular lessees. The ASU is effective for the Company on January 1, 2019, and early application is permitted. Modified retrospective application is required. The Company expects that the most notable impact to its financial statements upon the adoption of this ASU will be the recognition of a material right-of-use asset and a lease liability for its real estate and equipment leases. The Company is continuing to assess potential impacts that the standard may have on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Under existing U.S. GAAP, the effects of changes in tax rates and laws on deferred tax balances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Cuts and Jobs Act. The amendments in this ASU also require certain disclosures about stranded tax effects. The guidance is effective for fiscal years beginning after December 15, 2018, and interim periods within those fiscal years. Early adoption in any period is permitted. The Company is currently evaluating the impact of adopting ASU No. 2018-02.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earns revenue primarily through the sale of our wireless telecommunications services, wireless equipment, and business, residential, and enterprise cable and wireline services that include video, internet, voice, and data services. Revenue earned for the three months ended September 30, 2018 was as follows: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1700" w:type="dxa"/>
            <w:vAlign w:val="bottom"/>
            <w:gridSpan w:val="2"/>
          </w:tcPr>
          <w:p>
            <w:pPr>
              <w:ind w:left="260"/>
              <w:spacing w:after="0"/>
              <w:rPr>
                <w:sz w:val="20"/>
                <w:szCs w:val="20"/>
                <w:color w:val="auto"/>
              </w:rPr>
            </w:pPr>
            <w:r>
              <w:rPr>
                <w:rFonts w:ascii="Arial" w:cs="Arial" w:eastAsia="Arial" w:hAnsi="Arial"/>
                <w:sz w:val="18"/>
                <w:szCs w:val="18"/>
                <w:b w:val="1"/>
                <w:bCs w:val="1"/>
                <w:color w:val="auto"/>
              </w:rPr>
              <w:t>Wireless</w:t>
            </w:r>
          </w:p>
        </w:tc>
        <w:tc>
          <w:tcPr>
            <w:tcW w:w="420" w:type="dxa"/>
            <w:vAlign w:val="bottom"/>
          </w:tcPr>
          <w:p>
            <w:pPr>
              <w:spacing w:after="0"/>
              <w:rPr>
                <w:sz w:val="20"/>
                <w:szCs w:val="20"/>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b w:val="1"/>
                <w:bCs w:val="1"/>
                <w:color w:val="auto"/>
              </w:rPr>
              <w:t>Cable</w:t>
            </w:r>
          </w:p>
        </w:tc>
        <w:tc>
          <w:tcPr>
            <w:tcW w:w="380" w:type="dxa"/>
            <w:vAlign w:val="bottom"/>
          </w:tcPr>
          <w:p>
            <w:pPr>
              <w:spacing w:after="0"/>
              <w:rPr>
                <w:sz w:val="20"/>
                <w:szCs w:val="20"/>
                <w:color w:val="auto"/>
              </w:rPr>
            </w:pPr>
          </w:p>
        </w:tc>
        <w:tc>
          <w:tcPr>
            <w:tcW w:w="1660" w:type="dxa"/>
            <w:vAlign w:val="bottom"/>
            <w:gridSpan w:val="2"/>
          </w:tcPr>
          <w:p>
            <w:pPr>
              <w:ind w:left="260"/>
              <w:spacing w:after="0"/>
              <w:rPr>
                <w:sz w:val="20"/>
                <w:szCs w:val="20"/>
                <w:color w:val="auto"/>
              </w:rPr>
            </w:pPr>
            <w:r>
              <w:rPr>
                <w:rFonts w:ascii="Arial" w:cs="Arial" w:eastAsia="Arial" w:hAnsi="Arial"/>
                <w:sz w:val="18"/>
                <w:szCs w:val="18"/>
                <w:b w:val="1"/>
                <w:bCs w:val="1"/>
                <w:color w:val="auto"/>
              </w:rPr>
              <w:t>Wireline</w:t>
            </w:r>
          </w:p>
        </w:tc>
        <w:tc>
          <w:tcPr>
            <w:tcW w:w="30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r>
      <w:tr>
        <w:trPr>
          <w:trHeight w:val="27"/>
        </w:trPr>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Wireless service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96,299</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96,299</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Equipment</w:t>
            </w:r>
          </w:p>
        </w:tc>
        <w:tc>
          <w:tcPr>
            <w:tcW w:w="38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15,666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15,963</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Business, residential and enterprise</w:t>
            </w:r>
          </w:p>
        </w:tc>
        <w:tc>
          <w:tcPr>
            <w:tcW w:w="380" w:type="dxa"/>
            <w:vAlign w:val="bottom"/>
          </w:tcPr>
          <w:p>
            <w:pPr>
              <w:spacing w:after="0"/>
              <w:rPr>
                <w:sz w:val="23"/>
                <w:szCs w:val="23"/>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29,334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10,702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40,036</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Tower and other</w:t>
            </w:r>
          </w:p>
        </w:tc>
        <w:tc>
          <w:tcPr>
            <w:tcW w:w="38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15,605</w:t>
            </w:r>
          </w:p>
        </w:tc>
      </w:tr>
      <w:tr>
        <w:trPr>
          <w:trHeight w:val="27"/>
        </w:trPr>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116,099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32,182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19,622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167,903</w:t>
            </w:r>
          </w:p>
        </w:tc>
      </w:tr>
      <w:tr>
        <w:trPr>
          <w:trHeight w:val="27"/>
        </w:trPr>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Internal revenue</w:t>
            </w: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(9,172)</w:t>
            </w:r>
          </w:p>
        </w:tc>
      </w:tr>
      <w:tr>
        <w:trPr>
          <w:trHeight w:val="27"/>
        </w:trPr>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30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114,836</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30,916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12,979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158,731</w:t>
            </w:r>
          </w:p>
        </w:tc>
      </w:tr>
      <w:tr>
        <w:trPr>
          <w:trHeight w:val="20"/>
        </w:trPr>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 earned for the nine months ended September 30, 2018 was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1680" w:type="dxa"/>
            <w:vAlign w:val="bottom"/>
            <w:gridSpan w:val="2"/>
          </w:tcPr>
          <w:p>
            <w:pPr>
              <w:ind w:left="280"/>
              <w:spacing w:after="0"/>
              <w:rPr>
                <w:sz w:val="20"/>
                <w:szCs w:val="20"/>
                <w:color w:val="auto"/>
              </w:rPr>
            </w:pPr>
            <w:r>
              <w:rPr>
                <w:rFonts w:ascii="Arial" w:cs="Arial" w:eastAsia="Arial" w:hAnsi="Arial"/>
                <w:sz w:val="18"/>
                <w:szCs w:val="18"/>
                <w:b w:val="1"/>
                <w:bCs w:val="1"/>
                <w:color w:val="auto"/>
              </w:rPr>
              <w:t>Wireless</w:t>
            </w:r>
          </w:p>
        </w:tc>
        <w:tc>
          <w:tcPr>
            <w:tcW w:w="400" w:type="dxa"/>
            <w:vAlign w:val="bottom"/>
          </w:tcPr>
          <w:p>
            <w:pPr>
              <w:spacing w:after="0"/>
              <w:rPr>
                <w:sz w:val="20"/>
                <w:szCs w:val="20"/>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b w:val="1"/>
                <w:bCs w:val="1"/>
                <w:color w:val="auto"/>
              </w:rPr>
              <w:t>Cable</w:t>
            </w:r>
          </w:p>
        </w:tc>
        <w:tc>
          <w:tcPr>
            <w:tcW w:w="380" w:type="dxa"/>
            <w:vAlign w:val="bottom"/>
          </w:tcPr>
          <w:p>
            <w:pPr>
              <w:spacing w:after="0"/>
              <w:rPr>
                <w:sz w:val="20"/>
                <w:szCs w:val="20"/>
                <w:color w:val="auto"/>
              </w:rPr>
            </w:pPr>
          </w:p>
        </w:tc>
        <w:tc>
          <w:tcPr>
            <w:tcW w:w="1660" w:type="dxa"/>
            <w:vAlign w:val="bottom"/>
            <w:gridSpan w:val="2"/>
          </w:tcPr>
          <w:p>
            <w:pPr>
              <w:ind w:left="240"/>
              <w:spacing w:after="0"/>
              <w:rPr>
                <w:sz w:val="20"/>
                <w:szCs w:val="20"/>
                <w:color w:val="auto"/>
              </w:rPr>
            </w:pPr>
            <w:r>
              <w:rPr>
                <w:rFonts w:ascii="Arial" w:cs="Arial" w:eastAsia="Arial" w:hAnsi="Arial"/>
                <w:sz w:val="18"/>
                <w:szCs w:val="18"/>
                <w:b w:val="1"/>
                <w:bCs w:val="1"/>
                <w:color w:val="auto"/>
              </w:rPr>
              <w:t>Wireline</w:t>
            </w:r>
          </w:p>
        </w:tc>
        <w:tc>
          <w:tcPr>
            <w:tcW w:w="28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r>
      <w:tr>
        <w:trPr>
          <w:trHeight w:val="27"/>
        </w:trPr>
        <w:tc>
          <w:tcPr>
            <w:tcW w:w="3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r>
              <w:rPr>
                <w:rFonts w:ascii="Arial" w:cs="Arial" w:eastAsia="Arial" w:hAnsi="Arial"/>
                <w:sz w:val="18"/>
                <w:szCs w:val="18"/>
                <w:color w:val="auto"/>
              </w:rPr>
              <w:t>Wireless service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284,154</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284,154</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Equipment</w:t>
            </w:r>
          </w:p>
        </w:tc>
        <w:tc>
          <w:tcPr>
            <w:tcW w:w="3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48,859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49,551</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Business, residential and enterprise</w:t>
            </w:r>
          </w:p>
        </w:tc>
        <w:tc>
          <w:tcPr>
            <w:tcW w:w="38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87,931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31,906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119,837</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Tower and other</w:t>
            </w:r>
          </w:p>
        </w:tc>
        <w:tc>
          <w:tcPr>
            <w:tcW w:w="3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10,643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26,380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44,559</w:t>
            </w:r>
          </w:p>
        </w:tc>
      </w:tr>
      <w:tr>
        <w:trPr>
          <w:trHeight w:val="27"/>
        </w:trPr>
        <w:tc>
          <w:tcPr>
            <w:tcW w:w="3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343,656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96,004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58,441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498,101</w:t>
            </w:r>
          </w:p>
        </w:tc>
      </w:tr>
      <w:tr>
        <w:trPr>
          <w:trHeight w:val="27"/>
        </w:trPr>
        <w:tc>
          <w:tcPr>
            <w:tcW w:w="3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r>
              <w:rPr>
                <w:rFonts w:ascii="Arial" w:cs="Arial" w:eastAsia="Arial" w:hAnsi="Arial"/>
                <w:sz w:val="18"/>
                <w:szCs w:val="18"/>
                <w:color w:val="auto"/>
              </w:rPr>
              <w:t>Internal revenue</w:t>
            </w: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(28,731)</w:t>
            </w:r>
          </w:p>
        </w:tc>
      </w:tr>
      <w:tr>
        <w:trPr>
          <w:trHeight w:val="27"/>
        </w:trPr>
        <w:tc>
          <w:tcPr>
            <w:tcW w:w="3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38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339,910</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92,610</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36,850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469,370</w:t>
            </w:r>
          </w:p>
        </w:tc>
      </w:tr>
      <w:tr>
        <w:trPr>
          <w:trHeight w:val="20"/>
        </w:trPr>
        <w:tc>
          <w:tcPr>
            <w:tcW w:w="3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service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the Company's revenue is earned through providing network access to Sprint under the affiliate agreement, which represents approximately 61% of consolidated revenues for the nine months ended September 30, 2018. Wireless service revenue is variable based on billed revenue to Sprint’s subscribers in the Company's affiliate area, less applicable fees retained by Sprint.</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revenue related to Sprint’s postpaid customers is the amount that Sprint bills its postpaid subscribers, reduced by customer credits, write-offs of receivables, and 8% management and 8.6% service fees. The Company is also charged for the costs of subsidized handsets sold through Sprint’s national channels as well as commissions paid by Sprint to third-party resellers in the Company's service territory.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revenue related to Sprint’s prepaid customers is the amount that Sprint bills its prepaid subscribers, reduced by costs to acquire and support the customers, based on national averages for Sprint’s prepaid programs, and a 6% management fee.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considers Sprint, rather than Sprint's subscribers, to be the customer under the new revenue recognition standard and the Company's performance obligation is to provide Sprint a series of continuous network access services. The reimbursement to Sprint for the costs of handsets sold through Sprint’s national channels, as well as commissions paid by Sprint to third-party resellers in our service territory represent consideration payable to a customer. These reimbursements are initially recorded as a contract asset and are subsequently recognized as a reduction of revenue over the expected benefit period between 21 and 53 months. Historically, under ASC 605 the customer was considered the subscriber rather than Sprint and as a result, reimbursement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payments to Sprint for costs of handsets and commissions were recorded as operating expenses in the period incurred. During 2017, these costs totaled $63.5 million recorded in cost of goods and services, and $16.9 million recorded in selling, general and administrative costs.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January 1, 2018, upon adoption, the Company recorded a wireless contract asset of approximately $51.1 million. During the three months ended September 30, 2018, payments that increased the wireless contract asset balance totaled $16.4 million and amortization reflected as a reduction of revenue totaled approximately $11.9 million. During the nine months ended September 30, 2018, payments that increased the wireless contract asset balance totaled $44.8 million and amortization reflected as a reduction of revenue totaled approximately $34.1 million. The wireless contract asset balance as of September 30, 2018 was approximately $61.8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equipment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owns and operates Sprint-branded retail stores within their geographic territory from which the Company sells equipment, primarily wireless handsets, and service to Sprint subscribers. The Company's equipment is predominantly sold to subscribers through Sprint's equipment financing plans. Under the equipment financing plans, Sprint purchases the equipment from the Company and resells the equipment to their subscribers. Historically, under ASC 605, the Company concluded that it was the agent in these equipment financing transactions and recorded revenues net of related handset costs which were approximately $63.8 million in 2017. Under Topic 606 the Company concluded that it is the principal in these equipment financing transactions, as the Company controls and bears the risk of ownership of the inventory prior to sale, and accordingly, revenues and handset costs are recorded on a gross basis, the corresponding cost of the equipment is recorded separately to cost of goods sold.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residential and enterprise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earns revenue in the Cable and Wireline segments from business, residential, and enterprise customers where the performance obligations are to provide cable and telephone network services, sell and lease equipment and wiring services, and lease fiber-optic cable capacity. The Company's arrangements are generally composed of contracts that are cancellable at the customer’s discretion without penalty at any time. As there are multiple performance obligations in these arrangements, the Company recognizes revenue based on the standalone selling price of each distinct good or service. The Company generally recognizes these revenues over time as customers simultaneously receive and consume the benefits of the service, with the exception of equipment sales and home wiring which are recognized as revenue at a point in time when control transfers and when installation is complete, respectively.</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new revenue recognition standard, the Company concluded that installation services do not represent a separate performance obligation. Accordingly, installation fees are allocated to services and are recognized ratably over the longer of the contract term or the period the unrecognized portion of the fee remains material to the contract, typically 10 and 11 months for cable and wireline customers, respectively. Historically, the Company deferred these fees over the estimated customer life of 42 months. Additionally, the Company incurs commission and installation costs related to in-house and third-party vendors that were previously expensed as incurred. Under Topic 606, the Company capitalizes and amortizes these commission and installation costs over the expected benefit period which is approximately 44 months, 72 months, and 46 months, for cable, wireline, and enterprise business,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 / Other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Tower revenues consist primarily of tower space leases accounted for under Topic 840, </w:t>
      </w:r>
      <w:r>
        <w:rPr>
          <w:rFonts w:ascii="Arial" w:cs="Arial" w:eastAsia="Arial" w:hAnsi="Arial"/>
          <w:sz w:val="18"/>
          <w:szCs w:val="18"/>
          <w:i w:val="1"/>
          <w:iCs w:val="1"/>
          <w:color w:val="auto"/>
        </w:rPr>
        <w:t>Leases</w:t>
      </w:r>
      <w:r>
        <w:rPr>
          <w:rFonts w:ascii="Arial" w:cs="Arial" w:eastAsia="Arial" w:hAnsi="Arial"/>
          <w:sz w:val="18"/>
          <w:szCs w:val="18"/>
          <w:color w:val="auto"/>
        </w:rPr>
        <w:t>, and Other revenues include network access-related charges for service provided to customers across the segments.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 of the changes made to the consolidated January 1, 2018 balance sheet for the adoption of the new revenue recognition standard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3"/>
        </w:trPr>
        <w:tc>
          <w:tcPr>
            <w:tcW w:w="400" w:type="dxa"/>
            <w:vAlign w:val="bottom"/>
            <w:tcBorders>
              <w:top w:val="single" w:sz="8" w:color="0000EE"/>
            </w:tcBorders>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w:t>
            </w:r>
          </w:p>
        </w:tc>
        <w:tc>
          <w:tcPr>
            <w:tcW w:w="160" w:type="dxa"/>
            <w:vAlign w:val="bottom"/>
          </w:tcPr>
          <w:p>
            <w:pPr>
              <w:spacing w:after="0"/>
              <w:rPr>
                <w:sz w:val="24"/>
                <w:szCs w:val="2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 due to</w:t>
            </w:r>
          </w:p>
        </w:tc>
        <w:tc>
          <w:tcPr>
            <w:tcW w:w="120" w:type="dxa"/>
            <w:vAlign w:val="bottom"/>
          </w:tcPr>
          <w:p>
            <w:pPr>
              <w:spacing w:after="0"/>
              <w:rPr>
                <w:sz w:val="24"/>
                <w:szCs w:val="24"/>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Balance at January 1,</w:t>
            </w:r>
          </w:p>
        </w:tc>
        <w:tc>
          <w:tcPr>
            <w:tcW w:w="0" w:type="dxa"/>
            <w:vAlign w:val="bottom"/>
          </w:tcPr>
          <w:p>
            <w:pPr>
              <w:spacing w:after="0"/>
              <w:rPr>
                <w:sz w:val="1"/>
                <w:szCs w:val="1"/>
                <w:color w:val="auto"/>
              </w:rPr>
            </w:pPr>
          </w:p>
        </w:tc>
      </w:tr>
      <w:tr>
        <w:trPr>
          <w:trHeight w:val="234"/>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780" w:type="dxa"/>
            <w:vAlign w:val="bottom"/>
          </w:tcPr>
          <w:p>
            <w:pPr>
              <w:jc w:val="right"/>
              <w:ind w:right="550"/>
              <w:spacing w:after="0"/>
              <w:rPr>
                <w:sz w:val="20"/>
                <w:szCs w:val="20"/>
                <w:color w:val="auto"/>
              </w:rPr>
            </w:pPr>
            <w:r>
              <w:rPr>
                <w:rFonts w:ascii="Arial" w:cs="Arial" w:eastAsia="Arial" w:hAnsi="Arial"/>
                <w:sz w:val="18"/>
                <w:szCs w:val="18"/>
                <w:b w:val="1"/>
                <w:bCs w:val="1"/>
                <w:color w:val="auto"/>
              </w:rPr>
              <w:t>31, 2017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Topic 606</w:t>
            </w:r>
          </w:p>
        </w:tc>
        <w:tc>
          <w:tcPr>
            <w:tcW w:w="120" w:type="dxa"/>
            <w:vAlign w:val="bottom"/>
          </w:tcPr>
          <w:p>
            <w:pPr>
              <w:spacing w:after="0"/>
              <w:rPr>
                <w:sz w:val="20"/>
                <w:szCs w:val="20"/>
                <w:color w:val="auto"/>
              </w:rPr>
            </w:pPr>
          </w:p>
        </w:tc>
        <w:tc>
          <w:tcPr>
            <w:tcW w:w="17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10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Assets</w:t>
            </w: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17,111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29,876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46,987</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Deferred charges and other assets, net</w:t>
            </w: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13,690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31,071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44,761</w:t>
            </w:r>
          </w:p>
        </w:tc>
        <w:tc>
          <w:tcPr>
            <w:tcW w:w="0" w:type="dxa"/>
            <w:vAlign w:val="bottom"/>
          </w:tcPr>
          <w:p>
            <w:pPr>
              <w:spacing w:after="0"/>
              <w:rPr>
                <w:sz w:val="1"/>
                <w:szCs w:val="1"/>
                <w:color w:val="auto"/>
              </w:rPr>
            </w:pP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Advanced billing and customer deposits</w:t>
            </w: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21,153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(14,302)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100,879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20,352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121,231</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297,205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56,097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353,302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 adoption of the new revenue recognition standard on the condensed consolidated statements of operations and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condensed consolidated balance sheets was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1"/>
              </w:rPr>
              <w:t>Three Months Ended September 30, 2018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Balances without</w:t>
            </w:r>
          </w:p>
        </w:tc>
        <w:tc>
          <w:tcPr>
            <w:tcW w:w="200" w:type="dxa"/>
            <w:vAlign w:val="bottom"/>
          </w:tcPr>
          <w:p>
            <w:pPr>
              <w:spacing w:after="0"/>
              <w:rPr>
                <w:sz w:val="18"/>
                <w:szCs w:val="18"/>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Effect of Change</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Reported</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Adoption of Topic 606</w:t>
            </w:r>
          </w:p>
        </w:tc>
        <w:tc>
          <w:tcPr>
            <w:tcW w:w="200" w:type="dxa"/>
            <w:vAlign w:val="bottom"/>
          </w:tcPr>
          <w:p>
            <w:pPr>
              <w:spacing w:after="0"/>
              <w:rPr>
                <w:sz w:val="20"/>
                <w:szCs w:val="20"/>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Higher/(Lower)</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142,768</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161,076</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(18,308)</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15,963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13,785</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47,886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48,001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15,036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7,870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7,166</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27,452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44,164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(16,712)</w:t>
            </w:r>
          </w:p>
        </w:tc>
        <w:tc>
          <w:tcPr>
            <w:tcW w:w="0" w:type="dxa"/>
            <w:vAlign w:val="bottom"/>
          </w:tcPr>
          <w:p>
            <w:pPr>
              <w:spacing w:after="0"/>
              <w:rPr>
                <w:sz w:val="1"/>
                <w:szCs w:val="1"/>
                <w:color w:val="auto"/>
              </w:rPr>
            </w:pPr>
          </w:p>
        </w:tc>
      </w:tr>
    </w:tbl>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Nine Months Ended September 30, 2018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Balances without</w:t>
            </w:r>
          </w:p>
        </w:tc>
        <w:tc>
          <w:tcPr>
            <w:tcW w:w="200" w:type="dxa"/>
            <w:vAlign w:val="bottom"/>
          </w:tcPr>
          <w:p>
            <w:pPr>
              <w:spacing w:after="0"/>
              <w:rPr>
                <w:sz w:val="18"/>
                <w:szCs w:val="18"/>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Effect of Change</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Reported</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Adoption of Topic 606</w:t>
            </w:r>
          </w:p>
        </w:tc>
        <w:tc>
          <w:tcPr>
            <w:tcW w:w="200" w:type="dxa"/>
            <w:vAlign w:val="bottom"/>
          </w:tcPr>
          <w:p>
            <w:pPr>
              <w:spacing w:after="0"/>
              <w:rPr>
                <w:sz w:val="20"/>
                <w:szCs w:val="20"/>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Higher/(Lower)</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419,819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471,155</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(51,336)</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49,551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43,515</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146,362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146,199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46,007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20,316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25,691</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86,117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132,711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400" w:type="dxa"/>
            <w:vAlign w:val="bottom"/>
            <w:tcBorders>
              <w:top w:val="single" w:sz="8" w:color="0000EE"/>
            </w:tcBorders>
          </w:tcPr>
          <w:p>
            <w:pPr>
              <w:spacing w:after="0"/>
              <w:rPr>
                <w:sz w:val="24"/>
                <w:szCs w:val="24"/>
                <w:color w:val="auto"/>
              </w:rPr>
            </w:pPr>
          </w:p>
        </w:tc>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As of September 30, 2018</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Balances without</w:t>
            </w:r>
          </w:p>
        </w:tc>
        <w:tc>
          <w:tcPr>
            <w:tcW w:w="200" w:type="dxa"/>
            <w:vAlign w:val="bottom"/>
          </w:tcPr>
          <w:p>
            <w:pPr>
              <w:spacing w:after="0"/>
              <w:rPr>
                <w:sz w:val="18"/>
                <w:szCs w:val="18"/>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Effect of Change</w:t>
            </w:r>
          </w:p>
        </w:tc>
        <w:tc>
          <w:tcPr>
            <w:tcW w:w="0" w:type="dxa"/>
            <w:vAlign w:val="bottom"/>
          </w:tcPr>
          <w:p>
            <w:pPr>
              <w:spacing w:after="0"/>
              <w:rPr>
                <w:sz w:val="1"/>
                <w:szCs w:val="1"/>
                <w:color w:val="auto"/>
              </w:rPr>
            </w:pPr>
          </w:p>
        </w:tc>
      </w:tr>
      <w:tr>
        <w:trPr>
          <w:trHeight w:val="234"/>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Reported</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Adoption of Topic 606</w:t>
            </w:r>
          </w:p>
        </w:tc>
        <w:tc>
          <w:tcPr>
            <w:tcW w:w="200" w:type="dxa"/>
            <w:vAlign w:val="bottom"/>
          </w:tcPr>
          <w:p>
            <w:pPr>
              <w:spacing w:after="0"/>
              <w:rPr>
                <w:sz w:val="20"/>
                <w:szCs w:val="20"/>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Higher/(Lower)</w:t>
            </w:r>
          </w:p>
        </w:tc>
        <w:tc>
          <w:tcPr>
            <w:tcW w:w="0" w:type="dxa"/>
            <w:vAlign w:val="bottom"/>
          </w:tcPr>
          <w:p>
            <w:pPr>
              <w:spacing w:after="0"/>
              <w:rPr>
                <w:sz w:val="1"/>
                <w:szCs w:val="1"/>
                <w:color w:val="auto"/>
              </w:rPr>
            </w:pPr>
          </w:p>
        </w:tc>
      </w:tr>
      <w:tr>
        <w:trPr>
          <w:trHeight w:val="27"/>
        </w:trPr>
        <w:tc>
          <w:tcPr>
            <w:tcW w:w="410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Assets</w:t>
            </w: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63,383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27,765</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35,618</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Deferred charges and other assets, net</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53,723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17,496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36,227</w:t>
            </w:r>
          </w:p>
        </w:tc>
        <w:tc>
          <w:tcPr>
            <w:tcW w:w="0" w:type="dxa"/>
            <w:vAlign w:val="bottom"/>
          </w:tcPr>
          <w:p>
            <w:pPr>
              <w:spacing w:after="0"/>
              <w:rPr>
                <w:sz w:val="1"/>
                <w:szCs w:val="1"/>
                <w:color w:val="auto"/>
              </w:rPr>
            </w:pP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Liabilities</w:t>
            </w: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Advanced billing and customer deposits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23,744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(16,329)</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120,846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97,029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23,817</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14,567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15,759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385,045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319,496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65,549</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performance obligations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September 30, 2018, the Company had approximately $3.1 million of transaction price allocated to unsatisfied performance obligations, which is exclusive of contracts with original expected duration of one year or less. The Company expects to recognize approximately $0.2 million of this amount as revenue during the remainder of 2018, $0.6 million in 2019, an additional $0.6 million by 2020, and the balance thereafter.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 and costs to fulfill contracts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Capitalized contract costs represent contract fulfillment costs and contract acquisition costs which include commissions and installation costs in our Cable and Wireline segments. Capitalized contract costs are amortized on a straight line basis over the contract term plus expected renewals. The Company elected to apply the practical expedient to expense contract acquisition costs when incurred, if the amortization period would be twelve months or less. The amortization of these costs is included in cost of services, and selling, general and administrative expenses. Amounts capitalized were approximately $10.0 million as of September 30, 2018 of which $4.6 million is presented as prepaid expenses and other and $5.4 million is presented as deferred charges and other assets, net. Amortization recognized during the nine months ended September 30, 2018 was approximately $4.1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Sprint Territory Expansion: </w:t>
      </w:r>
      <w:r>
        <w:rPr>
          <w:rFonts w:ascii="Arial" w:cs="Arial" w:eastAsia="Arial" w:hAnsi="Arial"/>
          <w:sz w:val="16"/>
          <w:szCs w:val="16"/>
          <w:color w:val="auto"/>
        </w:rPr>
        <w:t>Effective February 1, 2018, the Company signed an expansion agreement with Sprint to expand its wireless service coverage area</w:t>
      </w:r>
      <w:r>
        <w:rPr>
          <w:rFonts w:ascii="Arial" w:cs="Arial" w:eastAsia="Arial" w:hAnsi="Arial"/>
          <w:sz w:val="16"/>
          <w:szCs w:val="16"/>
          <w:i w:val="1"/>
          <w:iCs w:val="1"/>
          <w:color w:val="auto"/>
        </w:rPr>
        <w:t xml:space="preserve"> </w:t>
      </w:r>
      <w:r>
        <w:rPr>
          <w:rFonts w:ascii="Arial" w:cs="Arial" w:eastAsia="Arial" w:hAnsi="Arial"/>
          <w:sz w:val="16"/>
          <w:szCs w:val="16"/>
          <w:color w:val="auto"/>
        </w:rPr>
        <w:t>to include certain areas in Kentucky, Pennsylvania, Virginia and West Virginia, (the “Expansion Area”). The agreement includes certain network build out requirements in the Expansion Area, and the ability to utilize Sprint’s spectrum in the Expansion Area. Pursuant to the expansion agreement, Sprint agreed to, among other things, transition the provision of network coverage in the Expansion Area from Sprint to the Company. The expansion agreement required a payment of $52.0 million for the right to service the Expansion Area pursuant to the Affiliate Agreements plus an additional payment of up to $5.0 million after acceptance of certain equipment at the Sprint cell sites in the Expansion Area. The transaction was accounted for as an asset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the following in the wireless segment: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Estimated</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Useful Life (in</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years)</w:t>
            </w:r>
          </w:p>
        </w:tc>
        <w:tc>
          <w:tcPr>
            <w:tcW w:w="24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February 1, 2018</w:t>
            </w:r>
          </w:p>
        </w:tc>
      </w:tr>
      <w:tr>
        <w:trPr>
          <w:trHeight w:val="27"/>
        </w:trPr>
        <w:tc>
          <w:tcPr>
            <w:tcW w:w="33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Affiliate contract expansion</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45,148</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Prepayment of tangible assets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6,497</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Off-market leases - favorable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3,665</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Off-market leases - unfavorable</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(3,310)</w:t>
            </w:r>
          </w:p>
        </w:tc>
      </w:tr>
      <w:tr>
        <w:trPr>
          <w:trHeight w:val="27"/>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52,000</w:t>
            </w:r>
          </w:p>
        </w:tc>
      </w:tr>
      <w:tr>
        <w:trPr>
          <w:trHeight w:val="27"/>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approximate and represent the average of the remaining useful lives as of the acquisition date.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allocated the purchase price to the components identified in the table above based on the relative fair value of each component. The fair value of the components was determined using an income and cost approach.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affiliate contract expansion asset is classified as "Intangible assets, net". The prepayment of tangible assets are classified as "Prepaid expenses and other" within current assets on the Company's balance sheet. The off-market leases - favorable and off-market leases - unfavorable, are classified as "Intangible assets, net" and "Deferred lease", respectively, on the Company's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Customer Concentration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Contractual Relationship:</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1999, the Company executed a Management Agreement (the “Agreement”) with Sprint whereby the Company committed to construct and operate a personal communications service (PCS) network using CDMA air interface technology. The Agreement has been amended numerous times. Under the amended Agreement, the Company is the exclusive PCS Affiliate of Sprint providing wireless mobility communications network products and services on the 800 MHz, 1900 MHz and 2.5 GHz spectrum ranges in its territory across a multi-state area covering large portions of central and western Virginia, south-central Pennsylvania, West Virginia, and portions of Maryland, North Carolina, Kentucky, and Ohio. The Company is authorized to use the Sprint brand in its territory, and operate its network under Sprint’s radio spectrum licenses. As an exclusive PCS Affiliate of Sprint, the Company has the exclusive right to build, own and maintain its portion of Sprint’s nationwide PCS network, in the aforementioned areas, to Sprint’s specifications. The initial term of the Agreement extends through November 2029, with two successive 10-year renewal periods, unless terminated by either party under provisions outlined in the Agreement. Upon non-renewal, the Company may cause Sprint to buy or Sprint may cause the Company to sell, the business at 90% of “Entire Business Value” (EBV) as defined in the Agreement. EBV is defined as i) the fair market value of a going concern paid by a willing buyer to a willing seller; ii) valued as if the business will continue to utilize existing brands and operate under existing agreements; and, iii) valued as if Manager (Shentel) owns the spectrum. Determination of EBV is made by an independent appraisal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the Affiliate agreement related to the acquisition of the Expansion Area</w:t>
      </w:r>
      <w:r>
        <w:rPr>
          <w:rFonts w:ascii="Arial" w:cs="Arial" w:eastAsia="Arial" w:hAnsi="Arial"/>
          <w:sz w:val="18"/>
          <w:szCs w:val="18"/>
          <w:color w:val="auto"/>
        </w:rPr>
        <w: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with the acquisition of the Expansion Area on February 1, 2018, the Company amended its Agreement with Sprint to expand its wireless service area to include certain areas in Kentucky, Pennsylvania, Virginia and West Virginia. The agreement includes certain network build out requirements in the Expansion Area, and the ability to utilize Sprint’s spectrum in the Expansion Area along with certain other amendments to the Affiliate Agreements. Pursuant to the Expansion Agreement, Sprint agreed to, among other things, transition the provision of network coverage in the Expansion Area from Sprint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(Loss) Per Share (EPS)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EPS was computed by dividing net income or loss by the weighted average number of shares of common stock outstanding during the period. Diluted net income (loss) per share was computed under the treasury stock method, assuming the conversion as of the beginning of the period, for all dilutive stock options. Diluted EPS was computed by dividing net income by the sum of the weighted average number of shares of common stock outstanding and potentially dilutive securities outstanding during the period under the treasury stock method. Potentially dilutive securities include stock options and restricted stock units and shares that the Company is contractually obligated to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computation of basic and diluted earnings per share: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02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7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7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Calculation of net income (loss) per share:</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15,534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3,534</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31,743</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5,795</w:t>
            </w:r>
          </w:p>
        </w:tc>
        <w:tc>
          <w:tcPr>
            <w:tcW w:w="0" w:type="dxa"/>
            <w:vAlign w:val="bottom"/>
          </w:tcPr>
          <w:p>
            <w:pPr>
              <w:spacing w:after="0"/>
              <w:rPr>
                <w:sz w:val="1"/>
                <w:szCs w:val="1"/>
                <w:color w:val="auto"/>
              </w:rPr>
            </w:pPr>
          </w:p>
        </w:tc>
      </w:tr>
      <w:tr>
        <w:trPr>
          <w:trHeight w:val="270"/>
        </w:trPr>
        <w:tc>
          <w:tcPr>
            <w:tcW w:w="4040" w:type="dxa"/>
            <w:vAlign w:val="bottom"/>
          </w:tcPr>
          <w:p>
            <w:pPr>
              <w:ind w:left="1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49,559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49,133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49,100</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Basic income (loss) per share</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Effect of stock options outstanding:</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49,559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49,133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49,100</w:t>
            </w:r>
          </w:p>
        </w:tc>
        <w:tc>
          <w:tcPr>
            <w:tcW w:w="0" w:type="dxa"/>
            <w:vAlign w:val="bottom"/>
          </w:tcPr>
          <w:p>
            <w:pPr>
              <w:spacing w:after="0"/>
              <w:rPr>
                <w:sz w:val="1"/>
                <w:szCs w:val="1"/>
                <w:color w:val="auto"/>
              </w:rPr>
            </w:pPr>
          </w:p>
        </w:tc>
      </w:tr>
      <w:tr>
        <w:trPr>
          <w:trHeight w:val="270"/>
        </w:trPr>
        <w:tc>
          <w:tcPr>
            <w:tcW w:w="4040" w:type="dxa"/>
            <w:vAlign w:val="bottom"/>
          </w:tcPr>
          <w:p>
            <w:pPr>
              <w:ind w:left="140"/>
              <w:spacing w:after="0"/>
              <w:rPr>
                <w:sz w:val="20"/>
                <w:szCs w:val="20"/>
                <w:color w:val="auto"/>
              </w:rPr>
            </w:pPr>
            <w:r>
              <w:rPr>
                <w:rFonts w:ascii="Arial" w:cs="Arial" w:eastAsia="Arial" w:hAnsi="Arial"/>
                <w:sz w:val="18"/>
                <w:szCs w:val="18"/>
                <w:color w:val="auto"/>
                <w:w w:val="96"/>
              </w:rPr>
              <w:t>Effect from dilutive shares and options outstanding</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49,869</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Diluted income (loss) per share</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computation of diluted EPS does not include certain unvested awards, on a weighted average basis, because their inclusion would have an anti-dilutive effect on EPS. The awards excluded because of their anti-dilutive effect were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Awards excluded from the computation of diluted net income per share because their inclusion would have been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2220" w:type="dxa"/>
            <w:vAlign w:val="bottom"/>
            <w:gridSpan w:val="3"/>
          </w:tcPr>
          <w:p>
            <w:pPr>
              <w:ind w:left="3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4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2220" w:type="dxa"/>
            <w:vAlign w:val="bottom"/>
            <w:gridSpan w:val="3"/>
          </w:tcPr>
          <w:p>
            <w:pPr>
              <w:ind w:left="58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31"/>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122"/>
        </w:trPr>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5780" w:space="240"/>
            <w:col w:w="5400"/>
          </w:cols>
          <w:pgMar w:left="240" w:top="125"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investments, comprised of equity securities which do not have readily determinable fair values, consist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9/30/2018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12/31/2017</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500" w:type="dxa"/>
            <w:vAlign w:val="bottom"/>
          </w:tcPr>
          <w:p>
            <w:pPr>
              <w:ind w:left="140"/>
              <w:spacing w:after="0"/>
              <w:rPr>
                <w:sz w:val="20"/>
                <w:szCs w:val="20"/>
                <w:color w:val="auto"/>
              </w:rPr>
            </w:pPr>
            <w:r>
              <w:rPr>
                <w:rFonts w:ascii="Arial" w:cs="Arial" w:eastAsia="Arial" w:hAnsi="Arial"/>
                <w:sz w:val="18"/>
                <w:szCs w:val="18"/>
                <w:color w:val="auto"/>
              </w:rPr>
              <w:t>CoBank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7,441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70"/>
        </w:trPr>
        <w:tc>
          <w:tcPr>
            <w:tcW w:w="5500" w:type="dxa"/>
            <w:vAlign w:val="bottom"/>
          </w:tcPr>
          <w:p>
            <w:pPr>
              <w:ind w:left="140"/>
              <w:spacing w:after="0"/>
              <w:rPr>
                <w:sz w:val="20"/>
                <w:szCs w:val="20"/>
                <w:color w:val="auto"/>
              </w:rPr>
            </w:pPr>
            <w:r>
              <w:rPr>
                <w:rFonts w:ascii="Arial" w:cs="Arial" w:eastAsia="Arial" w:hAnsi="Arial"/>
                <w:sz w:val="18"/>
                <w:szCs w:val="18"/>
                <w:color w:val="auto"/>
              </w:rPr>
              <w:t>Other – equity in other telecommunications partners</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8"/>
                <w:szCs w:val="18"/>
                <w:color w:val="auto"/>
              </w:rPr>
              <w:t>Equity method:</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50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240"/>
              <w:spacing w:after="0"/>
              <w:rPr>
                <w:sz w:val="20"/>
                <w:szCs w:val="20"/>
                <w:color w:val="auto"/>
              </w:rPr>
            </w:pPr>
            <w:r>
              <w:rPr>
                <w:rFonts w:ascii="Arial" w:cs="Arial" w:eastAsia="Arial" w:hAnsi="Arial"/>
                <w:sz w:val="18"/>
                <w:szCs w:val="18"/>
                <w:color w:val="auto"/>
              </w:rPr>
              <w:t>Total other investments</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CoBank investment is primarily related to patronage distributions of restricted equity and is a required investment related to the Credit Facility. Refer to Note 12, </w:t>
      </w:r>
      <w:r>
        <w:rPr>
          <w:rFonts w:ascii="Arial" w:cs="Arial" w:eastAsia="Arial" w:hAnsi="Arial"/>
          <w:sz w:val="18"/>
          <w:szCs w:val="18"/>
          <w:i w:val="1"/>
          <w:iCs w:val="1"/>
          <w:color w:val="auto"/>
        </w:rPr>
        <w:t>Long-Term Debt</w:t>
      </w:r>
      <w:r>
        <w:rPr>
          <w:rFonts w:ascii="Arial" w:cs="Arial" w:eastAsia="Arial" w:hAnsi="Arial"/>
          <w:sz w:val="18"/>
          <w:szCs w:val="18"/>
          <w:color w:val="auto"/>
        </w:rPr>
        <w:t>, for additional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The Company's investments carried at fair value consisted of:</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5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9/30/2018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12/31/2017</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40"/>
              <w:spacing w:after="0"/>
              <w:rPr>
                <w:sz w:val="20"/>
                <w:szCs w:val="20"/>
                <w:color w:val="auto"/>
              </w:rPr>
            </w:pPr>
            <w:r>
              <w:rPr>
                <w:rFonts w:ascii="Arial" w:cs="Arial" w:eastAsia="Arial" w:hAnsi="Arial"/>
                <w:sz w:val="18"/>
                <w:szCs w:val="18"/>
                <w:color w:val="auto"/>
              </w:rPr>
              <w:t>Cash and Equivalents</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Domestic equity funds</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International equity funds</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180"/>
              <w:spacing w:after="0"/>
              <w:rPr>
                <w:sz w:val="20"/>
                <w:szCs w:val="20"/>
                <w:color w:val="auto"/>
              </w:rPr>
            </w:pPr>
            <w:r>
              <w:rPr>
                <w:rFonts w:ascii="Arial" w:cs="Arial" w:eastAsia="Arial" w:hAnsi="Arial"/>
                <w:sz w:val="18"/>
                <w:szCs w:val="18"/>
                <w:color w:val="auto"/>
              </w:rPr>
              <w:t>Total investments carried at fair value</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carried at fair value were acquired under a rabbi trust arrangement related to the Company’s Supplemental Executive Retirement Plan (SERP). The Company purchases investments in the trust to mirror the investment elections of participants in the SERP. The Company recorded net gains of $0.1 million in both the three months ended September 30, 2018 and 2017. The Company recorded net gains of $0.1 million and $0.3 million in the nine months ended September 30, 2018 and September 30, 2017, respectively. Fair values for these investments are determined using net asset value per share and are not classified in the fair value hierarchy. Gains and losses on the investments in the trust are reflected as increases or decreases in the liability owed to the participants. The increases or decreases to the liability are recorded as pension expense included within "Non-operating income (loss), net" in the Company's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hierarchy for financial assets and liabilities measured at fair value on a recurring basis: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gridSpan w:val="3"/>
            <w:vMerge w:val="restart"/>
          </w:tcPr>
          <w:p>
            <w:pPr>
              <w:jc w:val="right"/>
              <w:ind w:right="430"/>
              <w:spacing w:after="0"/>
              <w:rPr>
                <w:sz w:val="20"/>
                <w:szCs w:val="20"/>
                <w:color w:val="auto"/>
              </w:rPr>
            </w:pPr>
            <w:r>
              <w:rPr>
                <w:rFonts w:ascii="Arial" w:cs="Arial" w:eastAsia="Arial" w:hAnsi="Arial"/>
                <w:sz w:val="18"/>
                <w:szCs w:val="18"/>
                <w:b w:val="1"/>
                <w:bCs w:val="1"/>
                <w:color w:val="auto"/>
              </w:rPr>
              <w:t>September 30, 2018</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9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Balance sheet location:</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4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5,447</w:t>
            </w:r>
          </w:p>
        </w:tc>
        <w:tc>
          <w:tcPr>
            <w:tcW w:w="120" w:type="dxa"/>
            <w:vAlign w:val="bottom"/>
          </w:tcPr>
          <w:p>
            <w:pPr>
              <w:spacing w:after="0"/>
              <w:rPr>
                <w:sz w:val="23"/>
                <w:szCs w:val="23"/>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Deferred charges and other assets, net:</w:t>
            </w: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3"/>
                <w:szCs w:val="23"/>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13,541</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18,988</w:t>
            </w:r>
          </w:p>
        </w:tc>
        <w:tc>
          <w:tcPr>
            <w:tcW w:w="12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18,988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December 31, 2017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Balance sheet location:</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13,187</w:t>
            </w:r>
          </w:p>
        </w:tc>
        <w:tc>
          <w:tcPr>
            <w:tcW w:w="12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Level 1- Financial assets and liabilities whose values are based on unadjusted quoted prices in active markets for identical assets or liabilities that the reporting entity can access at the measurement date.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Level 2 - Financial assets and liabilities whose values are based on inputs other than quoted prices included within Level 1 that are observable for the asset or liability, either directly or indirectly.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Level 3 - Financial assets and liabilities whose values are based on unobservable inputs for the asset or liability.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are defined as cash, or other financial instruments to a third party. The carrying amounts of cash and cash equivalents, accounts receivable, other current assets, investments carried at fair value, accounts payable and accrued liabilities approximate fair value due to their short-term nature. The Company's long-term debt and interest rate swaps approximate fair value because of their floating rate structure.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Derivative financial instruments are recognized as assets or liabilities in the financial statements and measured at fair value on a recurring basis. See Note 10,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for additional information. The Company measures its interest rate swaps at fair value and recognizes such derivative instruments as either assets or liabilities on the Company’s consolidated balance sheet. Changes in the fair value of swaps are recognized in other comprehensive income, as the Company has designated these swaps as cash flow hedges for accounting purposes. The Company entered into these swaps to manage a portion of its exposure to interest rate movements by converting a portion of its variable rate long-term debt to fixed rate debt.</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determines the fair value of its security holdings based on pricing from its vendors. The valuation techniques used to measure the fair value of financial instruments having Level 2 inputs were derived from non-binding consensus prices that are corroborated by observable market data or quoted market prices for similar instruments. Such market prices may be quoted prices in active markets for identical assets (Level 1 inputs) or pricing determined using inputs other than quoted prices that are observable either directly or indirectly (Level 2 inputs).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has certain non-marketable long-term investments for which it is not practicable to estimate fair value, refer to Note 6, </w:t>
      </w:r>
      <w:r>
        <w:rPr>
          <w:rFonts w:ascii="Arial" w:cs="Arial" w:eastAsia="Arial" w:hAnsi="Arial"/>
          <w:sz w:val="18"/>
          <w:szCs w:val="18"/>
          <w:i w:val="1"/>
          <w:iCs w:val="1"/>
          <w:color w:val="auto"/>
        </w:rPr>
        <w:t>Investments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8"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Estimated Useful</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Lives</w:t>
            </w: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49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Land</w:t>
            </w: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6,418</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Buildings and structures</w:t>
            </w:r>
          </w:p>
        </w:tc>
        <w:tc>
          <w:tcPr>
            <w:tcW w:w="204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10 - 40 years</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207,647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195,540</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Cable and wire</w:t>
            </w:r>
          </w:p>
        </w:tc>
        <w:tc>
          <w:tcPr>
            <w:tcW w:w="204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4 - 40 years</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302,592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286,999</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Equipment and software</w:t>
            </w:r>
          </w:p>
        </w:tc>
        <w:tc>
          <w:tcPr>
            <w:tcW w:w="204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2 - 17 years</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763,089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730,228</w:t>
            </w:r>
          </w:p>
        </w:tc>
      </w:tr>
      <w:tr>
        <w:trPr>
          <w:trHeight w:val="27"/>
        </w:trPr>
        <w:tc>
          <w:tcPr>
            <w:tcW w:w="4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Plant in service</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1,279,896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1,219,185</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74,422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62,202</w:t>
            </w:r>
          </w:p>
        </w:tc>
      </w:tr>
      <w:tr>
        <w:trPr>
          <w:trHeight w:val="27"/>
        </w:trPr>
        <w:tc>
          <w:tcPr>
            <w:tcW w:w="4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1,354,318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1,281,387</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684,609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595,060</w:t>
            </w:r>
          </w:p>
        </w:tc>
      </w:tr>
      <w:tr>
        <w:trPr>
          <w:trHeight w:val="27"/>
        </w:trPr>
        <w:tc>
          <w:tcPr>
            <w:tcW w:w="4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669,709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686,327</w:t>
            </w:r>
          </w:p>
        </w:tc>
      </w:tr>
      <w:tr>
        <w:trPr>
          <w:trHeight w:val="20"/>
        </w:trPr>
        <w:tc>
          <w:tcPr>
            <w:tcW w:w="4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w w:val="90"/>
              </w:rPr>
              <w:t>Note 9. Goodwill and Other Intangible Assets</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Goodwill consisted of the following:</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35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4"/>
                <w:szCs w:val="24"/>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3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Goodwill - wireless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146,383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146,383</w:t>
            </w:r>
          </w:p>
        </w:tc>
      </w:tr>
      <w:tr>
        <w:trPr>
          <w:trHeight w:val="270"/>
        </w:trPr>
        <w:tc>
          <w:tcPr>
            <w:tcW w:w="3500" w:type="dxa"/>
            <w:vAlign w:val="bottom"/>
          </w:tcPr>
          <w:p>
            <w:pPr>
              <w:ind w:left="40"/>
              <w:spacing w:after="0"/>
              <w:rPr>
                <w:sz w:val="20"/>
                <w:szCs w:val="20"/>
                <w:color w:val="auto"/>
              </w:rPr>
            </w:pPr>
            <w:r>
              <w:rPr>
                <w:rFonts w:ascii="Arial" w:cs="Arial" w:eastAsia="Arial" w:hAnsi="Arial"/>
                <w:sz w:val="18"/>
                <w:szCs w:val="18"/>
                <w:color w:val="auto"/>
              </w:rPr>
              <w:t>Goodwill - cable</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3500" w:type="dxa"/>
            <w:vAlign w:val="bottom"/>
          </w:tcPr>
          <w:p>
            <w:pPr>
              <w:ind w:left="40"/>
              <w:spacing w:after="0"/>
              <w:rPr>
                <w:sz w:val="20"/>
                <w:szCs w:val="20"/>
                <w:color w:val="auto"/>
              </w:rPr>
            </w:pPr>
            <w:r>
              <w:rPr>
                <w:rFonts w:ascii="Arial" w:cs="Arial" w:eastAsia="Arial" w:hAnsi="Arial"/>
                <w:sz w:val="18"/>
                <w:szCs w:val="18"/>
                <w:color w:val="auto"/>
              </w:rPr>
              <w:t>Goodwill - wireline</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35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146,497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146,497</w:t>
            </w: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60"/>
          </w:cols>
          <w:pgMar w:left="240" w:top="125" w:right="99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2017</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4"/>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4"/>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Amortization and</w:t>
            </w:r>
          </w:p>
        </w:tc>
        <w:tc>
          <w:tcPr>
            <w:tcW w:w="3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Amortization and</w:t>
            </w:r>
          </w:p>
        </w:tc>
        <w:tc>
          <w:tcPr>
            <w:tcW w:w="320" w:type="dxa"/>
            <w:vAlign w:val="bottom"/>
          </w:tcPr>
          <w:p>
            <w:pPr>
              <w:spacing w:after="0"/>
              <w:rPr>
                <w:sz w:val="12"/>
                <w:szCs w:val="12"/>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Non-amortizing intangibles:</w:t>
            </w: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Cable franchise rights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64,334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64,334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Railroad crossing rights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40"/>
              <w:spacing w:after="0"/>
              <w:rPr>
                <w:sz w:val="20"/>
                <w:szCs w:val="20"/>
                <w:color w:val="auto"/>
              </w:rPr>
            </w:pPr>
            <w:r>
              <w:rPr>
                <w:rFonts w:ascii="Arial" w:cs="Arial" w:eastAsia="Arial" w:hAnsi="Arial"/>
                <w:sz w:val="18"/>
                <w:szCs w:val="18"/>
                <w:color w:val="auto"/>
              </w:rPr>
              <w:t>Total non-amortizing intangibles</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64,475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64,475</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Arial" w:cs="Arial" w:eastAsia="Arial" w:hAnsi="Arial"/>
                <w:sz w:val="18"/>
                <w:szCs w:val="18"/>
                <w:color w:val="auto"/>
              </w:rPr>
              <w:t>Finite-lived intangibles: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Affiliate contract expansion - wireless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455,305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(152,603)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302,702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410,157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304,193</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Favorable leases - wireless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15,816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14,062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13,103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Acquired subscribers - cable</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25,265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25,265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40"/>
              <w:spacing w:after="0"/>
              <w:rPr>
                <w:sz w:val="20"/>
                <w:szCs w:val="20"/>
                <w:color w:val="auto"/>
              </w:rPr>
            </w:pPr>
            <w:r>
              <w:rPr>
                <w:rFonts w:ascii="Arial" w:cs="Arial" w:eastAsia="Arial" w:hAnsi="Arial"/>
                <w:sz w:val="18"/>
                <w:szCs w:val="18"/>
                <w:color w:val="auto"/>
              </w:rPr>
              <w:t>Total finite-lived intangibles</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496,850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(179,788)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317,062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448,988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(132,484)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316,504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340"/>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561,325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(179,788)</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381,537</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513,463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(132,484)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380,979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Affiliate contract expansion is amortized over the expected benefit period and is further reduced by the amount of waived management fees received from Sprint which were $9.6 million and $28.2 million for the three and nine months ended September 30, 2018, respectively. Since May 6, 2016, the date of the non-monetary exchange, waived management fees received from Sprint totaled $88.8 million.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gross carrying amount of certain intangibles was affected by the expansion of the Company's wireless service coverage area with Sprint. See Note 3, </w:t>
      </w:r>
      <w:r>
        <w:rPr>
          <w:rFonts w:ascii="Arial" w:cs="Arial" w:eastAsia="Arial" w:hAnsi="Arial"/>
          <w:sz w:val="18"/>
          <w:szCs w:val="18"/>
          <w:i w:val="1"/>
          <w:iCs w:val="1"/>
          <w:color w:val="auto"/>
        </w:rPr>
        <w:t xml:space="preserve">Acquisition </w:t>
      </w:r>
      <w:r>
        <w:rPr>
          <w:rFonts w:ascii="Arial" w:cs="Arial" w:eastAsia="Arial" w:hAnsi="Arial"/>
          <w:sz w:val="18"/>
          <w:szCs w:val="18"/>
          <w:color w:val="auto"/>
        </w:rPr>
        <w:t>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 and Hedging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fair value of the Company’s derivative financial instruments as well as its classification on the consolidated balance sheet: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820" w:type="dxa"/>
            <w:vAlign w:val="bottom"/>
            <w:vMerge w:val="restart"/>
          </w:tcPr>
          <w:p>
            <w:pPr>
              <w:spacing w:after="0"/>
              <w:rPr>
                <w:sz w:val="20"/>
                <w:szCs w:val="20"/>
                <w:color w:val="auto"/>
              </w:rPr>
            </w:pPr>
            <w:r>
              <w:rPr>
                <w:rFonts w:ascii="Arial" w:cs="Arial" w:eastAsia="Arial" w:hAnsi="Arial"/>
                <w:sz w:val="18"/>
                <w:szCs w:val="18"/>
                <w:color w:val="auto"/>
              </w:rPr>
              <w:t>Balance sheet location of derivative financial instruments:</w:t>
            </w: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680" w:type="dxa"/>
            <w:vAlign w:val="bottom"/>
          </w:tcPr>
          <w:p>
            <w:pPr>
              <w:jc w:val="right"/>
              <w:ind w:right="14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168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13,541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240"/>
              <w:spacing w:after="0"/>
              <w:rPr>
                <w:sz w:val="20"/>
                <w:szCs w:val="20"/>
                <w:color w:val="auto"/>
              </w:rPr>
            </w:pPr>
            <w:r>
              <w:rPr>
                <w:rFonts w:ascii="Arial" w:cs="Arial" w:eastAsia="Arial" w:hAnsi="Arial"/>
                <w:sz w:val="18"/>
                <w:szCs w:val="18"/>
                <w:color w:val="auto"/>
              </w:rPr>
              <w:t>Total derivatives designated as hedging instruments</w:t>
            </w:r>
          </w:p>
        </w:tc>
        <w:tc>
          <w:tcPr>
            <w:tcW w:w="16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18,988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13,187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accumulated other comprehensive income (loss) by component: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Nine Months Ended September 30, 2018</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Gains (Losses) on</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Comprehensive</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(Expense)</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Income (Loss), net</w:t>
            </w:r>
          </w:p>
        </w:tc>
      </w:tr>
      <w:tr>
        <w:trPr>
          <w:trHeight w:val="234"/>
        </w:trPr>
        <w:tc>
          <w:tcPr>
            <w:tcW w:w="6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16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of taxes</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13,187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8,230</w:t>
            </w:r>
          </w:p>
        </w:tc>
      </w:tr>
      <w:tr>
        <w:trPr>
          <w:trHeight w:val="270"/>
        </w:trPr>
        <w:tc>
          <w:tcPr>
            <w:tcW w:w="6360" w:type="dxa"/>
            <w:vAlign w:val="bottom"/>
          </w:tcPr>
          <w:p>
            <w:pPr>
              <w:ind w:left="140"/>
              <w:spacing w:after="0"/>
              <w:rPr>
                <w:sz w:val="20"/>
                <w:szCs w:val="20"/>
                <w:color w:val="auto"/>
              </w:rPr>
            </w:pPr>
            <w:r>
              <w:rPr>
                <w:rFonts w:ascii="Arial" w:cs="Arial" w:eastAsia="Arial" w:hAnsi="Arial"/>
                <w:sz w:val="18"/>
                <w:szCs w:val="18"/>
                <w:color w:val="auto"/>
              </w:rPr>
              <w:t>Net change in unrealized gain (loss)</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5,801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4,360</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ind w:left="14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5,801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4,360</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Balance as of September 30, 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18,988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12,590</w:t>
            </w: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outstanding notional amounts of the cash flow hedge were $395.1 million and $418.3 million as of September 30, 2018 and December 31, 2017, respectively. See Note 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Assets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classified as current assets,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ind w:left="140"/>
              <w:spacing w:after="0"/>
              <w:rPr>
                <w:sz w:val="20"/>
                <w:szCs w:val="20"/>
                <w:color w:val="auto"/>
              </w:rPr>
            </w:pPr>
            <w:r>
              <w:rPr>
                <w:rFonts w:ascii="Arial" w:cs="Arial" w:eastAsia="Arial" w:hAnsi="Arial"/>
                <w:sz w:val="18"/>
                <w:szCs w:val="18"/>
                <w:color w:val="auto"/>
              </w:rPr>
              <w:t>Prepaid 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10,058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10,519</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Prepaid maintenance expenses</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3,062</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2,411</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Deferred contract asset</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35,617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17,111</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Deferred contract and other costs include amounts reimbursed to Sprint for commissions and device costs, and commissions and installation costs in the Company’s Cable and Wireline segments. The deferred contract and other costs increased due to the adoption of Topic 606. Refer to Note 2,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13,541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10,776</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Deferred contract asset</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2,914</w:t>
            </w: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Deferred contract and other costs include amounts reimbursed to Sprint for commissions and device costs, and commissions and installation costs in the Company’s Cable and Wireline segments. The deferred contract and other costs increased due to the adoption of Topic 606. Refer to Note 2,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ind w:left="140"/>
              <w:spacing w:after="0"/>
              <w:rPr>
                <w:sz w:val="20"/>
                <w:szCs w:val="20"/>
                <w:color w:val="auto"/>
              </w:rPr>
            </w:pPr>
            <w:r>
              <w:rPr>
                <w:rFonts w:ascii="Arial" w:cs="Arial" w:eastAsia="Arial" w:hAnsi="Arial"/>
                <w:sz w:val="18"/>
                <w:szCs w:val="18"/>
                <w:color w:val="auto"/>
              </w:rPr>
              <w:t>Sales and property taxes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Severance accrual</w:t>
            </w:r>
          </w:p>
        </w:tc>
        <w:tc>
          <w:tcPr>
            <w:tcW w:w="180" w:type="dxa"/>
            <w:vAlign w:val="bottom"/>
          </w:tcPr>
          <w:p>
            <w:pPr>
              <w:spacing w:after="0"/>
              <w:rPr>
                <w:sz w:val="23"/>
                <w:szCs w:val="23"/>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Accrued programming costs</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7,734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5,717</w:t>
            </w: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Accrued liabilities and other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13,914</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classified as long-term liabilities,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ind w:left="140"/>
              <w:spacing w:after="0"/>
              <w:rPr>
                <w:sz w:val="20"/>
                <w:szCs w:val="20"/>
                <w:color w:val="auto"/>
              </w:rPr>
            </w:pPr>
            <w:r>
              <w:rPr>
                <w:rFonts w:ascii="Arial" w:cs="Arial" w:eastAsia="Arial" w:hAnsi="Arial"/>
                <w:sz w:val="18"/>
                <w:szCs w:val="18"/>
                <w:color w:val="auto"/>
              </w:rPr>
              <w:t>Non-current portion of deferred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12,659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14,030</w:t>
            </w:r>
          </w:p>
        </w:tc>
      </w:tr>
      <w:tr>
        <w:trPr>
          <w:trHeight w:val="270"/>
        </w:trPr>
        <w:tc>
          <w:tcPr>
            <w:tcW w:w="410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asset retirement obligations are included in the balance sheet captions "Asset retirement obligations" and "Accrued liabilities and other". The Company records the fair value of an asset retirement obligation as a liability in the period in which it incurs a legal obligation associated with the retirement and removal of leasehold improvements or equipment. The Company also records a corresponding asset, which is depreciated over the life of the leasehold improvement or equipment. Subsequent to the initial measurement of the asset retirement obligation, the obligation is adjusted at the end of each period to reflect the passage of time and changes in the estimated future cash flows underlying the obligation. The terms associated with its operating leases, and applicable zoning ordinances of certain jurisdictions, define the Company’s obligations which are estimated and vary based on the size and types of the towers.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8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Note 12. Long-Term Debt</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color w:val="auto"/>
              </w:rPr>
              <w:t>Total debt as of September 30, 2018 and December 31, 2017 consisted of the following:</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72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4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Term loan A-1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400,125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436,500</w:t>
            </w:r>
          </w:p>
        </w:tc>
      </w:tr>
      <w:tr>
        <w:trPr>
          <w:trHeight w:val="270"/>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Term loan A-2</w:t>
            </w: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390,000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r>
        <w:trPr>
          <w:trHeight w:val="27"/>
        </w:trPr>
        <w:tc>
          <w:tcPr>
            <w:tcW w:w="4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790,125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836,500</w:t>
            </w:r>
          </w:p>
        </w:tc>
      </w:tr>
      <w:tr>
        <w:trPr>
          <w:trHeight w:val="270"/>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Less: unamortized loan fees</w:t>
            </w: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11,337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14,542</w:t>
            </w:r>
          </w:p>
        </w:tc>
      </w:tr>
      <w:tr>
        <w:trPr>
          <w:trHeight w:val="27"/>
        </w:trPr>
        <w:tc>
          <w:tcPr>
            <w:tcW w:w="4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Total debt, net of unamortized loan fees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778,788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821,958</w:t>
            </w:r>
          </w:p>
        </w:tc>
      </w:tr>
      <w:tr>
        <w:trPr>
          <w:trHeight w:val="20"/>
        </w:trPr>
        <w:tc>
          <w:tcPr>
            <w:tcW w:w="4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554"/>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Current maturities of long-term debt, net of current unamortized loan fees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84,743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64,397</w:t>
            </w:r>
          </w:p>
        </w:tc>
      </w:tr>
      <w:tr>
        <w:trPr>
          <w:trHeight w:val="270"/>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694,045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757,561</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2018, the Company's indebtedness totaled approximately $778.8 million, net of unamortized loan fees of $11.3 million, with an annualized overall weighted average interest rate of approximately 4.11%. As of September 30, 2018, the Term Loan A-1 bears interest at one-month LIBOR plus a margin of 2.25%, while the Term Loan A-2 bears interest at one-month LIBOR plus a margin of 2.50%. For September 2018, one-month LIBOR was 2.08%. LIBOR resets monthly.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A-1 required quarterly principal repayments of $6.1 million, which began on September 30, 2016 and continued through June 30, 2017, increased to $12.1 million quarterly from September 30, 2017 through June 30, 2020; then increases to $18.2 million quarterly from September 30, 2020 through March 31, 2021, with the remaining balance due June 30, 2021. The Term Loan A-2 requires quarterly principal repayments of $10.0 million which began on September 30, 2018 and continue through March 31, 2023, with the remaining balance due June 30, 2023.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credit agreement also requires the Company to enter into one or more hedge agreements to manage its exposure to interest rate movements. The Company elected to hedge the minimum required under the 2016 credit agreement, and entered into a pay-fixed, receive-variable swap on 50% of the aggregate expected principal balance of the term loans outstanding. The Company will receive one month LIBOR and pay a fixed rate of 1.16%, in addition to the 2.25% initial spread on Term Loan A-1 and the 2.50% initial spread on Term Loan A-2.</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2016 credit agreement contains affirmative and negative covenants customary to secured credit facilities, including covenants restricting the ability of the Company and its subsidiaries,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 Company’s and its subsidiaries’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Indebtedness outstanding under any of the facilities may be accelerated by an Event of Default, as defined in the 2016 credit agreement.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Facilities are secured by a pledge by the Company of its stock and membership interests in its subsidiaries, a guarantee by the Company’s subsidiaries other than Shenandoah Telephone Company, and a security interest in substantially all of the assets of the Company and the guarantors.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subject to certain financial covenants to be measured on a trailing twelve month basis each calendar quarter unless otherwise specified. These covenants include:</w:t>
      </w:r>
    </w:p>
    <w:p>
      <w:pPr>
        <w:spacing w:after="0" w:line="170"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minimum debt service coverage ratio, defined as EBITDA minus certain cash taxes divided by the sum of all scheduled principal payments on the Term Loans and scheduled principal payments on other indebtedness plus cash interest expense, greater than 2.00 to 1.00;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8"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 minimum liquidity balance of greater than $25 million. The balance includes amounts available under the revolver facility plus unrestricted cash and cash equivalents on deposit in a deposit account for which a control agreement has been delivered to the administrative agent under the 2016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September 30, 2018, the Company was in compliance with the covenants in its credit agreements.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Actual</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Covenant Requirement</w:t>
            </w:r>
          </w:p>
        </w:tc>
        <w:tc>
          <w:tcPr>
            <w:tcW w:w="0" w:type="dxa"/>
            <w:vAlign w:val="bottom"/>
          </w:tcPr>
          <w:p>
            <w:pPr>
              <w:spacing w:after="0"/>
              <w:rPr>
                <w:sz w:val="1"/>
                <w:szCs w:val="1"/>
                <w:color w:val="auto"/>
              </w:rPr>
            </w:pPr>
          </w:p>
        </w:tc>
      </w:tr>
      <w:tr>
        <w:trPr>
          <w:trHeight w:val="34"/>
        </w:trPr>
        <w:tc>
          <w:tcPr>
            <w:tcW w:w="404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3.75 or Lower</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Minimum liquidity balance (in millions)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$25.0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Credit Facility Modification: </w:t>
      </w:r>
      <w:r>
        <w:rPr>
          <w:rFonts w:ascii="Arial" w:cs="Arial" w:eastAsia="Arial" w:hAnsi="Arial"/>
          <w:sz w:val="18"/>
          <w:szCs w:val="18"/>
          <w:color w:val="auto"/>
        </w:rPr>
        <w:t>On February 16, 2018, the Company, entered into a Second Amendment to Credit Agreement (the “Second Amendment”)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CoBank, ACB, as administrative agent of its Credit Agreement and the various financial institutions party thereto (the “Lenders”), which modifies the Credit Agreement by (i) reducing the interest rate paid by the Company by 50 basis points with respect to certain loans made by the Lenders to the Company under the Credit Agreement, and (ii) allowing the Company to make charitable contributions to the Shentel Foundation, a Virginia nonstock corporation, of up to $1.5 million in any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files U.S. federal income tax returns and various state and local income tax returns.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operating losses acquired in the nTelos acquisition are open to examination from 2002 forward. Income tax filings prior to 2014, excluding the acquired net operating losses, are no longer subject to examination. The Company is not subject to any state or federal income tax audits as of September 30,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 tax rate has fluctuated in recent periods due to the minimal base of pre-tax earnings or losses and has been further impacted by share based compensation tax benefits which are recognized as incurred under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Tax Cuts and Jobs Act (the “2017 Tax Act”) was enacted, substantially changing the U.S. tax system. The 2017 Tax Act includes a number of changes to existing U.S. tax laws that impact the Company, most notably a reduction of the U.S. corporate income tax rate from 35 percent to 21 percent for tax years beginning after December 31, 2017. The 2017 Tax Act also provides immediate expensing for certain qualified assets acquired and placed into service after September 27, 2017 as well as prospective changes beginning in 2018, including acceleration of tax revenue recognition, additional limitations on deductibility of executive compensation and limitations on the deductibility of interest.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2017 Tax Act. The Company recognized the income tax effects of the 2017 Tax Act in its 2017 consolidated financial statements in accordance with SAB No. 118.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the Company is continuing to evaluate the provisional amounts recorded related to the 2017 Tax Act at December 31, 2017, for related state and local municipality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External revenue</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180"/>
              <w:spacing w:after="0"/>
              <w:rPr>
                <w:sz w:val="20"/>
                <w:szCs w:val="20"/>
                <w:color w:val="auto"/>
              </w:rPr>
            </w:pPr>
            <w:r>
              <w:rPr>
                <w:rFonts w:ascii="Arial" w:cs="Arial" w:eastAsia="Arial" w:hAnsi="Arial"/>
                <w:sz w:val="16"/>
                <w:szCs w:val="16"/>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96,299</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28,578</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130,320</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15,963</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12,448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external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114,836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30,916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12,979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158,731</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Internal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116,099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32,182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19,622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158,731</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100" w:type="dxa"/>
            <w:vAlign w:val="bottom"/>
          </w:tcPr>
          <w:p>
            <w:pPr>
              <w:ind w:left="18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32,253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9,266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(8,458)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47,886</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15,036</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9,864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27,452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40,028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88,747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26,348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130,402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27,352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5,834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28,329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w w:val="94"/>
              </w:rPr>
              <w:t>Three Months Ended September 30, 2017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4"/>
                <w:szCs w:val="24"/>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External revenue</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180"/>
              <w:spacing w:after="0"/>
              <w:rPr>
                <w:sz w:val="20"/>
                <w:szCs w:val="20"/>
                <w:color w:val="auto"/>
              </w:rPr>
            </w:pPr>
            <w:r>
              <w:rPr>
                <w:rFonts w:ascii="Arial" w:cs="Arial" w:eastAsia="Arial" w:hAnsi="Arial"/>
                <w:sz w:val="16"/>
                <w:szCs w:val="16"/>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107,395</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26,934</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139,455</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10,333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external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111,266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29,090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11,426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151,782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Internal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112,505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30,089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19,851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151,782</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100" w:type="dxa"/>
            <w:vAlign w:val="bottom"/>
          </w:tcPr>
          <w:p>
            <w:pPr>
              <w:ind w:left="18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33,825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14,858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48,552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30,099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42,199</w:t>
            </w:r>
          </w:p>
        </w:tc>
        <w:tc>
          <w:tcPr>
            <w:tcW w:w="0" w:type="dxa"/>
            <w:vAlign w:val="bottom"/>
          </w:tcPr>
          <w:p>
            <w:pPr>
              <w:spacing w:after="0"/>
              <w:rPr>
                <w:sz w:val="1"/>
                <w:szCs w:val="1"/>
                <w:color w:val="auto"/>
              </w:rPr>
            </w:pPr>
          </w:p>
        </w:tc>
      </w:tr>
      <w:tr>
        <w:trPr>
          <w:trHeight w:val="247"/>
        </w:trPr>
        <w:tc>
          <w:tcPr>
            <w:tcW w:w="3100" w:type="dxa"/>
            <w:vAlign w:val="bottom"/>
          </w:tcPr>
          <w:p>
            <w:pPr>
              <w:ind w:left="180"/>
              <w:spacing w:after="0"/>
              <w:rPr>
                <w:sz w:val="20"/>
                <w:szCs w:val="20"/>
                <w:color w:val="auto"/>
              </w:rPr>
            </w:pPr>
            <w:r>
              <w:rPr>
                <w:rFonts w:ascii="Arial" w:cs="Arial" w:eastAsia="Arial" w:hAnsi="Arial"/>
                <w:sz w:val="16"/>
                <w:szCs w:val="16"/>
                <w:color w:val="auto"/>
              </w:rPr>
              <w:t>Acquisition, integration and migration</w:t>
            </w:r>
          </w:p>
        </w:tc>
        <w:tc>
          <w:tcPr>
            <w:tcW w:w="240" w:type="dxa"/>
            <w:vAlign w:val="bottom"/>
          </w:tcPr>
          <w:p>
            <w:pPr>
              <w:spacing w:after="0"/>
              <w:rPr>
                <w:sz w:val="21"/>
                <w:szCs w:val="21"/>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118"/>
        </w:trPr>
        <w:tc>
          <w:tcPr>
            <w:tcW w:w="3100" w:type="dxa"/>
            <w:vAlign w:val="bottom"/>
            <w:vMerge w:val="restart"/>
          </w:tcPr>
          <w:p>
            <w:pPr>
              <w:ind w:left="180"/>
              <w:spacing w:after="0"/>
              <w:rPr>
                <w:sz w:val="20"/>
                <w:szCs w:val="20"/>
                <w:color w:val="auto"/>
              </w:rPr>
            </w:pPr>
            <w:r>
              <w:rPr>
                <w:rFonts w:ascii="Arial" w:cs="Arial" w:eastAsia="Arial" w:hAnsi="Arial"/>
                <w:sz w:val="16"/>
                <w:szCs w:val="16"/>
                <w:color w:val="auto"/>
              </w:rPr>
              <w:t>expenses</w:t>
            </w:r>
          </w:p>
        </w:tc>
        <w:tc>
          <w:tcPr>
            <w:tcW w:w="2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1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32,929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42,568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105,760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26,463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14,762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142,307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6,745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0"/>
                <w:szCs w:val="20"/>
                <w:color w:val="auto"/>
              </w:rPr>
            </w:pPr>
          </w:p>
        </w:tc>
        <w:tc>
          <w:tcPr>
            <w:tcW w:w="880" w:type="dxa"/>
            <w:vAlign w:val="bottom"/>
          </w:tcPr>
          <w:p>
            <w:pPr>
              <w:jc w:val="right"/>
              <w:ind w:right="231"/>
              <w:spacing w:after="0"/>
              <w:rPr>
                <w:sz w:val="20"/>
                <w:szCs w:val="20"/>
                <w:color w:val="auto"/>
              </w:rPr>
            </w:pPr>
            <w:r>
              <w:rPr>
                <w:rFonts w:ascii="Arial" w:cs="Arial" w:eastAsia="Arial" w:hAnsi="Arial"/>
                <w:sz w:val="16"/>
                <w:szCs w:val="16"/>
                <w:b w:val="1"/>
                <w:bCs w:val="1"/>
                <w:color w:val="auto"/>
              </w:rPr>
              <w:t>Cable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External revenue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Service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284,154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85,797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16,052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386,003</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Equipment revenue</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48,859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49,551</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20,643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33,816</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Total external revenue</w:t>
            </w:r>
          </w:p>
        </w:tc>
        <w:tc>
          <w:tcPr>
            <w:tcW w:w="2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339,910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92,610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36,850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469,370</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Internal revenue</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Total operating revenue</w:t>
            </w:r>
          </w:p>
        </w:tc>
        <w:tc>
          <w:tcPr>
            <w:tcW w:w="2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343,656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96,004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58,441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469,370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Cost of services</w:t>
            </w:r>
          </w:p>
        </w:tc>
        <w:tc>
          <w:tcPr>
            <w:tcW w:w="220" w:type="dxa"/>
            <w:vAlign w:val="bottom"/>
          </w:tcPr>
          <w:p>
            <w:pPr>
              <w:spacing w:after="0"/>
              <w:rPr>
                <w:sz w:val="24"/>
                <w:szCs w:val="24"/>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99,491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28,441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146,362</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45,749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46,007</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35,693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32,344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86,117</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95,853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18,305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10,069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124,632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276,786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43,754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32,749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403,118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66,870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17,444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14,687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(32,749)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66,252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w w:val="90"/>
              </w:rPr>
              <w:t>Nine Months Ended September 30, 2017</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4"/>
                <w:szCs w:val="24"/>
                <w:color w:val="auto"/>
              </w:rPr>
            </w:pPr>
          </w:p>
        </w:tc>
        <w:tc>
          <w:tcPr>
            <w:tcW w:w="880" w:type="dxa"/>
            <w:vAlign w:val="bottom"/>
          </w:tcPr>
          <w:p>
            <w:pPr>
              <w:jc w:val="right"/>
              <w:ind w:right="231"/>
              <w:spacing w:after="0"/>
              <w:rPr>
                <w:sz w:val="20"/>
                <w:szCs w:val="20"/>
                <w:color w:val="auto"/>
              </w:rPr>
            </w:pPr>
            <w:r>
              <w:rPr>
                <w:rFonts w:ascii="Arial" w:cs="Arial" w:eastAsia="Arial" w:hAnsi="Arial"/>
                <w:sz w:val="16"/>
                <w:szCs w:val="16"/>
                <w:b w:val="1"/>
                <w:bCs w:val="1"/>
                <w:color w:val="auto"/>
              </w:rPr>
              <w:t>Cable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24"/>
                <w:szCs w:val="24"/>
                <w:color w:val="auto"/>
              </w:rPr>
            </w:pPr>
          </w:p>
        </w:tc>
        <w:tc>
          <w:tcPr>
            <w:tcW w:w="118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External revenue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Service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323,262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80,229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15,301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418,792</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Equipment revenue</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8,303</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7,467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18,622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31,825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Total external revenue</w:t>
            </w:r>
          </w:p>
        </w:tc>
        <w:tc>
          <w:tcPr>
            <w:tcW w:w="2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338,395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458,920</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Internal revenue</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24,568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Total operating revenue</w:t>
            </w:r>
          </w:p>
        </w:tc>
        <w:tc>
          <w:tcPr>
            <w:tcW w:w="2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342,102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58,581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458,920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Cost of services</w:t>
            </w:r>
          </w:p>
        </w:tc>
        <w:tc>
          <w:tcPr>
            <w:tcW w:w="220" w:type="dxa"/>
            <w:vAlign w:val="bottom"/>
          </w:tcPr>
          <w:p>
            <w:pPr>
              <w:spacing w:after="0"/>
              <w:rPr>
                <w:sz w:val="24"/>
                <w:szCs w:val="24"/>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100,745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28,357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145,744</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17,084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17,232</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88,201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19,139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125,374</w:t>
            </w:r>
          </w:p>
        </w:tc>
        <w:tc>
          <w:tcPr>
            <w:tcW w:w="0" w:type="dxa"/>
            <w:vAlign w:val="bottom"/>
          </w:tcPr>
          <w:p>
            <w:pPr>
              <w:spacing w:after="0"/>
              <w:rPr>
                <w:sz w:val="1"/>
                <w:szCs w:val="1"/>
                <w:color w:val="auto"/>
              </w:rPr>
            </w:pPr>
          </w:p>
        </w:tc>
      </w:tr>
      <w:tr>
        <w:trPr>
          <w:trHeight w:val="247"/>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Acquisition, integration and migration</w:t>
            </w:r>
          </w:p>
        </w:tc>
        <w:tc>
          <w:tcPr>
            <w:tcW w:w="220" w:type="dxa"/>
            <w:vAlign w:val="bottom"/>
          </w:tcPr>
          <w:p>
            <w:pPr>
              <w:spacing w:after="0"/>
              <w:rPr>
                <w:sz w:val="21"/>
                <w:szCs w:val="21"/>
                <w:color w:val="auto"/>
              </w:rPr>
            </w:pPr>
          </w:p>
        </w:tc>
        <w:tc>
          <w:tcPr>
            <w:tcW w:w="1060" w:type="dxa"/>
            <w:vAlign w:val="bottom"/>
            <w:vMerge w:val="restart"/>
          </w:tcPr>
          <w:p>
            <w:pPr>
              <w:jc w:val="right"/>
              <w:ind w:right="51"/>
              <w:spacing w:after="0"/>
              <w:rPr>
                <w:sz w:val="20"/>
                <w:szCs w:val="20"/>
                <w:color w:val="auto"/>
              </w:rPr>
            </w:pPr>
            <w:r>
              <w:rPr>
                <w:rFonts w:ascii="Arial" w:cs="Arial" w:eastAsia="Arial" w:hAnsi="Arial"/>
                <w:sz w:val="18"/>
                <w:szCs w:val="18"/>
                <w:color w:val="auto"/>
              </w:rPr>
              <w:t>9,607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118"/>
        </w:trPr>
        <w:tc>
          <w:tcPr>
            <w:tcW w:w="3100" w:type="dxa"/>
            <w:vAlign w:val="bottom"/>
            <w:gridSpan w:val="2"/>
            <w:vMerge w:val="restart"/>
          </w:tcPr>
          <w:p>
            <w:pPr>
              <w:ind w:left="18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1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4"/>
                <w:szCs w:val="24"/>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104,231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9,536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132,297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319,868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19,865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430,520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22,234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10,460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15,571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28,400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22</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(loss) to consolidated income (loss) before taxes is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Total consolidated operating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28,329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9,475</w:t>
            </w:r>
          </w:p>
        </w:tc>
        <w:tc>
          <w:tcPr>
            <w:tcW w:w="1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66,252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28,400</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(9,823)</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(28,312)</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Gain (loss) on investments, net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Non-operating income (loss), net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3,482</w:t>
            </w:r>
          </w:p>
        </w:tc>
      </w:tr>
      <w:tr>
        <w:trPr>
          <w:trHeight w:val="27"/>
        </w:trPr>
        <w:tc>
          <w:tcPr>
            <w:tcW w:w="4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41,950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January 1, 2018, the Company records stock compensation expense to the Other segment. Previously, stock compensation expense was allocated among all of the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On October 30, 2018, the Company's Board of Directors approved a dividend of $0.27 per common share to be paid on November 30, 2018 to shareholders of record as of the close of business on November 12, 2018. Before dividend reinvestments, the total payout is expected to be approximately $13.4 million.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2017. The following management’s discussion and analysis should be read in conjunction with the Company’s Annual Report on Form 10-K for its fiscal year ended December 31, 2017, including the consolidated financial statements and related notes included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Shenandoah Telecommunications Company, (the "Company", "we", "our", or "us"), is a diversified telecommunications company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integrated voice, video and data communication services including both regulated and unregulated telecommunications services through its wholly owned subsidiaries. These subsidiaries provide wireless personal communications services as a Sprint PCS affiliate, and local exchange telephone services, video, internet and data services, long distance services, fiber optics facilities and leased tower facilities. We organize and strategically manage our operations under the Company's reportable segments that include: Wireless, Cable, Wireline, and Other. See Note 14,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included with the notes to our consolidated financial statements provided within our 2017 Annual Report on Form 10-K for further information regarding our segments.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adopted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effective January 1, 2018, using the modified retrospective method as discussed in Note 2</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xml:space="preserve"> The following tables identify the impact of applying Topic 606 to the Company for the three and nine months ended September 30, 2018:</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5"/>
          </w:tcPr>
          <w:p>
            <w:pPr>
              <w:jc w:val="right"/>
              <w:ind w:right="279"/>
              <w:spacing w:after="0"/>
              <w:rPr>
                <w:sz w:val="20"/>
                <w:szCs w:val="20"/>
                <w:color w:val="auto"/>
              </w:rPr>
            </w:pPr>
            <w:r>
              <w:rPr>
                <w:rFonts w:ascii="Arial" w:cs="Arial" w:eastAsia="Arial" w:hAnsi="Arial"/>
                <w:sz w:val="16"/>
                <w:szCs w:val="16"/>
                <w:b w:val="1"/>
                <w:bCs w:val="1"/>
                <w:color w:val="auto"/>
                <w:w w:val="94"/>
              </w:rPr>
              <w:t>Three Months Ended September 30, 2018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Topic 606 Impact - CONSOLIDATED</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Prior to</w:t>
            </w:r>
          </w:p>
        </w:tc>
        <w:tc>
          <w:tcPr>
            <w:tcW w:w="12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Changes in</w:t>
            </w:r>
          </w:p>
        </w:tc>
        <w:tc>
          <w:tcPr>
            <w:tcW w:w="140" w:type="dxa"/>
            <w:vAlign w:val="bottom"/>
          </w:tcPr>
          <w:p>
            <w:pPr>
              <w:spacing w:after="0"/>
              <w:rPr>
                <w:sz w:val="18"/>
                <w:szCs w:val="18"/>
                <w:color w:val="auto"/>
              </w:rPr>
            </w:pPr>
          </w:p>
        </w:tc>
        <w:tc>
          <w:tcPr>
            <w:tcW w:w="216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6"/>
                <w:szCs w:val="16"/>
                <w:b w:val="1"/>
                <w:bCs w:val="1"/>
                <w:color w:val="auto"/>
                <w:w w:val="98"/>
              </w:rPr>
              <w:t>Equipment   Deferred Costs</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As Reported</w:t>
            </w:r>
          </w:p>
        </w:tc>
        <w:tc>
          <w:tcPr>
            <w:tcW w:w="0" w:type="dxa"/>
            <w:vAlign w:val="bottom"/>
          </w:tcPr>
          <w:p>
            <w:pPr>
              <w:spacing w:after="0"/>
              <w:rPr>
                <w:sz w:val="1"/>
                <w:szCs w:val="1"/>
                <w:color w:val="auto"/>
              </w:rPr>
            </w:pPr>
          </w:p>
        </w:tc>
      </w:tr>
      <w:tr>
        <w:trPr>
          <w:trHeight w:val="95"/>
        </w:trPr>
        <w:tc>
          <w:tcPr>
            <w:tcW w:w="308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 except per share amounts)</w:t>
            </w:r>
          </w:p>
        </w:tc>
        <w:tc>
          <w:tcPr>
            <w:tcW w:w="140" w:type="dxa"/>
            <w:vAlign w:val="bottom"/>
          </w:tcPr>
          <w:p>
            <w:pPr>
              <w:spacing w:after="0"/>
              <w:rPr>
                <w:sz w:val="8"/>
                <w:szCs w:val="8"/>
                <w:color w:val="auto"/>
              </w:rPr>
            </w:pPr>
          </w:p>
        </w:tc>
        <w:tc>
          <w:tcPr>
            <w:tcW w:w="1020" w:type="dxa"/>
            <w:vAlign w:val="bottom"/>
            <w:tcBorders>
              <w:right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w w:val="91"/>
              </w:rPr>
              <w:t>Adoption of</w:t>
            </w:r>
          </w:p>
        </w:tc>
        <w:tc>
          <w:tcPr>
            <w:tcW w:w="120" w:type="dxa"/>
            <w:vAlign w:val="bottom"/>
          </w:tcPr>
          <w:p>
            <w:pPr>
              <w:spacing w:after="0"/>
              <w:rPr>
                <w:sz w:val="8"/>
                <w:szCs w:val="8"/>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8"/>
              </w:rPr>
              <w:t>Presentation</w:t>
            </w:r>
          </w:p>
        </w:tc>
        <w:tc>
          <w:tcPr>
            <w:tcW w:w="140" w:type="dxa"/>
            <w:vAlign w:val="bottom"/>
          </w:tcPr>
          <w:p>
            <w:pPr>
              <w:spacing w:after="0"/>
              <w:rPr>
                <w:sz w:val="8"/>
                <w:szCs w:val="8"/>
                <w:color w:val="auto"/>
              </w:rPr>
            </w:pPr>
          </w:p>
        </w:tc>
        <w:tc>
          <w:tcPr>
            <w:tcW w:w="2160" w:type="dxa"/>
            <w:vAlign w:val="bottom"/>
            <w:tcBorders>
              <w:right w:val="single" w:sz="8" w:color="auto"/>
            </w:tcBorders>
            <w:gridSpan w:val="3"/>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restart"/>
          </w:tcPr>
          <w:p>
            <w:pPr>
              <w:jc w:val="right"/>
              <w:ind w:right="379"/>
              <w:spacing w:after="0"/>
              <w:rPr>
                <w:sz w:val="20"/>
                <w:szCs w:val="20"/>
                <w:color w:val="auto"/>
              </w:rPr>
            </w:pPr>
            <w:r>
              <w:rPr>
                <w:rFonts w:ascii="Arial" w:cs="Arial" w:eastAsia="Arial" w:hAnsi="Arial"/>
                <w:sz w:val="16"/>
                <w:szCs w:val="16"/>
                <w:b w:val="1"/>
                <w:bCs w:val="1"/>
                <w:color w:val="auto"/>
                <w:w w:val="90"/>
              </w:rPr>
              <w:t>Revenue (2)</w:t>
            </w:r>
          </w:p>
        </w:tc>
        <w:tc>
          <w:tcPr>
            <w:tcW w:w="860" w:type="dxa"/>
            <w:vAlign w:val="bottom"/>
            <w:tcBorders>
              <w:right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9"/>
                <w:szCs w:val="9"/>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09/30/2018</w:t>
            </w:r>
          </w:p>
        </w:tc>
        <w:tc>
          <w:tcPr>
            <w:tcW w:w="0" w:type="dxa"/>
            <w:vAlign w:val="bottom"/>
          </w:tcPr>
          <w:p>
            <w:pPr>
              <w:spacing w:after="0"/>
              <w:rPr>
                <w:sz w:val="1"/>
                <w:szCs w:val="1"/>
                <w:color w:val="auto"/>
              </w:rPr>
            </w:pPr>
          </w:p>
        </w:tc>
      </w:tr>
      <w:tr>
        <w:trPr>
          <w:trHeight w:val="102"/>
        </w:trPr>
        <w:tc>
          <w:tcPr>
            <w:tcW w:w="3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Borders>
              <w:right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w w:val="89"/>
              </w:rPr>
              <w:t>Topic 606</w:t>
            </w:r>
          </w:p>
        </w:tc>
        <w:tc>
          <w:tcPr>
            <w:tcW w:w="120" w:type="dxa"/>
            <w:vAlign w:val="bottom"/>
          </w:tcPr>
          <w:p>
            <w:pPr>
              <w:spacing w:after="0"/>
              <w:rPr>
                <w:sz w:val="8"/>
                <w:szCs w:val="8"/>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1"/>
              </w:rPr>
              <w:t>(1)</w:t>
            </w:r>
          </w:p>
        </w:tc>
        <w:tc>
          <w:tcPr>
            <w:tcW w:w="14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140"/>
              <w:spacing w:after="0"/>
              <w:rPr>
                <w:sz w:val="20"/>
                <w:szCs w:val="20"/>
                <w:color w:val="auto"/>
              </w:rPr>
            </w:pPr>
            <w:r>
              <w:rPr>
                <w:rFonts w:ascii="Arial" w:cs="Arial" w:eastAsia="Arial" w:hAnsi="Arial"/>
                <w:sz w:val="16"/>
                <w:szCs w:val="16"/>
                <w:color w:val="auto"/>
              </w:rPr>
              <w:t>Service revenue and other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161,076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(23,174)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4,866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142,768</w:t>
            </w:r>
          </w:p>
        </w:tc>
        <w:tc>
          <w:tcPr>
            <w:tcW w:w="0" w:type="dxa"/>
            <w:vAlign w:val="bottom"/>
          </w:tcPr>
          <w:p>
            <w:pPr>
              <w:spacing w:after="0"/>
              <w:rPr>
                <w:sz w:val="1"/>
                <w:szCs w:val="1"/>
                <w:color w:val="auto"/>
              </w:rPr>
            </w:pPr>
          </w:p>
        </w:tc>
      </w:tr>
      <w:tr>
        <w:trPr>
          <w:trHeight w:val="257"/>
        </w:trPr>
        <w:tc>
          <w:tcPr>
            <w:tcW w:w="308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13,785</w:t>
            </w:r>
          </w:p>
        </w:tc>
        <w:tc>
          <w:tcPr>
            <w:tcW w:w="280" w:type="dxa"/>
            <w:vAlign w:val="bottom"/>
          </w:tcPr>
          <w:p>
            <w:pPr>
              <w:spacing w:after="0"/>
              <w:rPr>
                <w:sz w:val="22"/>
                <w:szCs w:val="22"/>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15,963</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40"/>
              <w:spacing w:after="0"/>
              <w:rPr>
                <w:sz w:val="20"/>
                <w:szCs w:val="20"/>
                <w:color w:val="auto"/>
              </w:rPr>
            </w:pPr>
            <w:r>
              <w:rPr>
                <w:rFonts w:ascii="Arial" w:cs="Arial" w:eastAsia="Arial" w:hAnsi="Arial"/>
                <w:sz w:val="16"/>
                <w:szCs w:val="16"/>
                <w:b w:val="1"/>
                <w:bCs w:val="1"/>
                <w:color w:val="auto"/>
              </w:rPr>
              <w:t>Total operating revenue</w:t>
            </w:r>
          </w:p>
        </w:tc>
        <w:tc>
          <w:tcPr>
            <w:tcW w:w="14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163,254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(23,174)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13,785</w:t>
            </w:r>
          </w:p>
        </w:tc>
        <w:tc>
          <w:tcPr>
            <w:tcW w:w="280" w:type="dxa"/>
            <w:vAlign w:val="bottom"/>
          </w:tcPr>
          <w:p>
            <w:pPr>
              <w:spacing w:after="0"/>
              <w:rPr>
                <w:sz w:val="18"/>
                <w:szCs w:val="18"/>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4,866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158,731</w:t>
            </w:r>
          </w:p>
        </w:tc>
        <w:tc>
          <w:tcPr>
            <w:tcW w:w="0" w:type="dxa"/>
            <w:vAlign w:val="bottom"/>
          </w:tcPr>
          <w:p>
            <w:pPr>
              <w:spacing w:after="0"/>
              <w:rPr>
                <w:sz w:val="1"/>
                <w:szCs w:val="1"/>
                <w:color w:val="auto"/>
              </w:rPr>
            </w:pPr>
          </w:p>
        </w:tc>
      </w:tr>
      <w:tr>
        <w:trPr>
          <w:trHeight w:val="257"/>
        </w:trPr>
        <w:tc>
          <w:tcPr>
            <w:tcW w:w="308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48,001</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47,886</w:t>
            </w:r>
          </w:p>
        </w:tc>
        <w:tc>
          <w:tcPr>
            <w:tcW w:w="0" w:type="dxa"/>
            <w:vAlign w:val="bottom"/>
          </w:tcPr>
          <w:p>
            <w:pPr>
              <w:spacing w:after="0"/>
              <w:rPr>
                <w:sz w:val="1"/>
                <w:szCs w:val="1"/>
                <w:color w:val="auto"/>
              </w:rPr>
            </w:pPr>
          </w:p>
        </w:tc>
      </w:tr>
      <w:tr>
        <w:trPr>
          <w:trHeight w:val="257"/>
        </w:trPr>
        <w:tc>
          <w:tcPr>
            <w:tcW w:w="308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7,870</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(6,619)</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13,785</w:t>
            </w:r>
          </w:p>
        </w:tc>
        <w:tc>
          <w:tcPr>
            <w:tcW w:w="280" w:type="dxa"/>
            <w:vAlign w:val="bottom"/>
          </w:tcPr>
          <w:p>
            <w:pPr>
              <w:spacing w:after="0"/>
              <w:rPr>
                <w:sz w:val="22"/>
                <w:szCs w:val="22"/>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15,036</w:t>
            </w:r>
          </w:p>
        </w:tc>
        <w:tc>
          <w:tcPr>
            <w:tcW w:w="0" w:type="dxa"/>
            <w:vAlign w:val="bottom"/>
          </w:tcPr>
          <w:p>
            <w:pPr>
              <w:spacing w:after="0"/>
              <w:rPr>
                <w:sz w:val="1"/>
                <w:szCs w:val="1"/>
                <w:color w:val="auto"/>
              </w:rPr>
            </w:pPr>
          </w:p>
        </w:tc>
      </w:tr>
      <w:tr>
        <w:trPr>
          <w:trHeight w:val="257"/>
        </w:trPr>
        <w:tc>
          <w:tcPr>
            <w:tcW w:w="3080" w:type="dxa"/>
            <w:vAlign w:val="bottom"/>
          </w:tcPr>
          <w:p>
            <w:pPr>
              <w:ind w:left="140"/>
              <w:spacing w:after="0"/>
              <w:rPr>
                <w:sz w:val="20"/>
                <w:szCs w:val="20"/>
                <w:color w:val="auto"/>
              </w:rPr>
            </w:pPr>
            <w:r>
              <w:rPr>
                <w:rFonts w:ascii="Arial" w:cs="Arial" w:eastAsia="Arial" w:hAnsi="Arial"/>
                <w:sz w:val="16"/>
                <w:szCs w:val="16"/>
                <w:color w:val="auto"/>
              </w:rPr>
              <w:t>Selling, general &amp; administrative</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44,164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(16,555)</w:t>
            </w:r>
          </w:p>
        </w:tc>
        <w:tc>
          <w:tcPr>
            <w:tcW w:w="140" w:type="dxa"/>
            <w:vAlign w:val="bottom"/>
          </w:tcPr>
          <w:p>
            <w:pPr>
              <w:spacing w:after="0"/>
              <w:rPr>
                <w:sz w:val="22"/>
                <w:szCs w:val="22"/>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27,452</w:t>
            </w:r>
          </w:p>
        </w:tc>
        <w:tc>
          <w:tcPr>
            <w:tcW w:w="0" w:type="dxa"/>
            <w:vAlign w:val="bottom"/>
          </w:tcPr>
          <w:p>
            <w:pPr>
              <w:spacing w:after="0"/>
              <w:rPr>
                <w:sz w:val="1"/>
                <w:szCs w:val="1"/>
                <w:color w:val="auto"/>
              </w:rPr>
            </w:pPr>
          </w:p>
        </w:tc>
      </w:tr>
      <w:tr>
        <w:trPr>
          <w:trHeight w:val="257"/>
        </w:trPr>
        <w:tc>
          <w:tcPr>
            <w:tcW w:w="30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40,028</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40,028</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40"/>
              <w:spacing w:after="0"/>
              <w:rPr>
                <w:sz w:val="20"/>
                <w:szCs w:val="20"/>
                <w:color w:val="auto"/>
              </w:rPr>
            </w:pPr>
            <w:r>
              <w:rPr>
                <w:rFonts w:ascii="Arial" w:cs="Arial" w:eastAsia="Arial" w:hAnsi="Arial"/>
                <w:sz w:val="16"/>
                <w:szCs w:val="16"/>
                <w:b w:val="1"/>
                <w:bCs w:val="1"/>
                <w:color w:val="auto"/>
              </w:rPr>
              <w:t>Total operating expenses</w:t>
            </w:r>
          </w:p>
        </w:tc>
        <w:tc>
          <w:tcPr>
            <w:tcW w:w="14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140,063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(23,174)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13,785</w:t>
            </w:r>
          </w:p>
        </w:tc>
        <w:tc>
          <w:tcPr>
            <w:tcW w:w="28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(272)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130,402</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140"/>
              <w:spacing w:after="0"/>
              <w:rPr>
                <w:sz w:val="20"/>
                <w:szCs w:val="20"/>
                <w:color w:val="auto"/>
              </w:rPr>
            </w:pPr>
            <w:r>
              <w:rPr>
                <w:rFonts w:ascii="Arial" w:cs="Arial" w:eastAsia="Arial" w:hAnsi="Arial"/>
                <w:sz w:val="16"/>
                <w:szCs w:val="16"/>
                <w:b w:val="1"/>
                <w:bCs w:val="1"/>
                <w:color w:val="auto"/>
              </w:rPr>
              <w:t>Operating income (loss)</w:t>
            </w:r>
          </w:p>
        </w:tc>
        <w:tc>
          <w:tcPr>
            <w:tcW w:w="14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23,191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5,138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28,329</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14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(7,947)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257"/>
        </w:trPr>
        <w:tc>
          <w:tcPr>
            <w:tcW w:w="3080" w:type="dxa"/>
            <w:vAlign w:val="bottom"/>
          </w:tcPr>
          <w:p>
            <w:pPr>
              <w:ind w:left="140"/>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3,486</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1,362</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4,848</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Pr>
          <w:p>
            <w:pPr>
              <w:ind w:left="2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 $</w:t>
            </w:r>
          </w:p>
        </w:tc>
        <w:tc>
          <w:tcPr>
            <w:tcW w:w="8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3,776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15,534</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 per share</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80" w:type="dxa"/>
            <w:vAlign w:val="bottom"/>
          </w:tcPr>
          <w:p>
            <w:pPr>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tcPr>
          <w:p>
            <w:pPr>
              <w:spacing w:after="0"/>
              <w:rPr>
                <w:sz w:val="20"/>
                <w:szCs w:val="20"/>
                <w:color w:val="auto"/>
              </w:rPr>
            </w:pPr>
            <w:r>
              <w:rPr>
                <w:rFonts w:ascii="Arial" w:cs="Arial" w:eastAsia="Arial" w:hAnsi="Arial"/>
                <w:sz w:val="16"/>
                <w:szCs w:val="16"/>
                <w:color w:val="auto"/>
                <w:w w:val="96"/>
              </w:rPr>
              <w:t>Weighted average shares outstanding, basic</w:t>
            </w:r>
          </w:p>
        </w:tc>
        <w:tc>
          <w:tcPr>
            <w:tcW w:w="1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49,559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49,559</w:t>
            </w: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0"/>
                <w:szCs w:val="20"/>
                <w:color w:val="auto"/>
              </w:rPr>
            </w:pPr>
            <w:r>
              <w:rPr>
                <w:rFonts w:ascii="Arial" w:cs="Arial" w:eastAsia="Arial" w:hAnsi="Arial"/>
                <w:sz w:val="16"/>
                <w:szCs w:val="16"/>
                <w:color w:val="auto"/>
                <w:w w:val="93"/>
              </w:rPr>
              <w:t>Weighted average shares outstanding, diluted</w:t>
            </w:r>
          </w:p>
        </w:tc>
        <w:tc>
          <w:tcPr>
            <w:tcW w:w="1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50,117</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1"/>
              </w:rPr>
              <w:t>Nine Months Ended September 30, 2018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auto"/>
                <w:w w:val="97"/>
              </w:rPr>
              <w:t>Topic 606 Impact - CONSOLIDATED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Prior to</w:t>
            </w:r>
          </w:p>
        </w:tc>
        <w:tc>
          <w:tcPr>
            <w:tcW w:w="120" w:type="dxa"/>
            <w:vAlign w:val="bottom"/>
          </w:tcPr>
          <w:p>
            <w:pPr>
              <w:spacing w:after="0"/>
              <w:rPr>
                <w:sz w:val="18"/>
                <w:szCs w:val="18"/>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Changes in</w:t>
            </w:r>
          </w:p>
        </w:tc>
        <w:tc>
          <w:tcPr>
            <w:tcW w:w="120" w:type="dxa"/>
            <w:vAlign w:val="bottom"/>
          </w:tcPr>
          <w:p>
            <w:pPr>
              <w:spacing w:after="0"/>
              <w:rPr>
                <w:sz w:val="18"/>
                <w:szCs w:val="18"/>
                <w:color w:val="auto"/>
              </w:rPr>
            </w:pPr>
          </w:p>
        </w:tc>
        <w:tc>
          <w:tcPr>
            <w:tcW w:w="212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6"/>
                <w:szCs w:val="16"/>
                <w:b w:val="1"/>
                <w:bCs w:val="1"/>
                <w:color w:val="auto"/>
                <w:w w:val="96"/>
              </w:rPr>
              <w:t>Equipment   Deferred Costs</w:t>
            </w:r>
          </w:p>
        </w:tc>
        <w:tc>
          <w:tcPr>
            <w:tcW w:w="120" w:type="dxa"/>
            <w:vAlign w:val="bottom"/>
          </w:tcPr>
          <w:p>
            <w:pPr>
              <w:spacing w:after="0"/>
              <w:rPr>
                <w:sz w:val="18"/>
                <w:szCs w:val="18"/>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As Reported</w:t>
            </w:r>
          </w:p>
        </w:tc>
        <w:tc>
          <w:tcPr>
            <w:tcW w:w="0" w:type="dxa"/>
            <w:vAlign w:val="bottom"/>
          </w:tcPr>
          <w:p>
            <w:pPr>
              <w:spacing w:after="0"/>
              <w:rPr>
                <w:sz w:val="1"/>
                <w:szCs w:val="1"/>
                <w:color w:val="auto"/>
              </w:rPr>
            </w:pPr>
          </w:p>
        </w:tc>
      </w:tr>
      <w:tr>
        <w:trPr>
          <w:trHeight w:val="95"/>
        </w:trPr>
        <w:tc>
          <w:tcPr>
            <w:tcW w:w="31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 in thousands, except per share amounts)</w:t>
            </w:r>
          </w:p>
        </w:tc>
        <w:tc>
          <w:tcPr>
            <w:tcW w:w="120" w:type="dxa"/>
            <w:vAlign w:val="bottom"/>
          </w:tcPr>
          <w:p>
            <w:pPr>
              <w:spacing w:after="0"/>
              <w:rPr>
                <w:sz w:val="8"/>
                <w:szCs w:val="8"/>
                <w:color w:val="auto"/>
              </w:rPr>
            </w:pPr>
          </w:p>
        </w:tc>
        <w:tc>
          <w:tcPr>
            <w:tcW w:w="1020" w:type="dxa"/>
            <w:vAlign w:val="bottom"/>
            <w:tcBorders>
              <w:right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w w:val="93"/>
              </w:rPr>
              <w:t>Adoption of</w:t>
            </w:r>
          </w:p>
        </w:tc>
        <w:tc>
          <w:tcPr>
            <w:tcW w:w="120" w:type="dxa"/>
            <w:vAlign w:val="bottom"/>
          </w:tcPr>
          <w:p>
            <w:pPr>
              <w:spacing w:after="0"/>
              <w:rPr>
                <w:sz w:val="8"/>
                <w:szCs w:val="8"/>
                <w:color w:val="auto"/>
              </w:rPr>
            </w:pPr>
          </w:p>
        </w:tc>
        <w:tc>
          <w:tcPr>
            <w:tcW w:w="10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Presentation</w:t>
            </w:r>
          </w:p>
        </w:tc>
        <w:tc>
          <w:tcPr>
            <w:tcW w:w="120" w:type="dxa"/>
            <w:vAlign w:val="bottom"/>
          </w:tcPr>
          <w:p>
            <w:pPr>
              <w:spacing w:after="0"/>
              <w:rPr>
                <w:sz w:val="8"/>
                <w:szCs w:val="8"/>
                <w:color w:val="auto"/>
              </w:rPr>
            </w:pPr>
          </w:p>
        </w:tc>
        <w:tc>
          <w:tcPr>
            <w:tcW w:w="2120" w:type="dxa"/>
            <w:vAlign w:val="bottom"/>
            <w:tcBorders>
              <w:right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6"/>
                <w:szCs w:val="16"/>
                <w:b w:val="1"/>
                <w:bCs w:val="1"/>
                <w:color w:val="auto"/>
                <w:w w:val="90"/>
              </w:rPr>
              <w:t>Revenue (2)</w:t>
            </w:r>
          </w:p>
        </w:tc>
        <w:tc>
          <w:tcPr>
            <w:tcW w:w="860" w:type="dxa"/>
            <w:vAlign w:val="bottom"/>
            <w:tcBorders>
              <w:right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9"/>
                <w:szCs w:val="9"/>
                <w:color w:val="auto"/>
              </w:rPr>
            </w:pP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09/30/2018</w:t>
            </w:r>
          </w:p>
        </w:tc>
        <w:tc>
          <w:tcPr>
            <w:tcW w:w="0" w:type="dxa"/>
            <w:vAlign w:val="bottom"/>
          </w:tcPr>
          <w:p>
            <w:pPr>
              <w:spacing w:after="0"/>
              <w:rPr>
                <w:sz w:val="1"/>
                <w:szCs w:val="1"/>
                <w:color w:val="auto"/>
              </w:rPr>
            </w:pPr>
          </w:p>
        </w:tc>
      </w:tr>
      <w:tr>
        <w:trPr>
          <w:trHeight w:val="102"/>
        </w:trPr>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right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w w:val="92"/>
              </w:rPr>
              <w:t>Topic 606</w:t>
            </w:r>
          </w:p>
        </w:tc>
        <w:tc>
          <w:tcPr>
            <w:tcW w:w="120" w:type="dxa"/>
            <w:vAlign w:val="bottom"/>
          </w:tcPr>
          <w:p>
            <w:pPr>
              <w:spacing w:after="0"/>
              <w:rPr>
                <w:sz w:val="8"/>
                <w:szCs w:val="8"/>
                <w:color w:val="auto"/>
              </w:rPr>
            </w:pPr>
          </w:p>
        </w:tc>
        <w:tc>
          <w:tcPr>
            <w:tcW w:w="10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ind w:left="180"/>
              <w:spacing w:after="0"/>
              <w:rPr>
                <w:sz w:val="20"/>
                <w:szCs w:val="20"/>
                <w:color w:val="auto"/>
              </w:rPr>
            </w:pPr>
            <w:r>
              <w:rPr>
                <w:rFonts w:ascii="Arial" w:cs="Arial" w:eastAsia="Arial" w:hAnsi="Arial"/>
                <w:sz w:val="16"/>
                <w:szCs w:val="16"/>
                <w:color w:val="auto"/>
              </w:rPr>
              <w:t>Service revenue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471,155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(64,069)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12,733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419,819</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Equipment revenue</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6,036</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43,515</w:t>
            </w:r>
          </w:p>
        </w:tc>
        <w:tc>
          <w:tcPr>
            <w:tcW w:w="280" w:type="dxa"/>
            <w:vAlign w:val="bottom"/>
          </w:tcPr>
          <w:p>
            <w:pPr>
              <w:spacing w:after="0"/>
              <w:rPr>
                <w:sz w:val="22"/>
                <w:szCs w:val="22"/>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49,551</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ind w:left="280"/>
              <w:spacing w:after="0"/>
              <w:rPr>
                <w:sz w:val="20"/>
                <w:szCs w:val="20"/>
                <w:color w:val="auto"/>
              </w:rPr>
            </w:pPr>
            <w:r>
              <w:rPr>
                <w:rFonts w:ascii="Arial" w:cs="Arial" w:eastAsia="Arial" w:hAnsi="Arial"/>
                <w:sz w:val="16"/>
                <w:szCs w:val="16"/>
                <w:b w:val="1"/>
                <w:bCs w:val="1"/>
                <w:color w:val="auto"/>
              </w:rPr>
              <w:t>Total operating revenue</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477,191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(64,069)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43,515</w:t>
            </w:r>
          </w:p>
        </w:tc>
        <w:tc>
          <w:tcPr>
            <w:tcW w:w="280" w:type="dxa"/>
            <w:vAlign w:val="bottom"/>
          </w:tcPr>
          <w:p>
            <w:pPr>
              <w:spacing w:after="0"/>
              <w:rPr>
                <w:sz w:val="18"/>
                <w:szCs w:val="18"/>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12,733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469,370</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Cost of services</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146,199</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146,362</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20,316</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(17,824)</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43,515</w:t>
            </w:r>
          </w:p>
        </w:tc>
        <w:tc>
          <w:tcPr>
            <w:tcW w:w="280" w:type="dxa"/>
            <w:vAlign w:val="bottom"/>
          </w:tcPr>
          <w:p>
            <w:pPr>
              <w:spacing w:after="0"/>
              <w:rPr>
                <w:sz w:val="22"/>
                <w:szCs w:val="22"/>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46,007</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Selling, general &amp; administrative</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132,711</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(46,245)</w:t>
            </w:r>
          </w:p>
        </w:tc>
        <w:tc>
          <w:tcPr>
            <w:tcW w:w="120" w:type="dxa"/>
            <w:vAlign w:val="bottom"/>
          </w:tcPr>
          <w:p>
            <w:pPr>
              <w:spacing w:after="0"/>
              <w:rPr>
                <w:sz w:val="22"/>
                <w:szCs w:val="22"/>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86,117</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124,632</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124,632</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ind w:left="280"/>
              <w:spacing w:after="0"/>
              <w:rPr>
                <w:sz w:val="20"/>
                <w:szCs w:val="20"/>
                <w:color w:val="auto"/>
              </w:rPr>
            </w:pPr>
            <w:r>
              <w:rPr>
                <w:rFonts w:ascii="Arial" w:cs="Arial" w:eastAsia="Arial" w:hAnsi="Arial"/>
                <w:sz w:val="16"/>
                <w:szCs w:val="16"/>
                <w:b w:val="1"/>
                <w:bCs w:val="1"/>
                <w:color w:val="auto"/>
              </w:rPr>
              <w:t>Total operating expenses</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423,858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(64,069)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43,515</w:t>
            </w:r>
          </w:p>
        </w:tc>
        <w:tc>
          <w:tcPr>
            <w:tcW w:w="28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403,118</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ind w:left="180"/>
              <w:spacing w:after="0"/>
              <w:rPr>
                <w:sz w:val="20"/>
                <w:szCs w:val="20"/>
                <w:color w:val="auto"/>
              </w:rPr>
            </w:pPr>
            <w:r>
              <w:rPr>
                <w:rFonts w:ascii="Arial" w:cs="Arial" w:eastAsia="Arial" w:hAnsi="Arial"/>
                <w:sz w:val="16"/>
                <w:szCs w:val="16"/>
                <w:b w:val="1"/>
                <w:bCs w:val="1"/>
                <w:color w:val="auto"/>
              </w:rPr>
              <w:t>Operating income (loss)</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53,333</w:t>
            </w:r>
          </w:p>
        </w:tc>
        <w:tc>
          <w:tcPr>
            <w:tcW w:w="1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12,919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66,252</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(24,302)</w:t>
            </w:r>
          </w:p>
        </w:tc>
        <w:tc>
          <w:tcPr>
            <w:tcW w:w="1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(24,302)</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6,740</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3,467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10,207</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tcPr>
          <w:p>
            <w:pPr>
              <w:ind w:left="28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22,291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 $</w:t>
            </w:r>
          </w:p>
        </w:tc>
        <w:tc>
          <w:tcPr>
            <w:tcW w:w="8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31,743</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Earnings (loss) per share</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140" w:type="dxa"/>
            <w:vAlign w:val="bottom"/>
          </w:tcPr>
          <w:p>
            <w:pPr>
              <w:ind w:left="4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6"/>
                <w:szCs w:val="16"/>
                <w:color w:val="auto"/>
                <w:w w:val="97"/>
              </w:rPr>
              <w:t>Weighted average shares outstanding, basic</w:t>
            </w:r>
          </w:p>
        </w:tc>
        <w:tc>
          <w:tcPr>
            <w:tcW w:w="1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49,527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49,527</w:t>
            </w:r>
          </w:p>
        </w:tc>
        <w:tc>
          <w:tcPr>
            <w:tcW w:w="0" w:type="dxa"/>
            <w:vAlign w:val="bottom"/>
          </w:tcPr>
          <w:p>
            <w:pPr>
              <w:spacing w:after="0"/>
              <w:rPr>
                <w:sz w:val="1"/>
                <w:szCs w:val="1"/>
                <w:color w:val="auto"/>
              </w:rPr>
            </w:pPr>
          </w:p>
        </w:tc>
      </w:tr>
      <w:tr>
        <w:trPr>
          <w:trHeight w:val="270"/>
        </w:trPr>
        <w:tc>
          <w:tcPr>
            <w:tcW w:w="3140" w:type="dxa"/>
            <w:vAlign w:val="bottom"/>
          </w:tcPr>
          <w:p>
            <w:pPr>
              <w:ind w:left="40"/>
              <w:spacing w:after="0"/>
              <w:rPr>
                <w:sz w:val="20"/>
                <w:szCs w:val="20"/>
                <w:color w:val="auto"/>
              </w:rPr>
            </w:pPr>
            <w:r>
              <w:rPr>
                <w:rFonts w:ascii="Arial" w:cs="Arial" w:eastAsia="Arial" w:hAnsi="Arial"/>
                <w:sz w:val="16"/>
                <w:szCs w:val="16"/>
                <w:color w:val="auto"/>
                <w:w w:val="94"/>
              </w:rPr>
              <w:t>Weighted average shares outstanding, diluted</w:t>
            </w:r>
          </w:p>
        </w:tc>
        <w:tc>
          <w:tcPr>
            <w:tcW w:w="1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50,044</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50,044</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20"/>
                <w:szCs w:val="20"/>
                <w:color w:val="auto"/>
              </w:rPr>
            </w:pPr>
            <w:r>
              <w:rPr>
                <w:rFonts w:ascii="Arial" w:cs="Arial" w:eastAsia="Arial" w:hAnsi="Arial"/>
                <w:sz w:val="11"/>
                <w:szCs w:val="11"/>
                <w:color w:val="auto"/>
                <w:w w:val="94"/>
              </w:rPr>
              <w:t>______________________________________________________</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328"/>
        <w:spacing w:after="0" w:line="245"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for both postpaid and prepaid, and to provide on-going support to their prepaid customers in our territory were historically recorded as expense when incurred. Under Topic 606, these amounts represent consideration payable to our customer, Sprint, and are recorded as a reduction of revenue. In 2017, these amounts were approximately $44.8 million for the postpaid national commissions, previously recorded in selling, general and administrative, $18.7 million for national device costs previously recorded in cost of goods and services, and $16.9 million for the on-going service to Sprint's prepaid customers, previously recorded in selling, general and administrative.</w:t>
      </w:r>
    </w:p>
    <w:p>
      <w:pPr>
        <w:spacing w:after="0" w:line="138" w:lineRule="exact"/>
        <w:rPr>
          <w:rFonts w:ascii="Arial" w:cs="Arial" w:eastAsia="Arial" w:hAnsi="Arial"/>
          <w:sz w:val="14"/>
          <w:szCs w:val="14"/>
          <w:color w:val="auto"/>
        </w:rPr>
      </w:pPr>
    </w:p>
    <w:p>
      <w:pPr>
        <w:ind w:left="660" w:hanging="328"/>
        <w:spacing w:after="0" w:line="273"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Costs incurred by the Company for the sale of devices under Sprint’s device financing and lease programs were previously recorded net against revenue. Under Topic 606, the revenue and related costs from device sales are recorded gross. These amounts were approximately $63.8 million in 2017.</w:t>
      </w:r>
    </w:p>
    <w:p>
      <w:pPr>
        <w:spacing w:after="0" w:line="119" w:lineRule="exact"/>
        <w:rPr>
          <w:rFonts w:ascii="Arial" w:cs="Arial" w:eastAsia="Arial" w:hAnsi="Arial"/>
          <w:sz w:val="14"/>
          <w:szCs w:val="14"/>
          <w:color w:val="auto"/>
        </w:rPr>
      </w:pPr>
    </w:p>
    <w:p>
      <w:pPr>
        <w:ind w:left="660" w:hanging="328"/>
        <w:spacing w:after="0" w:line="252"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which historically have been expensed when incurred, are deferred and amortized against revenue over the expected period of benefit of approximately 21 to 53 months. In Cable and Wireline, installation revenues are recognized over a period of approximately 10-11 months. The deferred balance as of September 30, 2018 is approximately $71.9 million and is classified on the balance sheet as current and non-current assets, as applicable.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Developments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Credit Facility Modification: </w:t>
      </w:r>
      <w:r>
        <w:rPr>
          <w:rFonts w:ascii="Arial" w:cs="Arial" w:eastAsia="Arial" w:hAnsi="Arial"/>
          <w:sz w:val="18"/>
          <w:szCs w:val="18"/>
          <w:color w:val="auto"/>
        </w:rPr>
        <w:t>On February 16, 2018, the Company, entered into a Second Amendment to Credit Agreement (the “Second Amendment”)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CoBank, ACB, as administrative agent of its Credit Agreement, described more fully in Note 12, </w:t>
      </w:r>
      <w:r>
        <w:rPr>
          <w:rFonts w:ascii="Arial" w:cs="Arial" w:eastAsia="Arial" w:hAnsi="Arial"/>
          <w:sz w:val="18"/>
          <w:szCs w:val="18"/>
          <w:i w:val="1"/>
          <w:iCs w:val="1"/>
          <w:color w:val="auto"/>
        </w:rPr>
        <w:t>Long-Term Debt</w:t>
      </w:r>
      <w:r>
        <w:rPr>
          <w:rFonts w:ascii="Arial" w:cs="Arial" w:eastAsia="Arial" w:hAnsi="Arial"/>
          <w:sz w:val="18"/>
          <w:szCs w:val="18"/>
          <w:color w:val="auto"/>
        </w:rPr>
        <w:t>, and the various financial institutions party thereto (the “Lenders”), which modifies the Credit Agreement by (i) reducing the interest rate paid by the Company by 50 basis points with respect to certain loans made by the Lenders to the Company under the Credit Agreement, and (ii) allowing the Company to make charitable contributions to Shentel Foundation, a Virginia nonstock corporation, of up to $1.5 million in any fiscal year.</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Sprint Territory Expansion: </w:t>
      </w:r>
      <w:r>
        <w:rPr>
          <w:rFonts w:ascii="Arial" w:cs="Arial" w:eastAsia="Arial" w:hAnsi="Arial"/>
          <w:sz w:val="16"/>
          <w:szCs w:val="16"/>
          <w:color w:val="auto"/>
        </w:rPr>
        <w:t>Effective February 1, 2018, we signed the Expansion Agreement with Sprint to expand our wireless network coverage area to</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certain portions of Kentucky, Pennsylvania, Virginia and West Virginia, (the “Expansion Area”), effectively adding a population (POPs) of approximately 1.1 million. The agreement includes certain network build out requirements in the Expansion Area, and the ability to utilize Sprint’s spectrum in the Expansion Area along with certain other amendments to the Affiliate Agreements. Pursuant to the Expansion Agreement, Sprint agreed to, among other things, transition the provision of network coverage in the Expansion Area from Sprint to us. The Expansion Agreement required a payment of $52.0 million to Sprint for the right to service the Expansion Area pursuant to the Affiliate Agreements plus an additional payment of up to $5.0 million after acceptance of certain equipment at the Sprint cell sites in the Expansion Area. A map of our territory, reflecting the new expansion area, is provided below: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634355" cy="4168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34355" cy="416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with the Three Months Ended September 30,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third quarter of 2018 and 2017 are summarized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40" w:type="dxa"/>
            <w:vAlign w:val="bottom"/>
          </w:tcPr>
          <w:p>
            <w:pPr>
              <w:spacing w:after="0"/>
              <w:rPr>
                <w:sz w:val="20"/>
                <w:szCs w:val="20"/>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66"/>
              <w:spacing w:after="0"/>
              <w:rPr>
                <w:sz w:val="20"/>
                <w:szCs w:val="20"/>
                <w:color w:val="auto"/>
              </w:rPr>
            </w:pPr>
            <w:r>
              <w:rPr>
                <w:rFonts w:ascii="Arial" w:cs="Arial" w:eastAsia="Arial" w:hAnsi="Arial"/>
                <w:sz w:val="18"/>
                <w:szCs w:val="18"/>
                <w:b w:val="1"/>
                <w:bCs w:val="1"/>
                <w:color w:val="auto"/>
              </w:rPr>
              <w:t>%</w:t>
            </w:r>
          </w:p>
        </w:tc>
      </w:tr>
      <w:tr>
        <w:trPr>
          <w:trHeight w:val="27"/>
        </w:trPr>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2"/>
        </w:trPr>
        <w:tc>
          <w:tcPr>
            <w:tcW w:w="352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158,731</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151,782</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4.6</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130,402</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142,307</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258"/>
        </w:trPr>
        <w:tc>
          <w:tcPr>
            <w:tcW w:w="3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28,329</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9,475</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18,854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199.0</w:t>
            </w:r>
          </w:p>
        </w:tc>
      </w:tr>
      <w:tr>
        <w:trPr>
          <w:trHeight w:val="594"/>
        </w:trPr>
        <w:tc>
          <w:tcPr>
            <w:tcW w:w="35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(9,001)</w:t>
            </w:r>
          </w:p>
        </w:tc>
        <w:tc>
          <w:tcPr>
            <w:tcW w:w="12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(9,823)</w:t>
            </w: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8.4</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1,054</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1,205</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258"/>
        </w:trPr>
        <w:tc>
          <w:tcPr>
            <w:tcW w:w="35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20,382</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857</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19,525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2,278.3</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4,848</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7,525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(281.1)</w:t>
            </w: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15,534</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3,534</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339.6</w:t>
            </w: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September 30, 2018, operating revenue increased $6.9 million, or 4.6%, compared with the three months ended September 30, 2017. Excluding the impact of adopting Topic 606, operating revenue increased approximately $11.5 million, or 7.6%, driven by the Wireless and Cable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September 30, 2018, operating expenses decreased approximately $11.9 million, or 8.4%, compared with the three months ended September 30, 2017. Excluding the impact of adopting Topic 606, operating expenses decreased approximately $2.2 million, or 1.6%, primarily due to the absence of acquisition, integration and migration costs related to the completion of the transformation of the nTelos network in 2017.</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Company's stock compensation expense was recorded in the Other operations. In prior years this expense was allocated among Wireless, Cable, Wireline and Other. Stock compensation expense for the three months ended September 30, 2018 was approximately $1.2 million compared with approximately $0.6 million for the three months ended September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September 30, 2018, interest expense decreased approximately $0.8 million, or 8.4%, compared with the three months ended September 30, 2017. The decrease in interest expense was primarily attributable to an amendment to the Credit Facility Agreement, that occurred during 2018, that reduced the base rate of the Credit Facility by 50 basis points, and a reduction in the outstanding principal of our credit facility, partially offset by the effect of increases in the London Interbank Offered Rate ("LIBOR").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three months ended September 30, 2018, other income, net decreased approximately $0.2 million, or 12.5%, compared with the three months ended September 30, 2017. The decrease in other income, net was primarily attributable to lower interest income derived from our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months ended September 30, 2018, income tax expense increased approximately $7.5 million, compared with the three months ended September 30, 2017. The increase was primarily attributable to growth in our income before taxes and was partially offset by reduction in the federal tax rate related to the 2017 Tax Act that was enacted during December 2017. The Company’s effective tax rate increased to 23.8% for the three months ended September 30, 2018, from a 312.4% tax benefit for the three months ended September 30, 2017. This was primarily due to the recognition of $2.8 million of excess tax benefits during 2017 that were derived from exercises of stock options and vesting of restricted stock. During the same period of 2018, the Company did not recognize any benefits.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 Compared with the Nine Months Ended September 30,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first nine months of 2018 and 2017 are summarized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40" w:type="dxa"/>
            <w:vAlign w:val="bottom"/>
          </w:tcPr>
          <w:p>
            <w:pPr>
              <w:spacing w:after="0"/>
              <w:rPr>
                <w:sz w:val="20"/>
                <w:szCs w:val="20"/>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66"/>
              <w:spacing w:after="0"/>
              <w:rPr>
                <w:sz w:val="20"/>
                <w:szCs w:val="20"/>
                <w:color w:val="auto"/>
              </w:rPr>
            </w:pPr>
            <w:r>
              <w:rPr>
                <w:rFonts w:ascii="Arial" w:cs="Arial" w:eastAsia="Arial" w:hAnsi="Arial"/>
                <w:sz w:val="18"/>
                <w:szCs w:val="18"/>
                <w:b w:val="1"/>
                <w:bCs w:val="1"/>
                <w:color w:val="auto"/>
              </w:rPr>
              <w:t>%</w:t>
            </w:r>
          </w:p>
        </w:tc>
      </w:tr>
      <w:tr>
        <w:trPr>
          <w:trHeight w:val="27"/>
        </w:trPr>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2"/>
        </w:trPr>
        <w:tc>
          <w:tcPr>
            <w:tcW w:w="352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469,370</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458,920</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2.3</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403,118</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430,520</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258"/>
        </w:trPr>
        <w:tc>
          <w:tcPr>
            <w:tcW w:w="3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66,252</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28,400</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37,852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133.3</w:t>
            </w:r>
          </w:p>
        </w:tc>
      </w:tr>
      <w:tr>
        <w:trPr>
          <w:trHeight w:val="594"/>
        </w:trPr>
        <w:tc>
          <w:tcPr>
            <w:tcW w:w="35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(27,184)</w:t>
            </w:r>
          </w:p>
        </w:tc>
        <w:tc>
          <w:tcPr>
            <w:tcW w:w="120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(28,312)</w:t>
            </w:r>
          </w:p>
        </w:tc>
        <w:tc>
          <w:tcPr>
            <w:tcW w:w="12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4.0</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2,882</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3,877</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r>
      <w:tr>
        <w:trPr>
          <w:trHeight w:val="258"/>
        </w:trPr>
        <w:tc>
          <w:tcPr>
            <w:tcW w:w="35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41,950</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3,965</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37,985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958.0</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10,207</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12,037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(657.8)</w:t>
            </w: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31,743</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5,795</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25,948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447.8</w:t>
            </w: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2018, operating revenue increased approximately $10.5 million, or 2.3%, compared with the nine months ended September 30, 2017. Excluding the impact of adopting Topic 606, operating revenue increased approximately $18.3 million, or 4.0%, driven by the Wireless and Cable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nine months ended September 30, 2018, operating expenses decreased approximately $27.4 million, or 6.4%, compared with the nine months ended September 30, 2017. Excluding the impact of adopting Topic 606, operating expenses decreased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approximately $6.7 million, or 1.5%, primarily due to the absence of acquisition, integration and migration costs related to the completion of the transformation of the nTelos network in 2017, partially offset by our investment in infrastructure in the Other operations necessary to support our growth.</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Company's stock compensation expense was recorded in the Other operations. In prior years this expense was allocated among Wireless, Cable, Wireline and Other. Stock compensation expense for the nine months ended September 30, 2018 was approximately $4.6 million compared with approximately $3.1 million for the nine months ended September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nine months ended September 30, 2018, interest expense decreased approximately $1.1 million, or 4.0%, compared with the nine months ended September 30, 2017. The decrease in interest expense was primarily attributable to an amendment to the Credit Facility Agreement that reduced the base rate of the Credit Facility by 50 basis points and a reduction in the outstanding principal of our credit facility, partially offset by the effect of increases in LIBOR.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nine months ended September 30, 2018, other income, net decreased approximately $1.0 million, or 25.7%, compared with the nine months ended September 30, 2017. The decrease in other income, net was primarily attributable to lower interest income derived from our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2018, income tax expense increased approximately $12.0 million compared with the nine months ended September 30, 2017. The increase is primarily attributable to growth in our income before taxes and was partially offset by a reduction in the federal tax rate related to the 2017 Tax Act that was enacted during December 2017. The Company’s effective tax rate increased to 24.3% for the nine months ended September 30, 2018 from a 46.2% tax benefit for the nine months ended September 30, 2017, primarily due to a reduction in share based compensation tax benefits recognized during the 2018 period.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Wireless earns revenue from Sprint for their postpaid and prepaid subscribers usage of our Wireless network in our Wireless network coverage area, net of customer credits, account write-offs and other billing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identify the impact of Topic 606 on the Company's Wireless operations for the three and nine months ended September 30, 2018:</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4"/>
          </w:tcPr>
          <w:p>
            <w:pPr>
              <w:jc w:val="center"/>
              <w:ind w:right="31"/>
              <w:spacing w:after="0"/>
              <w:rPr>
                <w:sz w:val="20"/>
                <w:szCs w:val="20"/>
                <w:color w:val="auto"/>
              </w:rPr>
            </w:pPr>
            <w:r>
              <w:rPr>
                <w:rFonts w:ascii="Arial" w:cs="Arial" w:eastAsia="Arial" w:hAnsi="Arial"/>
                <w:sz w:val="16"/>
                <w:szCs w:val="16"/>
                <w:b w:val="1"/>
                <w:bCs w:val="1"/>
                <w:color w:val="auto"/>
                <w:w w:val="92"/>
              </w:rPr>
              <w:t>Three Months Ended September 30, 2018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4"/>
          </w:tcPr>
          <w:p>
            <w:pPr>
              <w:jc w:val="center"/>
              <w:ind w:right="51"/>
              <w:spacing w:after="0"/>
              <w:rPr>
                <w:sz w:val="20"/>
                <w:szCs w:val="20"/>
                <w:color w:val="auto"/>
              </w:rPr>
            </w:pPr>
            <w:r>
              <w:rPr>
                <w:rFonts w:ascii="Arial" w:cs="Arial" w:eastAsia="Arial" w:hAnsi="Arial"/>
                <w:sz w:val="16"/>
                <w:szCs w:val="16"/>
                <w:b w:val="1"/>
                <w:bCs w:val="1"/>
                <w:color w:val="auto"/>
                <w:w w:val="95"/>
              </w:rPr>
              <w:t>Topic 606 Impact - WIRELESS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4"/>
              </w:rPr>
              <w:t>Prior to</w:t>
            </w:r>
          </w:p>
        </w:tc>
        <w:tc>
          <w:tcPr>
            <w:tcW w:w="12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Changes in</w:t>
            </w:r>
          </w:p>
        </w:tc>
        <w:tc>
          <w:tcPr>
            <w:tcW w:w="140" w:type="dxa"/>
            <w:vAlign w:val="bottom"/>
          </w:tcPr>
          <w:p>
            <w:pPr>
              <w:spacing w:after="0"/>
              <w:rPr>
                <w:sz w:val="18"/>
                <w:szCs w:val="18"/>
                <w:color w:val="auto"/>
              </w:rPr>
            </w:pPr>
          </w:p>
        </w:tc>
        <w:tc>
          <w:tcPr>
            <w:tcW w:w="206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w w:val="96"/>
              </w:rPr>
              <w:t>Equipment  Deferred Costs</w:t>
            </w:r>
          </w:p>
        </w:tc>
        <w:tc>
          <w:tcPr>
            <w:tcW w:w="1100" w:type="dxa"/>
            <w:vAlign w:val="bottom"/>
            <w:gridSpan w:val="2"/>
            <w:vMerge w:val="restart"/>
          </w:tcPr>
          <w:p>
            <w:pPr>
              <w:jc w:val="right"/>
              <w:ind w:right="31"/>
              <w:spacing w:after="0"/>
              <w:rPr>
                <w:sz w:val="20"/>
                <w:szCs w:val="20"/>
                <w:color w:val="auto"/>
              </w:rPr>
            </w:pPr>
            <w:r>
              <w:rPr>
                <w:rFonts w:ascii="Arial" w:cs="Arial" w:eastAsia="Arial" w:hAnsi="Arial"/>
                <w:sz w:val="16"/>
                <w:szCs w:val="16"/>
                <w:b w:val="1"/>
                <w:bCs w:val="1"/>
                <w:color w:val="auto"/>
              </w:rPr>
              <w:t>As Reported</w:t>
            </w:r>
          </w:p>
        </w:tc>
        <w:tc>
          <w:tcPr>
            <w:tcW w:w="0" w:type="dxa"/>
            <w:vAlign w:val="bottom"/>
          </w:tcPr>
          <w:p>
            <w:pPr>
              <w:spacing w:after="0"/>
              <w:rPr>
                <w:sz w:val="1"/>
                <w:szCs w:val="1"/>
                <w:color w:val="auto"/>
              </w:rPr>
            </w:pPr>
          </w:p>
        </w:tc>
      </w:tr>
      <w:tr>
        <w:trPr>
          <w:trHeight w:val="95"/>
        </w:trPr>
        <w:tc>
          <w:tcPr>
            <w:tcW w:w="250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Pr>
          <w:p>
            <w:pPr>
              <w:spacing w:after="0"/>
              <w:rPr>
                <w:sz w:val="8"/>
                <w:szCs w:val="8"/>
                <w:color w:val="auto"/>
              </w:rPr>
            </w:pPr>
          </w:p>
        </w:tc>
        <w:tc>
          <w:tcPr>
            <w:tcW w:w="98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6"/>
                <w:szCs w:val="16"/>
                <w:b w:val="1"/>
                <w:bCs w:val="1"/>
                <w:color w:val="auto"/>
                <w:w w:val="91"/>
              </w:rPr>
              <w:t>Adoption of</w:t>
            </w:r>
          </w:p>
        </w:tc>
        <w:tc>
          <w:tcPr>
            <w:tcW w:w="120" w:type="dxa"/>
            <w:vAlign w:val="bottom"/>
          </w:tcPr>
          <w:p>
            <w:pPr>
              <w:spacing w:after="0"/>
              <w:rPr>
                <w:sz w:val="8"/>
                <w:szCs w:val="8"/>
                <w:color w:val="auto"/>
              </w:rPr>
            </w:pPr>
          </w:p>
        </w:tc>
        <w:tc>
          <w:tcPr>
            <w:tcW w:w="100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90"/>
              </w:rPr>
              <w:t>Presentation</w:t>
            </w:r>
          </w:p>
        </w:tc>
        <w:tc>
          <w:tcPr>
            <w:tcW w:w="140" w:type="dxa"/>
            <w:vAlign w:val="bottom"/>
          </w:tcPr>
          <w:p>
            <w:pPr>
              <w:spacing w:after="0"/>
              <w:rPr>
                <w:sz w:val="8"/>
                <w:szCs w:val="8"/>
                <w:color w:val="auto"/>
              </w:rPr>
            </w:pPr>
          </w:p>
        </w:tc>
        <w:tc>
          <w:tcPr>
            <w:tcW w:w="2060" w:type="dxa"/>
            <w:vAlign w:val="bottom"/>
            <w:tcBorders>
              <w:right w:val="single" w:sz="8" w:color="auto"/>
            </w:tcBorders>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vMerge w:val="restart"/>
          </w:tcPr>
          <w:p>
            <w:pPr>
              <w:jc w:val="center"/>
              <w:ind w:right="331"/>
              <w:spacing w:after="0"/>
              <w:rPr>
                <w:sz w:val="20"/>
                <w:szCs w:val="20"/>
                <w:color w:val="auto"/>
              </w:rPr>
            </w:pPr>
            <w:r>
              <w:rPr>
                <w:rFonts w:ascii="Arial" w:cs="Arial" w:eastAsia="Arial" w:hAnsi="Arial"/>
                <w:sz w:val="16"/>
                <w:szCs w:val="16"/>
                <w:b w:val="1"/>
                <w:bCs w:val="1"/>
                <w:color w:val="auto"/>
                <w:w w:val="90"/>
              </w:rPr>
              <w:t>Revenue (2)</w:t>
            </w:r>
          </w:p>
        </w:tc>
        <w:tc>
          <w:tcPr>
            <w:tcW w:w="820" w:type="dxa"/>
            <w:vAlign w:val="bottom"/>
            <w:tcBorders>
              <w:right w:val="single" w:sz="8" w:color="auto"/>
            </w:tcBorders>
            <w:vMerge w:val="restart"/>
          </w:tcPr>
          <w:p>
            <w:pPr>
              <w:jc w:val="right"/>
              <w:ind w:right="371"/>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9"/>
                <w:szCs w:val="9"/>
                <w:color w:val="auto"/>
              </w:rPr>
            </w:pPr>
          </w:p>
        </w:tc>
        <w:tc>
          <w:tcPr>
            <w:tcW w:w="96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w w:val="94"/>
              </w:rPr>
              <w:t>09/30/2018</w:t>
            </w: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6"/>
                <w:szCs w:val="16"/>
                <w:b w:val="1"/>
                <w:bCs w:val="1"/>
                <w:color w:val="auto"/>
                <w:w w:val="89"/>
              </w:rPr>
              <w:t>Topic 606</w:t>
            </w:r>
          </w:p>
        </w:tc>
        <w:tc>
          <w:tcPr>
            <w:tcW w:w="120" w:type="dxa"/>
            <w:vAlign w:val="bottom"/>
          </w:tcPr>
          <w:p>
            <w:pPr>
              <w:spacing w:after="0"/>
              <w:rPr>
                <w:sz w:val="8"/>
                <w:szCs w:val="8"/>
                <w:color w:val="auto"/>
              </w:rPr>
            </w:pPr>
          </w:p>
        </w:tc>
        <w:tc>
          <w:tcPr>
            <w:tcW w:w="100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114,615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(23,174)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 $</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96,299</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Equipment revenue</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13,785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Tower and other revenue</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b w:val="1"/>
                <w:bCs w:val="1"/>
                <w:color w:val="auto"/>
              </w:rPr>
              <w:t>Total operating revenue</w:t>
            </w:r>
          </w:p>
        </w:tc>
        <w:tc>
          <w:tcPr>
            <w:tcW w:w="14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120,630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(23,174)</w:t>
            </w:r>
          </w:p>
        </w:tc>
        <w:tc>
          <w:tcPr>
            <w:tcW w:w="140" w:type="dxa"/>
            <w:vAlign w:val="bottom"/>
          </w:tcPr>
          <w:p>
            <w:pPr>
              <w:spacing w:after="0"/>
              <w:rPr>
                <w:sz w:val="20"/>
                <w:szCs w:val="20"/>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b w:val="1"/>
                <w:bCs w:val="1"/>
                <w:color w:val="auto"/>
              </w:rPr>
              <w:t>13,785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4,858</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116,099</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color w:val="auto"/>
              </w:rPr>
              <w:t>Cost of services</w:t>
            </w:r>
          </w:p>
        </w:tc>
        <w:tc>
          <w:tcPr>
            <w:tcW w:w="14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32,253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32,253</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7,774</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(6,619)</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13,785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Selling, general &amp; administrative</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27,746</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(16,555)</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30,363</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30,363</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4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98,136</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(23,174)</w:t>
            </w:r>
          </w:p>
        </w:tc>
        <w:tc>
          <w:tcPr>
            <w:tcW w:w="140" w:type="dxa"/>
            <w:vAlign w:val="bottom"/>
          </w:tcPr>
          <w:p>
            <w:pPr>
              <w:spacing w:after="0"/>
              <w:rPr>
                <w:sz w:val="20"/>
                <w:szCs w:val="20"/>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b w:val="1"/>
                <w:bCs w:val="1"/>
                <w:color w:val="auto"/>
              </w:rPr>
              <w:t>13,785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88,747</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22,494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 $</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4,858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27,352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4"/>
          </w:tcPr>
          <w:p>
            <w:pPr>
              <w:jc w:val="center"/>
              <w:ind w:left="453"/>
              <w:spacing w:after="0"/>
              <w:rPr>
                <w:sz w:val="20"/>
                <w:szCs w:val="20"/>
                <w:color w:val="auto"/>
              </w:rPr>
            </w:pPr>
            <w:r>
              <w:rPr>
                <w:rFonts w:ascii="Arial" w:cs="Arial" w:eastAsia="Arial" w:hAnsi="Arial"/>
                <w:sz w:val="16"/>
                <w:szCs w:val="16"/>
                <w:b w:val="1"/>
                <w:bCs w:val="1"/>
                <w:color w:val="auto"/>
                <w:w w:val="91"/>
              </w:rPr>
              <w:t>Nine Months Ended September 30, 2018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4"/>
          </w:tcPr>
          <w:p>
            <w:pPr>
              <w:jc w:val="center"/>
              <w:ind w:left="453"/>
              <w:spacing w:after="0"/>
              <w:rPr>
                <w:sz w:val="20"/>
                <w:szCs w:val="20"/>
                <w:color w:val="auto"/>
              </w:rPr>
            </w:pPr>
            <w:r>
              <w:rPr>
                <w:rFonts w:ascii="Arial" w:cs="Arial" w:eastAsia="Arial" w:hAnsi="Arial"/>
                <w:sz w:val="16"/>
                <w:szCs w:val="16"/>
                <w:b w:val="1"/>
                <w:bCs w:val="1"/>
                <w:color w:val="auto"/>
                <w:w w:val="95"/>
              </w:rPr>
              <w:t>Topic 606 Impact - WIRELESS</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 in thousands)</w:t>
            </w:r>
          </w:p>
        </w:tc>
        <w:tc>
          <w:tcPr>
            <w:tcW w:w="1420" w:type="dxa"/>
            <w:vAlign w:val="bottom"/>
            <w:tcBorders>
              <w:right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8"/>
              </w:rPr>
              <w:t>Prior to Adoption</w:t>
            </w:r>
          </w:p>
        </w:tc>
        <w:tc>
          <w:tcPr>
            <w:tcW w:w="14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Changes in</w:t>
            </w:r>
          </w:p>
        </w:tc>
        <w:tc>
          <w:tcPr>
            <w:tcW w:w="200" w:type="dxa"/>
            <w:vAlign w:val="bottom"/>
          </w:tcPr>
          <w:p>
            <w:pPr>
              <w:spacing w:after="0"/>
              <w:rPr>
                <w:sz w:val="18"/>
                <w:szCs w:val="18"/>
                <w:color w:val="auto"/>
              </w:rPr>
            </w:pPr>
          </w:p>
        </w:tc>
        <w:tc>
          <w:tcPr>
            <w:tcW w:w="118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Equipment</w:t>
            </w:r>
          </w:p>
        </w:tc>
        <w:tc>
          <w:tcPr>
            <w:tcW w:w="1460" w:type="dxa"/>
            <w:vAlign w:val="bottom"/>
            <w:tcBorders>
              <w:right w:val="single" w:sz="8" w:color="auto"/>
            </w:tcBorders>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6"/>
              </w:rPr>
              <w:t>Deferred Costs (3)</w:t>
            </w:r>
          </w:p>
        </w:tc>
        <w:tc>
          <w:tcPr>
            <w:tcW w:w="180" w:type="dxa"/>
            <w:vAlign w:val="bottom"/>
          </w:tcPr>
          <w:p>
            <w:pPr>
              <w:spacing w:after="0"/>
              <w:rPr>
                <w:sz w:val="18"/>
                <w:szCs w:val="18"/>
                <w:color w:val="auto"/>
              </w:rPr>
            </w:pPr>
          </w:p>
        </w:tc>
        <w:tc>
          <w:tcPr>
            <w:tcW w:w="122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As Reported</w:t>
            </w:r>
          </w:p>
        </w:tc>
        <w:tc>
          <w:tcPr>
            <w:tcW w:w="0" w:type="dxa"/>
            <w:vAlign w:val="bottom"/>
          </w:tcPr>
          <w:p>
            <w:pPr>
              <w:spacing w:after="0"/>
              <w:rPr>
                <w:sz w:val="1"/>
                <w:szCs w:val="1"/>
                <w:color w:val="auto"/>
              </w:rPr>
            </w:pPr>
          </w:p>
        </w:tc>
      </w:tr>
      <w:tr>
        <w:trPr>
          <w:trHeight w:val="102"/>
        </w:trPr>
        <w:tc>
          <w:tcPr>
            <w:tcW w:w="2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Borders>
              <w:right w:val="single" w:sz="8" w:color="auto"/>
            </w:tcBorders>
            <w:vMerge w:val="restart"/>
          </w:tcPr>
          <w:p>
            <w:pPr>
              <w:jc w:val="right"/>
              <w:ind w:right="211"/>
              <w:spacing w:after="0"/>
              <w:rPr>
                <w:sz w:val="20"/>
                <w:szCs w:val="20"/>
                <w:color w:val="auto"/>
              </w:rPr>
            </w:pPr>
            <w:r>
              <w:rPr>
                <w:rFonts w:ascii="Arial" w:cs="Arial" w:eastAsia="Arial" w:hAnsi="Arial"/>
                <w:sz w:val="16"/>
                <w:szCs w:val="16"/>
                <w:b w:val="1"/>
                <w:bCs w:val="1"/>
                <w:color w:val="auto"/>
                <w:w w:val="96"/>
              </w:rPr>
              <w:t>of Topic 606</w:t>
            </w:r>
          </w:p>
        </w:tc>
        <w:tc>
          <w:tcPr>
            <w:tcW w:w="140" w:type="dxa"/>
            <w:vAlign w:val="bottom"/>
          </w:tcPr>
          <w:p>
            <w:pPr>
              <w:spacing w:after="0"/>
              <w:rPr>
                <w:sz w:val="8"/>
                <w:szCs w:val="8"/>
                <w:color w:val="auto"/>
              </w:rPr>
            </w:pPr>
          </w:p>
        </w:tc>
        <w:tc>
          <w:tcPr>
            <w:tcW w:w="128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w w:val="90"/>
              </w:rPr>
              <w:t>Presentation (1)</w:t>
            </w:r>
          </w:p>
        </w:tc>
        <w:tc>
          <w:tcPr>
            <w:tcW w:w="200" w:type="dxa"/>
            <w:vAlign w:val="bottom"/>
          </w:tcPr>
          <w:p>
            <w:pPr>
              <w:spacing w:after="0"/>
              <w:rPr>
                <w:sz w:val="8"/>
                <w:szCs w:val="8"/>
                <w:color w:val="auto"/>
              </w:rPr>
            </w:pPr>
          </w:p>
        </w:tc>
        <w:tc>
          <w:tcPr>
            <w:tcW w:w="1180" w:type="dxa"/>
            <w:vAlign w:val="bottom"/>
            <w:vMerge w:val="restart"/>
          </w:tcPr>
          <w:p>
            <w:pPr>
              <w:jc w:val="center"/>
              <w:ind w:right="71"/>
              <w:spacing w:after="0"/>
              <w:rPr>
                <w:sz w:val="20"/>
                <w:szCs w:val="20"/>
                <w:color w:val="auto"/>
              </w:rPr>
            </w:pPr>
            <w:r>
              <w:rPr>
                <w:rFonts w:ascii="Arial" w:cs="Arial" w:eastAsia="Arial" w:hAnsi="Arial"/>
                <w:sz w:val="16"/>
                <w:szCs w:val="16"/>
                <w:b w:val="1"/>
                <w:bCs w:val="1"/>
                <w:color w:val="auto"/>
                <w:w w:val="90"/>
              </w:rPr>
              <w:t>Revenue (2)</w:t>
            </w:r>
          </w:p>
        </w:tc>
        <w:tc>
          <w:tcPr>
            <w:tcW w:w="1460" w:type="dxa"/>
            <w:vAlign w:val="bottom"/>
            <w:tcBorders>
              <w:right w:val="single" w:sz="8" w:color="auto"/>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09/30/2018</w:t>
            </w: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6"/>
                <w:szCs w:val="16"/>
                <w:color w:val="auto"/>
              </w:rPr>
              <w:t>Service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335,548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(64,069)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53"/>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8"/>
              </w:rPr>
              <w:t>12,675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284,154</w:t>
            </w:r>
          </w:p>
        </w:tc>
        <w:tc>
          <w:tcPr>
            <w:tcW w:w="0" w:type="dxa"/>
            <w:vAlign w:val="bottom"/>
          </w:tcPr>
          <w:p>
            <w:pPr>
              <w:spacing w:after="0"/>
              <w:rPr>
                <w:sz w:val="1"/>
                <w:szCs w:val="1"/>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6"/>
                <w:szCs w:val="16"/>
                <w:color w:val="auto"/>
              </w:rPr>
              <w:t>Equipment revenue</w:t>
            </w:r>
          </w:p>
        </w:tc>
        <w:tc>
          <w:tcPr>
            <w:tcW w:w="200" w:type="dxa"/>
            <w:vAlign w:val="bottom"/>
          </w:tcPr>
          <w:p>
            <w:pPr>
              <w:spacing w:after="0"/>
              <w:rPr>
                <w:sz w:val="23"/>
                <w:szCs w:val="23"/>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5,344</w:t>
            </w:r>
          </w:p>
        </w:tc>
        <w:tc>
          <w:tcPr>
            <w:tcW w:w="1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43,515</w:t>
            </w:r>
          </w:p>
        </w:tc>
        <w:tc>
          <w:tcPr>
            <w:tcW w:w="780" w:type="dxa"/>
            <w:vAlign w:val="bottom"/>
          </w:tcPr>
          <w:p>
            <w:pPr>
              <w:spacing w:after="0"/>
              <w:rPr>
                <w:sz w:val="23"/>
                <w:szCs w:val="23"/>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48,859</w:t>
            </w:r>
          </w:p>
        </w:tc>
        <w:tc>
          <w:tcPr>
            <w:tcW w:w="0" w:type="dxa"/>
            <w:vAlign w:val="bottom"/>
          </w:tcPr>
          <w:p>
            <w:pPr>
              <w:spacing w:after="0"/>
              <w:rPr>
                <w:sz w:val="1"/>
                <w:szCs w:val="1"/>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6"/>
                <w:szCs w:val="16"/>
                <w:color w:val="auto"/>
              </w:rPr>
              <w:t>Tower and other revenue</w:t>
            </w:r>
          </w:p>
        </w:tc>
        <w:tc>
          <w:tcPr>
            <w:tcW w:w="200" w:type="dxa"/>
            <w:vAlign w:val="bottom"/>
          </w:tcPr>
          <w:p>
            <w:pPr>
              <w:spacing w:after="0"/>
              <w:rPr>
                <w:sz w:val="23"/>
                <w:szCs w:val="23"/>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10,643</w:t>
            </w:r>
          </w:p>
        </w:tc>
        <w:tc>
          <w:tcPr>
            <w:tcW w:w="1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10,643</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6"/>
                <w:szCs w:val="16"/>
                <w:b w:val="1"/>
                <w:bCs w:val="1"/>
                <w:color w:val="auto"/>
              </w:rPr>
              <w:t>Total operating revenue</w:t>
            </w:r>
          </w:p>
        </w:tc>
        <w:tc>
          <w:tcPr>
            <w:tcW w:w="200" w:type="dxa"/>
            <w:vAlign w:val="bottom"/>
          </w:tcPr>
          <w:p>
            <w:pPr>
              <w:spacing w:after="0"/>
              <w:rPr>
                <w:sz w:val="20"/>
                <w:szCs w:val="20"/>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351,535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(64,069)</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43,515</w:t>
            </w:r>
          </w:p>
        </w:tc>
        <w:tc>
          <w:tcPr>
            <w:tcW w:w="780" w:type="dxa"/>
            <w:vAlign w:val="bottom"/>
          </w:tcPr>
          <w:p>
            <w:pPr>
              <w:spacing w:after="0"/>
              <w:rPr>
                <w:sz w:val="20"/>
                <w:szCs w:val="20"/>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12,675</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343,656</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6"/>
                <w:szCs w:val="16"/>
                <w:color w:val="auto"/>
              </w:rPr>
              <w:t>Cost of services</w:t>
            </w:r>
          </w:p>
        </w:tc>
        <w:tc>
          <w:tcPr>
            <w:tcW w:w="200" w:type="dxa"/>
            <w:vAlign w:val="bottom"/>
          </w:tcPr>
          <w:p>
            <w:pPr>
              <w:spacing w:after="0"/>
              <w:rPr>
                <w:sz w:val="20"/>
                <w:szCs w:val="20"/>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99,491</w:t>
            </w:r>
          </w:p>
        </w:tc>
        <w:tc>
          <w:tcPr>
            <w:tcW w:w="14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99,491</w:t>
            </w:r>
          </w:p>
        </w:tc>
        <w:tc>
          <w:tcPr>
            <w:tcW w:w="0" w:type="dxa"/>
            <w:vAlign w:val="bottom"/>
          </w:tcPr>
          <w:p>
            <w:pPr>
              <w:spacing w:after="0"/>
              <w:rPr>
                <w:sz w:val="1"/>
                <w:szCs w:val="1"/>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3"/>
                <w:szCs w:val="23"/>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20,058</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(17,824)</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43,515</w:t>
            </w:r>
          </w:p>
        </w:tc>
        <w:tc>
          <w:tcPr>
            <w:tcW w:w="780" w:type="dxa"/>
            <w:vAlign w:val="bottom"/>
          </w:tcPr>
          <w:p>
            <w:pPr>
              <w:spacing w:after="0"/>
              <w:rPr>
                <w:sz w:val="23"/>
                <w:szCs w:val="23"/>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45,749</w:t>
            </w:r>
          </w:p>
        </w:tc>
        <w:tc>
          <w:tcPr>
            <w:tcW w:w="0" w:type="dxa"/>
            <w:vAlign w:val="bottom"/>
          </w:tcPr>
          <w:p>
            <w:pPr>
              <w:spacing w:after="0"/>
              <w:rPr>
                <w:sz w:val="1"/>
                <w:szCs w:val="1"/>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6"/>
                <w:szCs w:val="16"/>
                <w:color w:val="auto"/>
              </w:rPr>
              <w:t>Selling, general &amp; administrative</w:t>
            </w:r>
          </w:p>
        </w:tc>
        <w:tc>
          <w:tcPr>
            <w:tcW w:w="200" w:type="dxa"/>
            <w:vAlign w:val="bottom"/>
          </w:tcPr>
          <w:p>
            <w:pPr>
              <w:spacing w:after="0"/>
              <w:rPr>
                <w:sz w:val="23"/>
                <w:szCs w:val="23"/>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81,938</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(46,245)</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35,693</w:t>
            </w:r>
          </w:p>
        </w:tc>
        <w:tc>
          <w:tcPr>
            <w:tcW w:w="0" w:type="dxa"/>
            <w:vAlign w:val="bottom"/>
          </w:tcPr>
          <w:p>
            <w:pPr>
              <w:spacing w:after="0"/>
              <w:rPr>
                <w:sz w:val="1"/>
                <w:szCs w:val="1"/>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3"/>
                <w:szCs w:val="23"/>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95,853</w:t>
            </w:r>
          </w:p>
        </w:tc>
        <w:tc>
          <w:tcPr>
            <w:tcW w:w="1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95,853</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6"/>
                <w:szCs w:val="16"/>
                <w:b w:val="1"/>
                <w:bCs w:val="1"/>
                <w:color w:val="auto"/>
              </w:rPr>
              <w:t>Total operating expenses</w:t>
            </w:r>
          </w:p>
        </w:tc>
        <w:tc>
          <w:tcPr>
            <w:tcW w:w="200" w:type="dxa"/>
            <w:vAlign w:val="bottom"/>
          </w:tcPr>
          <w:p>
            <w:pPr>
              <w:spacing w:after="0"/>
              <w:rPr>
                <w:sz w:val="20"/>
                <w:szCs w:val="20"/>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297,340</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(64,069)</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43,515</w:t>
            </w:r>
          </w:p>
        </w:tc>
        <w:tc>
          <w:tcPr>
            <w:tcW w:w="780" w:type="dxa"/>
            <w:vAlign w:val="bottom"/>
          </w:tcPr>
          <w:p>
            <w:pPr>
              <w:spacing w:after="0"/>
              <w:rPr>
                <w:sz w:val="20"/>
                <w:szCs w:val="20"/>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276,786</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54,195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12,675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66,870</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1"/>
                <w:szCs w:val="11"/>
                <w:color w:val="auto"/>
                <w:w w:val="88"/>
              </w:rPr>
              <w:t>______________________________________________________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45"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for both postpaid and prepaid, and to provide on-going support to their prepaid customers in our territory were historically recorded as expense when incurred. Under Topic 606, these amounts represent consideration payable to our customer, Sprint, and are recorded as a reduction of revenue. In 2017, these amounts were approximately $44.8 million for the postpaid national commissions, previously recorded in selling, general and administrative, $18.7 million for national device costs previously recorded in cost of goods and services, and $16.9 million for the on-going service to Sprint's prepaid customers, previously recorded in selling, general and administrative.</w:t>
      </w:r>
    </w:p>
    <w:p>
      <w:pPr>
        <w:spacing w:after="0" w:line="138" w:lineRule="exact"/>
        <w:rPr>
          <w:rFonts w:ascii="Arial" w:cs="Arial" w:eastAsia="Arial" w:hAnsi="Arial"/>
          <w:sz w:val="14"/>
          <w:szCs w:val="14"/>
          <w:color w:val="auto"/>
        </w:rPr>
      </w:pPr>
    </w:p>
    <w:p>
      <w:pPr>
        <w:ind w:left="660" w:hanging="328"/>
        <w:spacing w:after="0" w:line="273"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Costs incurred by the Company for the sale of devices under Sprint’s device financing and lease programs were previously recorded net against revenue. Under Topic 606, the revenue and related costs from device sales are recorded gross. These amounts were approximately $63.8 million in 2017.</w:t>
      </w:r>
    </w:p>
    <w:p>
      <w:pPr>
        <w:spacing w:after="0" w:line="119" w:lineRule="exact"/>
        <w:rPr>
          <w:rFonts w:ascii="Arial" w:cs="Arial" w:eastAsia="Arial" w:hAnsi="Arial"/>
          <w:sz w:val="14"/>
          <w:szCs w:val="14"/>
          <w:color w:val="auto"/>
        </w:rPr>
      </w:pPr>
    </w:p>
    <w:p>
      <w:pPr>
        <w:ind w:left="660" w:hanging="328"/>
        <w:spacing w:after="0" w:line="257"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which historically have been expensed when incurred, are deferred and amortized against revenue over the expected period of benefit of approximately 21 to 53 months. The deferred balance as of September 30, 2018 is approximately $71.9 million and is classified on the balance sheet as current and non-current assets, as applicable.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our amended affiliate agreement, Sprint agreed to waive the Management Fees charged on both postpaid and prepaid revenue, up to approximately $4.2 million per month, until the total amount waived reaches approximately $255.6 million, which is expected to occur in 2022. The cash flow savings of the waived management fee waiver has been incorporated into the fair value of the affiliate contract expansion intangible, which is reduced, in part, as credits are received from Sprint.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indicate selected operating statistics of Wireless, including Sprint subscribers: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 2018 (3)</w:t>
            </w:r>
          </w:p>
        </w:tc>
        <w:tc>
          <w:tcPr>
            <w:tcW w:w="210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 2017 (4)</w:t>
            </w:r>
          </w:p>
        </w:tc>
        <w:tc>
          <w:tcPr>
            <w:tcW w:w="1980" w:type="dxa"/>
            <w:vAlign w:val="bottom"/>
          </w:tcPr>
          <w:p>
            <w:pPr>
              <w:jc w:val="right"/>
              <w:ind w:right="111"/>
              <w:spacing w:after="0"/>
              <w:rPr>
                <w:sz w:val="20"/>
                <w:szCs w:val="20"/>
                <w:color w:val="auto"/>
              </w:rPr>
            </w:pPr>
            <w:r>
              <w:rPr>
                <w:rFonts w:ascii="Arial" w:cs="Arial" w:eastAsia="Arial" w:hAnsi="Arial"/>
                <w:sz w:val="16"/>
                <w:szCs w:val="16"/>
                <w:b w:val="1"/>
                <w:bCs w:val="1"/>
                <w:color w:val="auto"/>
              </w:rPr>
              <w:t>September 30, 2017 (4)</w:t>
            </w:r>
          </w:p>
        </w:tc>
      </w:tr>
      <w:tr>
        <w:trPr>
          <w:trHeight w:val="33"/>
        </w:trPr>
        <w:tc>
          <w:tcPr>
            <w:tcW w:w="49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Retail PCS subscribers - postpaid</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785,537</w:t>
            </w:r>
          </w:p>
        </w:tc>
        <w:tc>
          <w:tcPr>
            <w:tcW w:w="120" w:type="dxa"/>
            <w:vAlign w:val="bottom"/>
          </w:tcPr>
          <w:p>
            <w:pPr>
              <w:spacing w:after="0"/>
              <w:rPr>
                <w:sz w:val="20"/>
                <w:szCs w:val="20"/>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736,597</w:t>
            </w:r>
          </w:p>
        </w:tc>
        <w:tc>
          <w:tcPr>
            <w:tcW w:w="120" w:type="dxa"/>
            <w:vAlign w:val="bottom"/>
          </w:tcPr>
          <w:p>
            <w:pPr>
              <w:spacing w:after="0"/>
              <w:rPr>
                <w:sz w:val="20"/>
                <w:szCs w:val="20"/>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727,954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Retail PCS subscribers - prepaid (1)</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255,462</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225,822</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224,609</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PCS market POPS (000) (2)</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7,024</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6,047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PCS covered POP (000) (2)</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5,157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CDMA base stations (sites)</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1,544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Towers owned</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201</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Non-affiliate cell site leases</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192</w:t>
            </w:r>
          </w:p>
        </w:tc>
      </w:tr>
      <w:tr>
        <w:trPr>
          <w:trHeight w:val="142"/>
        </w:trPr>
        <w:tc>
          <w:tcPr>
            <w:tcW w:w="492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r>
    </w:tbl>
    <w:p>
      <w:pPr>
        <w:ind w:left="660" w:hanging="328"/>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September 2017, the Company is no longer including Lifeline subscribers to be consistent with Sprint's policy. Historical customer counts have been adjusted accordingly.</w:t>
      </w:r>
    </w:p>
    <w:p>
      <w:pPr>
        <w:spacing w:after="0" w:line="12" w:lineRule="exact"/>
        <w:rPr>
          <w:rFonts w:ascii="Arial" w:cs="Arial" w:eastAsia="Arial" w:hAnsi="Arial"/>
          <w:sz w:val="13"/>
          <w:szCs w:val="13"/>
          <w:color w:val="auto"/>
        </w:rPr>
      </w:pPr>
    </w:p>
    <w:p>
      <w:pPr>
        <w:jc w:val="both"/>
        <w:ind w:left="660" w:hanging="328"/>
        <w:spacing w:after="0" w:line="241"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Market POPS are those within a market area which we are authorized to serve under our Sprint PCS affiliate agreements, and Covered POPS are those covered by our network. As of December 31, 2017, the data source for POPS is U.S. census data. Historical periods previously referred to other third party population data and have been recast to refer to U.S. census data.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Beginning February 1, 2018 includes Richmond Expansion Area.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Beginning April 6, 2017 includes Parkersburg Expansion Area.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2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3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160" w:type="dxa"/>
            <w:vAlign w:val="bottom"/>
          </w:tcPr>
          <w:p>
            <w:pPr>
              <w:spacing w:after="0"/>
              <w:rPr>
                <w:sz w:val="20"/>
                <w:szCs w:val="20"/>
                <w:color w:val="auto"/>
              </w:rPr>
            </w:pPr>
          </w:p>
        </w:tc>
        <w:tc>
          <w:tcPr>
            <w:tcW w:w="218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41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Gross PCS subscriber additions - postpaid</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48,111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43,320</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135,817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122,429</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Net PCS subscriber additions (losses) - postpaid</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(4,710)</w:t>
            </w:r>
          </w:p>
        </w:tc>
        <w:tc>
          <w:tcPr>
            <w:tcW w:w="100" w:type="dxa"/>
            <w:vAlign w:val="bottom"/>
          </w:tcPr>
          <w:p>
            <w:pPr>
              <w:spacing w:after="0"/>
              <w:rPr>
                <w:sz w:val="23"/>
                <w:szCs w:val="23"/>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48,940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5,392</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Gross PCS subscriber additions - prepaid (1)</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38,486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37,653</w:t>
            </w:r>
          </w:p>
        </w:tc>
        <w:tc>
          <w:tcPr>
            <w:tcW w:w="100" w:type="dxa"/>
            <w:vAlign w:val="bottom"/>
          </w:tcPr>
          <w:p>
            <w:pPr>
              <w:spacing w:after="0"/>
              <w:rPr>
                <w:sz w:val="23"/>
                <w:szCs w:val="23"/>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112,437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112,201</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Net PCS subscriber additions (losses) - prepaid (1)</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3"/>
                <w:szCs w:val="23"/>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29,640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17,937</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PCS average monthly retail churn % - postpaid</w:t>
            </w:r>
          </w:p>
        </w:tc>
        <w:tc>
          <w:tcPr>
            <w:tcW w:w="15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PCS average monthly retail churn % - prepaid (1)</w:t>
            </w:r>
          </w:p>
        </w:tc>
        <w:tc>
          <w:tcPr>
            <w:tcW w:w="15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142"/>
        </w:trPr>
        <w:tc>
          <w:tcPr>
            <w:tcW w:w="41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r>
    </w:tbl>
    <w:p>
      <w:pPr>
        <w:ind w:left="66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September 2017, the Company is no longer including Lifeline subscribers to be consistent with Sprint's policy. Historical customer counts and churn % have been adjusted accordingly.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subscriber statistics shown above, excluding gross additions, include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February 1, 2018</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April 6, 2017</w:t>
            </w:r>
          </w:p>
        </w:tc>
        <w:tc>
          <w:tcPr>
            <w:tcW w:w="196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6, 2016</w:t>
            </w:r>
          </w:p>
        </w:tc>
      </w:tr>
      <w:tr>
        <w:trPr>
          <w:trHeight w:val="27"/>
        </w:trPr>
        <w:tc>
          <w:tcPr>
            <w:tcW w:w="43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8"/>
        </w:trPr>
        <w:tc>
          <w:tcPr>
            <w:tcW w:w="430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Richmond Expansion</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Parkersburg Expansion</w:t>
            </w:r>
          </w:p>
        </w:tc>
        <w:tc>
          <w:tcPr>
            <w:tcW w:w="1960" w:type="dxa"/>
            <w:vAlign w:val="bottom"/>
          </w:tcPr>
          <w:p>
            <w:pPr>
              <w:spacing w:after="0"/>
              <w:rPr>
                <w:sz w:val="18"/>
                <w:szCs w:val="18"/>
                <w:color w:val="auto"/>
              </w:rPr>
            </w:pPr>
          </w:p>
        </w:tc>
      </w:tr>
      <w:tr>
        <w:trPr>
          <w:trHeight w:val="234"/>
        </w:trPr>
        <w:tc>
          <w:tcPr>
            <w:tcW w:w="4300" w:type="dxa"/>
            <w:vAlign w:val="bottom"/>
          </w:tcPr>
          <w:p>
            <w:pPr>
              <w:spacing w:after="0"/>
              <w:rPr>
                <w:sz w:val="20"/>
                <w:szCs w:val="20"/>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Area</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Area</w:t>
            </w:r>
          </w:p>
        </w:tc>
        <w:tc>
          <w:tcPr>
            <w:tcW w:w="1960" w:type="dxa"/>
            <w:vAlign w:val="bottom"/>
          </w:tcPr>
          <w:p>
            <w:pPr>
              <w:jc w:val="right"/>
              <w:ind w:right="430"/>
              <w:spacing w:after="0"/>
              <w:rPr>
                <w:sz w:val="20"/>
                <w:szCs w:val="20"/>
                <w:color w:val="auto"/>
              </w:rPr>
            </w:pPr>
            <w:r>
              <w:rPr>
                <w:rFonts w:ascii="Arial" w:cs="Arial" w:eastAsia="Arial" w:hAnsi="Arial"/>
                <w:sz w:val="18"/>
                <w:szCs w:val="18"/>
                <w:b w:val="1"/>
                <w:bCs w:val="1"/>
                <w:color w:val="auto"/>
              </w:rPr>
              <w:t>nTelos Area</w:t>
            </w:r>
          </w:p>
        </w:tc>
      </w:tr>
      <w:tr>
        <w:trPr>
          <w:trHeight w:val="27"/>
        </w:trPr>
        <w:tc>
          <w:tcPr>
            <w:tcW w:w="43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PCS subscribers - postpaid</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38,343</w:t>
            </w:r>
          </w:p>
        </w:tc>
        <w:tc>
          <w:tcPr>
            <w:tcW w:w="1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19,067</w:t>
            </w:r>
          </w:p>
        </w:tc>
        <w:tc>
          <w:tcPr>
            <w:tcW w:w="120" w:type="dxa"/>
            <w:vAlign w:val="bottom"/>
          </w:tcPr>
          <w:p>
            <w:pPr>
              <w:spacing w:after="0"/>
              <w:rPr>
                <w:sz w:val="20"/>
                <w:szCs w:val="20"/>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404,965</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PCS subscribers - prepaid (1)</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15,691</w:t>
            </w:r>
          </w:p>
        </w:tc>
        <w:tc>
          <w:tcPr>
            <w:tcW w:w="1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154,944</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Acquired PCS market POPS (000)</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3,099</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Acquired PCS covered POPS (000)</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2,298</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Acquired CDMA base stations (sites) (2)</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Towers</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Non-affiliate cell site leases</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142"/>
        </w:trPr>
        <w:tc>
          <w:tcPr>
            <w:tcW w:w="430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r>
    </w:tbl>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Lifeline subscribers.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September 30, 2018 we have shut down 107 overlap sites associated with the nTelos Area.</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with the Three Months Ended September 30, 2017</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7"/>
                <w:szCs w:val="17"/>
                <w:color w:val="auto"/>
              </w:rPr>
            </w:pPr>
          </w:p>
        </w:tc>
      </w:t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Pr>
          <w:p>
            <w:pPr>
              <w:spacing w:after="0"/>
              <w:rPr>
                <w:sz w:val="18"/>
                <w:szCs w:val="18"/>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22"/>
                <w:szCs w:val="22"/>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22"/>
                <w:szCs w:val="22"/>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 of Revenue</w:t>
            </w: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Wireless operating revenue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Wireless service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96,299</w:t>
            </w:r>
          </w:p>
        </w:tc>
        <w:tc>
          <w:tcPr>
            <w:tcW w:w="1060" w:type="dxa"/>
            <w:vAlign w:val="bottom"/>
          </w:tcPr>
          <w:p>
            <w:pPr>
              <w:jc w:val="right"/>
              <w:spacing w:after="0"/>
              <w:rPr>
                <w:sz w:val="20"/>
                <w:szCs w:val="20"/>
                <w:color w:val="auto"/>
              </w:rPr>
            </w:pPr>
            <w:r>
              <w:rPr>
                <w:rFonts w:ascii="Arial" w:cs="Arial" w:eastAsia="Arial" w:hAnsi="Arial"/>
                <w:sz w:val="14"/>
                <w:szCs w:val="14"/>
                <w:color w:val="auto"/>
              </w:rPr>
              <w:t>82.9</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107,395</w:t>
            </w:r>
          </w:p>
        </w:tc>
        <w:tc>
          <w:tcPr>
            <w:tcW w:w="1040" w:type="dxa"/>
            <w:vAlign w:val="bottom"/>
          </w:tcPr>
          <w:p>
            <w:pPr>
              <w:jc w:val="right"/>
              <w:spacing w:after="0"/>
              <w:rPr>
                <w:sz w:val="20"/>
                <w:szCs w:val="20"/>
                <w:color w:val="auto"/>
              </w:rPr>
            </w:pPr>
            <w:r>
              <w:rPr>
                <w:rFonts w:ascii="Arial" w:cs="Arial" w:eastAsia="Arial" w:hAnsi="Arial"/>
                <w:sz w:val="14"/>
                <w:szCs w:val="14"/>
                <w:color w:val="auto"/>
              </w:rPr>
              <w:t>95.5</w:t>
            </w: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Tower lease revenue</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2,902</w:t>
            </w: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2,933</w:t>
            </w: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15,666</w:t>
            </w:r>
          </w:p>
        </w:tc>
        <w:tc>
          <w:tcPr>
            <w:tcW w:w="106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1,742</w:t>
            </w: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wireless operating revenue</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116,099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112,505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Wireless operating expenses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32,253</w:t>
            </w:r>
          </w:p>
        </w:tc>
        <w:tc>
          <w:tcPr>
            <w:tcW w:w="106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33,825</w:t>
            </w:r>
          </w:p>
        </w:tc>
        <w:tc>
          <w:tcPr>
            <w:tcW w:w="1040" w:type="dxa"/>
            <w:vAlign w:val="bottom"/>
          </w:tcPr>
          <w:p>
            <w:pPr>
              <w:jc w:val="right"/>
              <w:spacing w:after="0"/>
              <w:rPr>
                <w:sz w:val="20"/>
                <w:szCs w:val="20"/>
                <w:color w:val="auto"/>
              </w:rPr>
            </w:pPr>
            <w:r>
              <w:rPr>
                <w:rFonts w:ascii="Arial" w:cs="Arial" w:eastAsia="Arial" w:hAnsi="Arial"/>
                <w:sz w:val="14"/>
                <w:szCs w:val="14"/>
                <w:color w:val="auto"/>
              </w:rPr>
              <w:t>30.1</w:t>
            </w: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14,940</w:t>
            </w:r>
          </w:p>
        </w:tc>
        <w:tc>
          <w:tcPr>
            <w:tcW w:w="106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7,216</w:t>
            </w: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11,191</w:t>
            </w:r>
          </w:p>
        </w:tc>
        <w:tc>
          <w:tcPr>
            <w:tcW w:w="106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30,099</w:t>
            </w:r>
          </w:p>
        </w:tc>
        <w:tc>
          <w:tcPr>
            <w:tcW w:w="104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Acquisition, integration and migration expenses</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1,691</w:t>
            </w: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30,363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32,929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wireless operating expenses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88,747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105,760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r>
      <w:tr>
        <w:trPr>
          <w:trHeight w:val="250"/>
        </w:trPr>
        <w:tc>
          <w:tcPr>
            <w:tcW w:w="4880" w:type="dxa"/>
            <w:vAlign w:val="bottom"/>
          </w:tcPr>
          <w:p>
            <w:pPr>
              <w:spacing w:after="0"/>
              <w:rPr>
                <w:sz w:val="20"/>
                <w:szCs w:val="20"/>
                <w:color w:val="auto"/>
              </w:rPr>
            </w:pPr>
            <w:r>
              <w:rPr>
                <w:rFonts w:ascii="Arial" w:cs="Arial" w:eastAsia="Arial" w:hAnsi="Arial"/>
                <w:sz w:val="16"/>
                <w:szCs w:val="16"/>
                <w:color w:val="auto"/>
              </w:rPr>
              <w:t>Wireless operating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27,352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6,745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1355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7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2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r>
      <w:tr>
        <w:trPr>
          <w:trHeight w:val="33"/>
        </w:trPr>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22"/>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(11,096)</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70"/>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0"/>
        </w:trPr>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13,924</w:t>
            </w:r>
          </w:p>
        </w:tc>
        <w:tc>
          <w:tcPr>
            <w:tcW w:w="100" w:type="dxa"/>
            <w:vAlign w:val="bottom"/>
          </w:tcPr>
          <w:p>
            <w:pPr>
              <w:spacing w:after="0"/>
              <w:rPr>
                <w:sz w:val="23"/>
                <w:szCs w:val="23"/>
                <w:color w:val="auto"/>
              </w:rPr>
            </w:pPr>
          </w:p>
        </w:tc>
        <w:tc>
          <w:tcPr>
            <w:tcW w:w="1020" w:type="dxa"/>
            <w:vAlign w:val="bottom"/>
          </w:tcPr>
          <w:p>
            <w:pPr>
              <w:jc w:val="right"/>
              <w:ind w:right="27"/>
              <w:spacing w:after="0"/>
              <w:rPr>
                <w:sz w:val="20"/>
                <w:szCs w:val="20"/>
                <w:color w:val="auto"/>
              </w:rPr>
            </w:pPr>
            <w:r>
              <w:rPr>
                <w:rFonts w:ascii="Arial" w:cs="Arial" w:eastAsia="Arial" w:hAnsi="Arial"/>
                <w:sz w:val="14"/>
                <w:szCs w:val="14"/>
                <w:color w:val="auto"/>
              </w:rPr>
              <w:t>799.3</w:t>
            </w:r>
          </w:p>
        </w:tc>
      </w:tr>
      <w:tr>
        <w:trPr>
          <w:trHeight w:val="276"/>
        </w:trPr>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183.2</w:t>
            </w:r>
          </w:p>
        </w:tc>
      </w:tr>
      <w:tr>
        <w:trPr>
          <w:trHeight w:val="250"/>
        </w:trPr>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3,594</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3.2</w:t>
            </w:r>
          </w:p>
        </w:tc>
      </w:tr>
      <w:tr>
        <w:trPr>
          <w:trHeight w:val="528"/>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0"/>
        </w:trPr>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7,724</w:t>
            </w:r>
          </w:p>
        </w:tc>
        <w:tc>
          <w:tcPr>
            <w:tcW w:w="100" w:type="dxa"/>
            <w:vAlign w:val="bottom"/>
          </w:tcPr>
          <w:p>
            <w:pPr>
              <w:spacing w:after="0"/>
              <w:rPr>
                <w:sz w:val="23"/>
                <w:szCs w:val="23"/>
                <w:color w:val="auto"/>
              </w:rPr>
            </w:pPr>
          </w:p>
        </w:tc>
        <w:tc>
          <w:tcPr>
            <w:tcW w:w="1020" w:type="dxa"/>
            <w:vAlign w:val="bottom"/>
          </w:tcPr>
          <w:p>
            <w:pPr>
              <w:jc w:val="right"/>
              <w:ind w:right="27"/>
              <w:spacing w:after="0"/>
              <w:rPr>
                <w:sz w:val="20"/>
                <w:szCs w:val="20"/>
                <w:color w:val="auto"/>
              </w:rPr>
            </w:pPr>
            <w:r>
              <w:rPr>
                <w:rFonts w:ascii="Arial" w:cs="Arial" w:eastAsia="Arial" w:hAnsi="Arial"/>
                <w:sz w:val="14"/>
                <w:szCs w:val="14"/>
                <w:color w:val="auto"/>
              </w:rPr>
              <w:t>107.0</w:t>
            </w:r>
          </w:p>
        </w:tc>
      </w:tr>
      <w:tr>
        <w:trPr>
          <w:trHeight w:val="270"/>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(18,908)</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(62.8)</w:t>
            </w:r>
          </w:p>
        </w:tc>
      </w:tr>
      <w:tr>
        <w:trPr>
          <w:trHeight w:val="270"/>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76"/>
        </w:trPr>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250"/>
        </w:trPr>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(17,013)</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290"/>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20,607</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305.5</w:t>
            </w:r>
          </w:p>
        </w:tc>
      </w:tr>
    </w:tbl>
    <w:p>
      <w:pPr>
        <w:spacing w:after="0" w:line="198" w:lineRule="exact"/>
        <w:rPr>
          <w:sz w:val="20"/>
          <w:szCs w:val="20"/>
          <w:color w:val="auto"/>
        </w:rPr>
      </w:pPr>
    </w:p>
    <w:p>
      <w:pPr>
        <w:sectPr>
          <w:pgSz w:w="11900" w:h="16838" w:orient="portrait"/>
          <w:cols w:equalWidth="0" w:num="2">
            <w:col w:w="9180" w:space="100"/>
            <w:col w:w="2140"/>
          </w:cols>
          <w:pgMar w:left="240" w:top="125" w:right="239" w:bottom="1440" w:gutter="0" w:footer="0" w:header="0"/>
        </w:sectPr>
      </w:pPr>
    </w:p>
    <w:p>
      <w:pPr>
        <w:spacing w:after="0"/>
        <w:rPr>
          <w:sz w:val="20"/>
          <w:szCs w:val="20"/>
          <w:color w:val="auto"/>
        </w:rPr>
      </w:pPr>
      <w:r>
        <w:rPr>
          <w:rFonts w:ascii="Arial" w:cs="Arial" w:eastAsia="Arial" w:hAnsi="Arial"/>
          <w:sz w:val="18"/>
          <w:szCs w:val="18"/>
          <w:b w:val="1"/>
          <w:bCs w:val="1"/>
          <w:color w:val="auto"/>
        </w:rPr>
        <w:t>Operating Revenue</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During the three months ended September 30, 2018, wireless operating revenue increased approximately $3.6 million, or 3.2%, compared with the three months ended September 30, 2017. Excluding the impact of adopting Topic 606, wireless operating revenue increased approximately $8.1 million, or 7.2%. This increase was driven by growth in postpaid and prepaid PCS subscribers, improvements in PCS average monthly churn, an increase in prepaid average revenue per subscriber, and was partially offset by a decline in postpaid average revenue per subscriber primarily related to promotions and discounts.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adoption of Topic 606 and in the three months ended September 30, 2018, wireless service revenue was reduced by approximately $23.2 million of expenses payable to our customer, Sprint, for the reimbursement of costs incurred for national sales channel commissions and device costs, and to provide ongoing support to Sprint's prepaid customers in our territory. Commissions, device costs and costs for ongoing support of Sprint's prepaid customers were previously recorded as operating expenses. Additionally, we recorded approximately $13.8 million of equipment revenue and cost of goods sold for the sale of devices under Sprint’s device financing and lease programs. Prior to the adoption of Topic 606, equipment costs were netted and presented within equipment revenue.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80" w:type="dxa"/>
            <w:vAlign w:val="bottom"/>
            <w:gridSpan w:val="2"/>
          </w:tcPr>
          <w:p>
            <w:pPr>
              <w:spacing w:after="0"/>
              <w:rPr>
                <w:sz w:val="20"/>
                <w:szCs w:val="20"/>
                <w:color w:val="auto"/>
              </w:rPr>
            </w:pPr>
            <w:r>
              <w:rPr>
                <w:rFonts w:ascii="Arial" w:cs="Arial" w:eastAsia="Arial" w:hAnsi="Arial"/>
                <w:sz w:val="18"/>
                <w:szCs w:val="18"/>
                <w:color w:val="auto"/>
              </w:rPr>
              <w:t>The table below provides additional detail for Wireless service revenue.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6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color w:val="auto"/>
              </w:rPr>
              <w:t>Wireless service revenue: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Postpaid billings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96,813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94,013</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contract and other costs (3)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Management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Net service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postpaid service revenue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75,997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78,681</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8"/>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Prepaid billings (2)</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28,460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24,155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4,305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contract and other costs (3)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(13,594)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Sprint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58"/>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Total prepaid service revenue</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13,071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76"/>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Travel and other revenue (2)</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7,231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6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96,299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107,395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right="20" w:hanging="648"/>
        <w:spacing w:after="0" w:line="241" w:lineRule="auto"/>
        <w:tabs>
          <w:tab w:leader="none" w:pos="6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ind w:left="980" w:hanging="648"/>
        <w:spacing w:after="0" w:line="241" w:lineRule="auto"/>
        <w:tabs>
          <w:tab w:leader="none" w:pos="6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includes Lifeline subscribers revenue within travel and other revenue to be consistent with Sprint. The above table reflects the reclassification of the related Assurance Wireless prepaid revenue from prepaid gross billings to travel and other revenue.</w:t>
      </w:r>
    </w:p>
    <w:p>
      <w:pPr>
        <w:ind w:left="980" w:hanging="648"/>
        <w:spacing w:after="0" w:line="248" w:lineRule="auto"/>
        <w:tabs>
          <w:tab w:leader="none" w:pos="6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Due to the adoption of Topic 606, costs reimbursed to Sprint for commission and acquisition cost incurred in their national sales channel are recorded as a reduction of revenue and amortized over the period of benefit. Additionally, costs reimbursed to Sprint for the support of their prepaid customer base are recorded as a reduction of revenue. These costs were previously recorded in cost of goods sold, and selling, general and administrative.</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decline in postpaid service revenue during the three months ended September 30, 2018, was primarily the result of the adoption of Topic 606. Excluding the impact of adopting Topic 606, postpaid service revenue increased approximately $2.0 million, or 2.6%, due to growth of approximately 57.6 thousand postpaid PCS retail subscribers, and improvements in postpaid PCS average monthly retail churn, partially offset by a decline in average revenue per subscriber. The growth in our postpaid PCS retail subscribers includes approximately 38.3 thousand subscribers acquired with the Richmond Expansion Area. Postpaid service revenue was further reduced by approximately $0.5 million due to an increase in net service fee as nTelos subscribers were migrated to Sprint’s billing and back-office systems. The migration of these subscribers resulted in the elimination of costs to run the nTelos back-office systems which were recorded in selling, general and administrative.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decline in prepaid service revenue during the three months ended September 30, 2018, was primarily the result of the adoption of Topic 606. Excluding the impact of adopting Topic 606, prepaid service revenue increased approximately $4.0 million or 17.7% due to growth of approximately 30.9 thousand prepaid PCS retail subscribers, and improvements in prepaid PCS average monthly retail churn and average revenue per subscriber. The growth in our prepaid PCS retail subscribers includes approximately 15.7 thousand subscribers acquired with the Richmond Expansion Area.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September 30, 2018, cost of services decreased approximately $1.6 million or 4.6%, compared with the three months ended September 30, 2017. The decline in cost of services was primarily attributable to repricing Wireless backhaul circuits to market rates and migrating Wireless voice traffic from traditional circuit-switched facilities to more cost effective VoIP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September 30, 2018, cost of goods sold increased approximately $7.7 million, or 107.0%, compared with the three months ended September 30, 2017. The increase in cost of goods sold was primarily the result of the reclassification of approximately $13.8 million of expenses for equipment costs, which were previously classified as reductions of revenue, partially offset by approximately $6.6 million of costs incurred for subsidy loss reimbursements that are now presented within revenue, driven by the adoption of Topic 606. Excluding the impact of the adoption of Topic 606, cost of goods sold increased approximately $0.6 million, or 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8"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During the three months ended September 30, 2018, selling, general and administrative costs decreased approximately $18.9 million, or 62.8%, compared with the three months ended September 30, 2017. The decrease in selling, general and administrative costs was primarily attributable to the reclassification of approximately $16.6 million of commissions and subscriber acquisition costs to reductions of revenue as required by the adoption of Topic 606. Excluding the impact of adopting Topic 606, selling, general and administrative costs would have decreased approximately $2.4 million, or 7.8% primarily due to a reduction of back-office expenses required to support former nTelos subscribers that migrated to the Sprint back-office during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integration and migration expenses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Acquisition and integration costs were not incurred during the three months ended September 30, 2018, as the completion of integration and migration activities related to the acquisition of nTelos was completed during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September 30, 2018, depreciation and amortization decreased approximately $2.6 million, or 7.8%, compared with the three months ended September 30, 2017. The decrease in depreciation and amortization was primarily attributable to the retirement of assets acquired in the nTelos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 Compared with the Nine Months Ended September 30, 2017</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22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260" w:type="dxa"/>
            <w:vAlign w:val="bottom"/>
          </w:tcPr>
          <w:p>
            <w:pPr>
              <w:spacing w:after="0"/>
              <w:rPr>
                <w:sz w:val="20"/>
                <w:szCs w:val="20"/>
                <w:color w:val="auto"/>
              </w:rPr>
            </w:pPr>
          </w:p>
        </w:tc>
        <w:tc>
          <w:tcPr>
            <w:tcW w:w="7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880" w:type="dxa"/>
            <w:vAlign w:val="bottom"/>
            <w:vMerge w:val="restart"/>
          </w:tcPr>
          <w:p>
            <w:pPr>
              <w:spacing w:after="0"/>
              <w:rPr>
                <w:sz w:val="20"/>
                <w:szCs w:val="20"/>
                <w:color w:val="auto"/>
              </w:rPr>
            </w:pPr>
            <w:r>
              <w:rPr>
                <w:rFonts w:ascii="Arial" w:cs="Arial" w:eastAsia="Arial" w:hAnsi="Arial"/>
                <w:sz w:val="16"/>
                <w:szCs w:val="16"/>
                <w:color w:val="auto"/>
              </w:rPr>
              <w:t>Wireless operating revenue</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Wireless service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284,154</w:t>
            </w:r>
          </w:p>
        </w:tc>
        <w:tc>
          <w:tcPr>
            <w:tcW w:w="1080" w:type="dxa"/>
            <w:vAlign w:val="bottom"/>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323,262</w:t>
            </w:r>
          </w:p>
        </w:tc>
        <w:tc>
          <w:tcPr>
            <w:tcW w:w="1060" w:type="dxa"/>
            <w:vAlign w:val="bottom"/>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(39,108)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Tower lease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8,676</w:t>
            </w: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8,676</w:t>
            </w: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48,859</w:t>
            </w:r>
          </w:p>
        </w:tc>
        <w:tc>
          <w:tcPr>
            <w:tcW w:w="108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7,666</w:t>
            </w: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41,193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537.3</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wireless operating revenue</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343,656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342,102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Wireless 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99,491</w:t>
            </w:r>
          </w:p>
        </w:tc>
        <w:tc>
          <w:tcPr>
            <w:tcW w:w="108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100,745</w:t>
            </w:r>
          </w:p>
        </w:tc>
        <w:tc>
          <w:tcPr>
            <w:tcW w:w="106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45,749</w:t>
            </w:r>
          </w:p>
        </w:tc>
        <w:tc>
          <w:tcPr>
            <w:tcW w:w="108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17,084</w:t>
            </w: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28,665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35,693</w:t>
            </w:r>
          </w:p>
        </w:tc>
        <w:tc>
          <w:tcPr>
            <w:tcW w:w="10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88,201</w:t>
            </w:r>
          </w:p>
        </w:tc>
        <w:tc>
          <w:tcPr>
            <w:tcW w:w="106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(52,508)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Acquisition, integration and migration expenses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9,607</w:t>
            </w:r>
          </w:p>
        </w:tc>
        <w:tc>
          <w:tcPr>
            <w:tcW w:w="10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95,853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104,231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wireless operating expenses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276,786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319,868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(43,082)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16"/>
                <w:szCs w:val="16"/>
                <w:color w:val="auto"/>
              </w:rPr>
              <w:t>Wireless operating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66,870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44,636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months ended September 30, 2018, wireless operating revenue increased approximately $1.6 million, or 0.5%, compared with the nine months ended September 30, 2017, due primarily to the adoption of Topic 606. Excluding the impacts of Topic 606, wireless operating revenue increased approximately $9.4 million, or 2.8%. This increase was driven by growth in postpaid and prepaid PCS subscribers, improvements in average monthly churn, and was partially offset by a decline in postpaid average revenue per subscriber primarily related to promotional discounts.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adoption of Topic 606 in the nine months ended September 30, 2018, wireless service revenue was reduced by approximately $64.1 million of expenses payable to Sprint, our customer, related to the reimbursement to Sprint for costs incurred in their national sales channel for commissions and device costs for both postpaid and prepaid, and to provide ongoing support to their prepaid customers in our territory. Commissions, device costs and costs for ongoing support of Sprint's prepaid customers were previously recorded as operating expenses. Additionally, we recorded $43.5 million of equipment revenue and cost of goods sold for the sale of devices under Sprint’s device financing and lease programs. Prior to the adoption of Topic 606, equipment costs were netted and presented within equipment revenue.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6080" w:type="dxa"/>
            <w:vAlign w:val="bottom"/>
            <w:gridSpan w:val="2"/>
          </w:tcPr>
          <w:p>
            <w:pPr>
              <w:spacing w:after="0"/>
              <w:rPr>
                <w:sz w:val="20"/>
                <w:szCs w:val="20"/>
                <w:color w:val="auto"/>
              </w:rPr>
            </w:pPr>
            <w:r>
              <w:rPr>
                <w:rFonts w:ascii="Arial" w:cs="Arial" w:eastAsia="Arial" w:hAnsi="Arial"/>
                <w:sz w:val="18"/>
                <w:szCs w:val="18"/>
                <w:color w:val="auto"/>
              </w:rPr>
              <w:t>The table below provides additional detail for Wireless service revenue.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6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color w:val="auto"/>
              </w:rPr>
              <w:t>Wireless service revenue: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Postpaid billings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286,230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280,724</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contract and other costs (3)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(13,788)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Management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Net service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postpaid service revenue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224,873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235,407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8"/>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Prepaid billings (2)</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82,716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74,609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8,107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contract and other costs (3)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(39,258)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Sprint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58"/>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prepaid service revenue</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38,260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69,987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7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Travel and other revenue (2)</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21,021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17,868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6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284,154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323,262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right="20" w:hanging="648"/>
        <w:spacing w:after="0" w:line="241" w:lineRule="auto"/>
        <w:tabs>
          <w:tab w:leader="none" w:pos="6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ind w:left="980" w:hanging="648"/>
        <w:spacing w:after="0" w:line="241" w:lineRule="auto"/>
        <w:tabs>
          <w:tab w:leader="none" w:pos="6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includes Lifeline subscribers revenue within travel and other revenue to be consistent with Sprint. The above table reflects the reclassification of the related Assurance Wireless prepaid revenue from prepaid gross billings to travel and other revenue.</w:t>
      </w:r>
    </w:p>
    <w:p>
      <w:pPr>
        <w:ind w:left="980" w:hanging="648"/>
        <w:spacing w:after="0" w:line="248" w:lineRule="auto"/>
        <w:tabs>
          <w:tab w:leader="none" w:pos="6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Due to the adoption of Topic 606, costs reimbursed to Sprint for commission and acquisition cost incurred in their national sales channel are recorded as a reduction of revenue and amortized over the period of benefit. Additionally, costs reimbursed to Sprint for the support of their prepaid customer base are recorded as a reduction of revenue. These costs were previously recorded in cost of goods sold, and selling, general and administrative.</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2018, the decline in postpaid service revenue was primarily the result of the adoption of Topic 606. Excluding the impact of adopting Topic 606, postpaid service revenue increased approximately $1.6 million or 0.7%, primarily due to growth of approximately 57.6 thousand postpaid PCS retail subscribers and an improvement in postpaid PCS average monthly retail churn, partially offset by a decline in average revenue per subscriber. The growth in our postpaid PCS retail subscribers includes approximately 38.3 thousand acquired with the Richmond Expansion Area. Postpaid service revenue was further reduced by approximately $1.8 million due to an increase in net service fee as nTelos subscribers were migrated to Sprint’s billing and back-office systems. The migration of these subscribers resulted in the elimination of costs to run the nTelos back-office systems which were recorded in selling, general and administrative.</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decline in prepaid service revenue during the nine months ended September 30, 2018, was primarily the result of the adoption of Topic 606. Excluding the impact of adopting Topic 606, prepaid service revenue increased approximately $7.5 million or 10.8% due to growth of approximately 30.9 thousand prepaid PCS retail subscribers, improvements in prepaid PCS average monthly retail churn and average revenue per subscriber. The growth in our prepaid PCS retail subscribers includes approximately 15.7 thousand subscribers acquired with the Richmond Expansion Area.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2018, cost of services decreased approximately $1.3 million, or 1.2%, compared with the nine months ended September 30, 2017. The decline in cost of services was primarily attributable to repricing Wireless backhaul circuits to market rates and migrating Wireless voice traffic from traditional circuit-switched facilities to more cost effective VoIP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2018, cost of goods sold increased approximately $28.7 million, or 167.8%, compared with the nine months ended September 30, 2017. The increase in costs of goods sold was primarily the result of the reclassification of approximately $43.5 million of expenses for equipment costs, which were previously classified as reductions of revenue, and was partially offset by $17.8 million of costs incurred for subsidy loss reimbursements that are now presented within revenue, driven by the adoption of Topic 606. Excluding the impact of the adoption of Topic 606, cost of goods sold would have increased approximately $3.0 million, or 17.4%.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nine months ended September 30, 2018, selling, general and administrative costs decreased approximately $52.5 million, or 59.5%, compared with the nine months ended September 30, 2017. The decrease in selling, general and administrative was primarily attributable to the reclassification of approximately $46.2 million of commissions and subscriber acquisition costs to reductions of revenue as required by the adoption of Topic 606. Excluding the impact of Topic 606, selling, general and administrative costs decreased approximately $6.3 million, or 7.1% primarily due to a reduction of back-office expenses required to support former nTelos subscribers that migrated to the Sprint back-office during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integration and migration expenses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Acquisition and integration costs were not incurred during the nine months ended September 30, 2018, as the completion of integration and migration activities related to the acquisition of nTelos was completed during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2018, depreciation and amortization decreased approximately $8.4 million, or 8.0%, compared with the nine months ended September 30, 2017. The decrease in depreciation and amortization was primarily attributable to the retirement of assets acquired in the nTelos acquisition.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 which are included in Wireline. The following table indicates selected operating statistics of Cable: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September 30, 2018</w:t>
            </w:r>
          </w:p>
        </w:tc>
        <w:tc>
          <w:tcPr>
            <w:tcW w:w="21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 2017</w:t>
            </w:r>
          </w:p>
        </w:tc>
        <w:tc>
          <w:tcPr>
            <w:tcW w:w="202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 2017</w:t>
            </w:r>
          </w:p>
        </w:tc>
      </w:tr>
      <w:tr>
        <w:trPr>
          <w:trHeight w:val="27"/>
        </w:trPr>
        <w:tc>
          <w:tcPr>
            <w:tcW w:w="46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Homes passed (1)</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185,119</w:t>
            </w:r>
          </w:p>
        </w:tc>
        <w:tc>
          <w:tcPr>
            <w:tcW w:w="120" w:type="dxa"/>
            <w:vAlign w:val="bottom"/>
          </w:tcPr>
          <w:p>
            <w:pPr>
              <w:spacing w:after="0"/>
              <w:rPr>
                <w:sz w:val="20"/>
                <w:szCs w:val="20"/>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184,910</w:t>
            </w:r>
          </w:p>
        </w:tc>
        <w:tc>
          <w:tcPr>
            <w:tcW w:w="120" w:type="dxa"/>
            <w:vAlign w:val="bottom"/>
          </w:tcPr>
          <w:p>
            <w:pPr>
              <w:spacing w:after="0"/>
              <w:rPr>
                <w:sz w:val="20"/>
                <w:szCs w:val="20"/>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184,881</w:t>
            </w: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Customer relationships (2)</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Video users</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41,807</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44,269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45,290</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Non-video customers</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37,619</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33,559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32,663</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Total customer relationships</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79,426</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77,828</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77,953</w:t>
            </w: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Video</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44,093</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46,613</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47,379</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202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Digital video penetration (5)</w:t>
            </w:r>
          </w:p>
        </w:tc>
        <w:tc>
          <w:tcPr>
            <w:tcW w:w="202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Broadband</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Available homes (6)</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185,119</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184,910</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184,881</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Users (3)</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67,089</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63,918</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63,442</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20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Voice</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Available homes (6)</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185,119</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182,379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182,350</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Users (3)</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23,268</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22,555</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22,419</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20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Total revenue generating units (7)</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134,450</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133,086</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133,240</w:t>
            </w: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3,436</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3,340</w:t>
            </w: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Total fiber miles (8)</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134,411</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122,011</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121,331</w:t>
            </w: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Average revenue generating units</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133,617</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132,759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132,704</w:t>
            </w:r>
          </w:p>
        </w:tc>
      </w:tr>
      <w:tr>
        <w:trPr>
          <w:trHeight w:val="142"/>
        </w:trPr>
        <w:tc>
          <w:tcPr>
            <w:tcW w:w="468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bl>
    <w:p>
      <w:pPr>
        <w:ind w:left="660" w:hanging="328"/>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upon the best available information.</w:t>
      </w: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ind w:left="660" w:hanging="328"/>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Homes and businesses are considered available (“available homes”) if we can connect them to our distribution system without further extending the transmission lines and if we offer the service in that area.</w:t>
      </w: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Revenue generating units are the sum of video, voice and high-speed internet users.</w:t>
      </w:r>
    </w:p>
    <w:p>
      <w:pPr>
        <w:spacing w:after="0" w:line="1" w:lineRule="exact"/>
        <w:rPr>
          <w:rFonts w:ascii="Arial" w:cs="Arial" w:eastAsia="Arial" w:hAnsi="Arial"/>
          <w:sz w:val="14"/>
          <w:szCs w:val="14"/>
          <w:color w:val="auto"/>
        </w:rPr>
      </w:pPr>
    </w:p>
    <w:p>
      <w:pPr>
        <w:ind w:left="660" w:right="2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with the Three Months Ended September 30, 2017</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52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22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20"/>
                <w:szCs w:val="20"/>
                <w:color w:val="auto"/>
              </w:rPr>
            </w:pPr>
          </w:p>
        </w:tc>
        <w:tc>
          <w:tcPr>
            <w:tcW w:w="72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880" w:type="dxa"/>
            <w:vAlign w:val="bottom"/>
            <w:vMerge w:val="restart"/>
          </w:tcPr>
          <w:p>
            <w:pPr>
              <w:spacing w:after="0"/>
              <w:rPr>
                <w:sz w:val="20"/>
                <w:szCs w:val="20"/>
                <w:color w:val="auto"/>
              </w:rPr>
            </w:pPr>
            <w:r>
              <w:rPr>
                <w:rFonts w:ascii="Arial" w:cs="Arial" w:eastAsia="Arial" w:hAnsi="Arial"/>
                <w:sz w:val="16"/>
                <w:szCs w:val="16"/>
                <w:color w:val="auto"/>
              </w:rPr>
              <w:t>Cable operating revenue</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Service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28,578</w:t>
            </w:r>
          </w:p>
        </w:tc>
        <w:tc>
          <w:tcPr>
            <w:tcW w:w="1080" w:type="dxa"/>
            <w:vAlign w:val="bottom"/>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26,934</w:t>
            </w:r>
          </w:p>
        </w:tc>
        <w:tc>
          <w:tcPr>
            <w:tcW w:w="1060" w:type="dxa"/>
            <w:vAlign w:val="bottom"/>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w:t>
            </w:r>
          </w:p>
        </w:tc>
        <w:tc>
          <w:tcPr>
            <w:tcW w:w="108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w:t>
            </w:r>
          </w:p>
        </w:tc>
        <w:tc>
          <w:tcPr>
            <w:tcW w:w="10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revenue</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30,089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Cable 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14,837</w:t>
            </w:r>
          </w:p>
        </w:tc>
        <w:tc>
          <w:tcPr>
            <w:tcW w:w="1080" w:type="dxa"/>
            <w:vAlign w:val="bottom"/>
          </w:tcPr>
          <w:p>
            <w:pPr>
              <w:jc w:val="right"/>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14,858</w:t>
            </w:r>
          </w:p>
        </w:tc>
        <w:tc>
          <w:tcPr>
            <w:tcW w:w="106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0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5,331</w:t>
            </w:r>
          </w:p>
        </w:tc>
        <w:tc>
          <w:tcPr>
            <w:tcW w:w="108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5,358</w:t>
            </w:r>
          </w:p>
        </w:tc>
        <w:tc>
          <w:tcPr>
            <w:tcW w:w="10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expenses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26,463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16"/>
                <w:szCs w:val="16"/>
                <w:color w:val="auto"/>
              </w:rPr>
              <w:t>Cable operating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September 30, 2018, service revenue increased approximately $1.6 million, or 6.1%, compared with the three months ended September 30, 2017. The increase in service revenue was primarily attributable to increases in broadband and voice subscribers, video rate increases, and customers selecting or upgrading to higher-speed data access packages.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During the three months ended September 30, 2018, other revenue increased approximately $0.4 million, or 14.8%, compared with the three months ended September 30, 2017. The increase in other revenue was primarily attributable to installation services that were driven by growth in our customer base.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2018, total operating expenses were consistent with the three months ended September 30, 2017.</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adoption of Topic 606, which deferred incremental commission and installation costs over the life of the customer, did not have a significant impact on operating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 Compared with the Nine Months Ended September 30, 2017</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52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22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20"/>
                <w:szCs w:val="20"/>
                <w:color w:val="auto"/>
              </w:rPr>
            </w:pPr>
          </w:p>
        </w:tc>
        <w:tc>
          <w:tcPr>
            <w:tcW w:w="72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880" w:type="dxa"/>
            <w:vAlign w:val="bottom"/>
            <w:vMerge w:val="restart"/>
          </w:tcPr>
          <w:p>
            <w:pPr>
              <w:spacing w:after="0"/>
              <w:rPr>
                <w:sz w:val="20"/>
                <w:szCs w:val="20"/>
                <w:color w:val="auto"/>
              </w:rPr>
            </w:pPr>
            <w:r>
              <w:rPr>
                <w:rFonts w:ascii="Arial" w:cs="Arial" w:eastAsia="Arial" w:hAnsi="Arial"/>
                <w:sz w:val="16"/>
                <w:szCs w:val="16"/>
                <w:color w:val="auto"/>
              </w:rPr>
              <w:t>Cable operating revenue</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Service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85,797</w:t>
            </w:r>
          </w:p>
        </w:tc>
        <w:tc>
          <w:tcPr>
            <w:tcW w:w="1080" w:type="dxa"/>
            <w:vAlign w:val="bottom"/>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80,229</w:t>
            </w:r>
          </w:p>
        </w:tc>
        <w:tc>
          <w:tcPr>
            <w:tcW w:w="106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537</w:t>
            </w:r>
          </w:p>
        </w:tc>
        <w:tc>
          <w:tcPr>
            <w:tcW w:w="10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547</w:t>
            </w:r>
          </w:p>
        </w:tc>
        <w:tc>
          <w:tcPr>
            <w:tcW w:w="10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revenue</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96,004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37"/>
        </w:trPr>
        <w:tc>
          <w:tcPr>
            <w:tcW w:w="4880" w:type="dxa"/>
            <w:vAlign w:val="bottom"/>
          </w:tcPr>
          <w:p>
            <w:pPr>
              <w:ind w:left="140"/>
              <w:spacing w:after="0"/>
              <w:rPr>
                <w:sz w:val="20"/>
                <w:szCs w:val="20"/>
                <w:color w:val="auto"/>
              </w:rPr>
            </w:pPr>
            <w:r>
              <w:rPr>
                <w:rFonts w:ascii="Arial" w:cs="Arial" w:eastAsia="Arial" w:hAnsi="Arial"/>
                <w:sz w:val="16"/>
                <w:szCs w:val="16"/>
                <w:color w:val="auto"/>
              </w:rPr>
              <w:t>Cable 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45,118</w:t>
            </w:r>
          </w:p>
        </w:tc>
        <w:tc>
          <w:tcPr>
            <w:tcW w:w="1080" w:type="dxa"/>
            <w:vAlign w:val="bottom"/>
          </w:tcPr>
          <w:p>
            <w:pPr>
              <w:jc w:val="right"/>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44,956</w:t>
            </w:r>
          </w:p>
        </w:tc>
        <w:tc>
          <w:tcPr>
            <w:tcW w:w="1060" w:type="dxa"/>
            <w:vAlign w:val="bottom"/>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w:t>
            </w: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14,940</w:t>
            </w:r>
          </w:p>
        </w:tc>
        <w:tc>
          <w:tcPr>
            <w:tcW w:w="108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15,083</w:t>
            </w:r>
          </w:p>
        </w:tc>
        <w:tc>
          <w:tcPr>
            <w:tcW w:w="10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expenses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78,560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78,205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16"/>
                <w:szCs w:val="16"/>
                <w:color w:val="auto"/>
              </w:rPr>
              <w:t>Cable operating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2018, service revenue increased approximately $5.6 million, or 6.9%, compared with the nine months ended September 30, 2017. The increase in service revenue was primarily attributable to growth in our broadband and voice subscribers, video rate increases, and our customers selecting or upgrading to higher-speed data access packages.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During the nine months ended September 30, 2018, other revenue increased approximately $1.8 million, or 22.6%, compared with the nine months ended September 30, 2017. The increase in other revenue was primarily attributable to new fiber contracts and installation services that were driven by growth in our customer base.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nine months ended September 30, 2018, total operating expenses increased approximately $0.4 million compared with the nine months ended September 30, 2017.</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total operating expenses was primarily attributable to our investment in infrastructure necessary to support the growth of the cable and fiber networks.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adoption of Topic 606, which deferred incremental commission and installation costs over the life of the customer, did not have a significant impact on operating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Wireline provides regulated and unregulated voice services, DSL internet access, and long distance access services throughout Shenandoah County and portions of Rockingham, Frederick, Warren and Augusta counties, Virginia. Wireline also provides video and cable modem internet access services in portions of Shenandoah County, and leases fiber optic facilities throughout the Shenandoah Valley region of Virginia, northern Virginia and portions of West Virginia, Maryland and Pennsylvania.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September 30, 2018</w:t>
            </w:r>
          </w:p>
        </w:tc>
        <w:tc>
          <w:tcPr>
            <w:tcW w:w="214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 2017</w:t>
            </w:r>
          </w:p>
        </w:tc>
        <w:tc>
          <w:tcPr>
            <w:tcW w:w="202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 2017</w:t>
            </w:r>
          </w:p>
        </w:tc>
      </w:tr>
      <w:tr>
        <w:trPr>
          <w:trHeight w:val="27"/>
        </w:trPr>
        <w:tc>
          <w:tcPr>
            <w:tcW w:w="50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jc w:val="right"/>
              <w:ind w:right="75"/>
              <w:spacing w:after="0"/>
              <w:rPr>
                <w:sz w:val="20"/>
                <w:szCs w:val="20"/>
                <w:color w:val="auto"/>
              </w:rPr>
            </w:pPr>
            <w:r>
              <w:rPr>
                <w:rFonts w:ascii="Arial" w:cs="Arial" w:eastAsia="Arial" w:hAnsi="Arial"/>
                <w:sz w:val="18"/>
                <w:szCs w:val="18"/>
                <w:color w:val="auto"/>
              </w:rPr>
              <w:t>Telephone access lines</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17,786</w:t>
            </w:r>
          </w:p>
        </w:tc>
        <w:tc>
          <w:tcPr>
            <w:tcW w:w="10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17,933</w:t>
            </w:r>
          </w:p>
        </w:tc>
        <w:tc>
          <w:tcPr>
            <w:tcW w:w="12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18,006</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Long distance subscribers</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9,107</w:t>
            </w:r>
          </w:p>
        </w:tc>
        <w:tc>
          <w:tcPr>
            <w:tcW w:w="1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9,078</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9,107</w:t>
            </w:r>
          </w:p>
        </w:tc>
      </w:tr>
      <w:tr>
        <w:trPr>
          <w:trHeight w:val="270"/>
        </w:trPr>
        <w:tc>
          <w:tcPr>
            <w:tcW w:w="5000" w:type="dxa"/>
            <w:vAlign w:val="bottom"/>
          </w:tcPr>
          <w:p>
            <w:pPr>
              <w:jc w:val="right"/>
              <w:ind w:right="75"/>
              <w:spacing w:after="0"/>
              <w:rPr>
                <w:sz w:val="20"/>
                <w:szCs w:val="20"/>
                <w:color w:val="auto"/>
              </w:rPr>
            </w:pPr>
            <w:r>
              <w:rPr>
                <w:rFonts w:ascii="Arial" w:cs="Arial" w:eastAsia="Arial" w:hAnsi="Arial"/>
                <w:sz w:val="18"/>
                <w:szCs w:val="18"/>
                <w:color w:val="auto"/>
              </w:rPr>
              <w:t>Video customers (1)</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5,019</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5,110</w:t>
            </w:r>
          </w:p>
        </w:tc>
      </w:tr>
      <w:tr>
        <w:trPr>
          <w:trHeight w:val="270"/>
        </w:trPr>
        <w:tc>
          <w:tcPr>
            <w:tcW w:w="5000" w:type="dxa"/>
            <w:vAlign w:val="bottom"/>
          </w:tcPr>
          <w:p>
            <w:pPr>
              <w:jc w:val="right"/>
              <w:ind w:right="75"/>
              <w:spacing w:after="0"/>
              <w:rPr>
                <w:sz w:val="20"/>
                <w:szCs w:val="20"/>
                <w:color w:val="auto"/>
              </w:rPr>
            </w:pPr>
            <w:r>
              <w:rPr>
                <w:rFonts w:ascii="Arial" w:cs="Arial" w:eastAsia="Arial" w:hAnsi="Arial"/>
                <w:sz w:val="18"/>
                <w:szCs w:val="18"/>
                <w:color w:val="auto"/>
              </w:rPr>
              <w:t>Broadband customers</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14,734</w:t>
            </w:r>
          </w:p>
        </w:tc>
        <w:tc>
          <w:tcPr>
            <w:tcW w:w="1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14,665</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14,605</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2,040</w:t>
            </w:r>
          </w:p>
        </w:tc>
      </w:tr>
      <w:tr>
        <w:trPr>
          <w:trHeight w:val="270"/>
        </w:trPr>
        <w:tc>
          <w:tcPr>
            <w:tcW w:w="5000" w:type="dxa"/>
            <w:vAlign w:val="bottom"/>
          </w:tcPr>
          <w:p>
            <w:pPr>
              <w:jc w:val="right"/>
              <w:ind w:right="75"/>
              <w:spacing w:after="0"/>
              <w:rPr>
                <w:sz w:val="20"/>
                <w:szCs w:val="20"/>
                <w:color w:val="auto"/>
              </w:rPr>
            </w:pPr>
            <w:r>
              <w:rPr>
                <w:rFonts w:ascii="Arial" w:cs="Arial" w:eastAsia="Arial" w:hAnsi="Arial"/>
                <w:sz w:val="18"/>
                <w:szCs w:val="18"/>
                <w:color w:val="auto"/>
              </w:rPr>
              <w:t>Total fiber miles (2)</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158,526</w:t>
            </w:r>
          </w:p>
        </w:tc>
        <w:tc>
          <w:tcPr>
            <w:tcW w:w="1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154,165</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149,944</w:t>
            </w:r>
          </w:p>
        </w:tc>
      </w:tr>
      <w:tr>
        <w:trPr>
          <w:trHeight w:val="154"/>
        </w:trPr>
        <w:tc>
          <w:tcPr>
            <w:tcW w:w="5000" w:type="dxa"/>
            <w:vAlign w:val="bottom"/>
          </w:tcPr>
          <w:p>
            <w:pPr>
              <w:jc w:val="right"/>
              <w:ind w:right="1935"/>
              <w:spacing w:after="0"/>
              <w:rPr>
                <w:sz w:val="20"/>
                <w:szCs w:val="20"/>
                <w:color w:val="auto"/>
              </w:rPr>
            </w:pPr>
            <w:r>
              <w:rPr>
                <w:rFonts w:ascii="Arial" w:cs="Arial" w:eastAsia="Arial" w:hAnsi="Arial"/>
                <w:sz w:val="11"/>
                <w:szCs w:val="11"/>
                <w:color w:val="auto"/>
                <w:w w:val="87"/>
              </w:rPr>
              <w:t>_______________________________________________________</w:t>
            </w: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r>
    </w:tbl>
    <w:p>
      <w:pPr>
        <w:spacing w:after="0" w:line="3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Wireline’s video service passes approximately 16,500 homes.</w:t>
      </w:r>
    </w:p>
    <w:p>
      <w:pPr>
        <w:spacing w:after="0" w:line="55" w:lineRule="exact"/>
        <w:rPr>
          <w:rFonts w:ascii="Arial" w:cs="Arial" w:eastAsia="Arial" w:hAnsi="Arial"/>
          <w:sz w:val="14"/>
          <w:szCs w:val="14"/>
          <w:color w:val="auto"/>
        </w:rPr>
      </w:pPr>
    </w:p>
    <w:p>
      <w:pPr>
        <w:ind w:left="660" w:hanging="328"/>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Fiber miles are measured by taking the number of fiber strands in a cable and multiplying that number by the route distance. For example, a 10 mile route with 144 fiber strands would equal 1,440 fiber miles.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7"/>
          </w:tcPr>
          <w:p>
            <w:pPr>
              <w:spacing w:after="0"/>
              <w:rPr>
                <w:sz w:val="20"/>
                <w:szCs w:val="20"/>
                <w:color w:val="auto"/>
              </w:rPr>
            </w:pPr>
            <w:r>
              <w:rPr>
                <w:rFonts w:ascii="Arial" w:cs="Arial" w:eastAsia="Arial" w:hAnsi="Arial"/>
                <w:sz w:val="18"/>
                <w:szCs w:val="18"/>
                <w:b w:val="1"/>
                <w:bCs w:val="1"/>
                <w:color w:val="auto"/>
                <w:w w:val="92"/>
              </w:rPr>
              <w:t>Three Months Ended September 30, 2018 Compared with the Three Months Ended September 30, 2017</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50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28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4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color w:val="auto"/>
              </w:rPr>
              <w:t>Wireline operating revenue</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92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5,824</w:t>
            </w:r>
          </w:p>
        </w:tc>
        <w:tc>
          <w:tcPr>
            <w:tcW w:w="1060" w:type="dxa"/>
            <w:vAlign w:val="bottom"/>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5,724</w:t>
            </w:r>
          </w:p>
        </w:tc>
        <w:tc>
          <w:tcPr>
            <w:tcW w:w="106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Carrier access and fiber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13,019</w:t>
            </w:r>
          </w:p>
        </w:tc>
        <w:tc>
          <w:tcPr>
            <w:tcW w:w="1060" w:type="dxa"/>
            <w:vAlign w:val="bottom"/>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13,217</w:t>
            </w:r>
          </w:p>
        </w:tc>
        <w:tc>
          <w:tcPr>
            <w:tcW w:w="1060" w:type="dxa"/>
            <w:vAlign w:val="bottom"/>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06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0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276"/>
        </w:trPr>
        <w:tc>
          <w:tcPr>
            <w:tcW w:w="492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63"/>
        </w:trPr>
        <w:tc>
          <w:tcPr>
            <w:tcW w:w="4920" w:type="dxa"/>
            <w:vAlign w:val="bottom"/>
          </w:tcPr>
          <w:p>
            <w:pPr>
              <w:ind w:left="280"/>
              <w:spacing w:after="0"/>
              <w:rPr>
                <w:sz w:val="20"/>
                <w:szCs w:val="20"/>
                <w:color w:val="auto"/>
              </w:rPr>
            </w:pPr>
            <w:r>
              <w:rPr>
                <w:rFonts w:ascii="Arial" w:cs="Arial" w:eastAsia="Arial" w:hAnsi="Arial"/>
                <w:sz w:val="18"/>
                <w:szCs w:val="18"/>
                <w:color w:val="auto"/>
              </w:rPr>
              <w:t>Total wireline operating revenue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Wireline operating expenses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92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9,266</w:t>
            </w:r>
          </w:p>
        </w:tc>
        <w:tc>
          <w:tcPr>
            <w:tcW w:w="1060" w:type="dxa"/>
            <w:vAlign w:val="bottom"/>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9,796</w:t>
            </w:r>
          </w:p>
        </w:tc>
        <w:tc>
          <w:tcPr>
            <w:tcW w:w="1060" w:type="dxa"/>
            <w:vAlign w:val="bottom"/>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Costs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1,780</w:t>
            </w:r>
          </w:p>
        </w:tc>
        <w:tc>
          <w:tcPr>
            <w:tcW w:w="10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1,706</w:t>
            </w:r>
          </w:p>
        </w:tc>
        <w:tc>
          <w:tcPr>
            <w:tcW w:w="106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6"/>
        </w:trPr>
        <w:tc>
          <w:tcPr>
            <w:tcW w:w="49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64"/>
        </w:trPr>
        <w:tc>
          <w:tcPr>
            <w:tcW w:w="4920" w:type="dxa"/>
            <w:vAlign w:val="bottom"/>
          </w:tcPr>
          <w:p>
            <w:pPr>
              <w:ind w:left="280"/>
              <w:spacing w:after="0"/>
              <w:rPr>
                <w:sz w:val="20"/>
                <w:szCs w:val="20"/>
                <w:color w:val="auto"/>
              </w:rPr>
            </w:pPr>
            <w:r>
              <w:rPr>
                <w:rFonts w:ascii="Arial" w:cs="Arial" w:eastAsia="Arial" w:hAnsi="Arial"/>
                <w:sz w:val="18"/>
                <w:szCs w:val="18"/>
                <w:color w:val="auto"/>
              </w:rPr>
              <w:t>Total wireline operating expenses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8"/>
                <w:szCs w:val="18"/>
                <w:color w:val="auto"/>
              </w:rPr>
              <w:t>Wireline operating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three months ended September 30, 2018, total operating revenue decreased approximately $0.2 million, or 1.2%, compared with the three months ended September 30, 2017. The decline in total operating revenue was primarily attributable to repricing Wireless backhaul circuits to market rates and migrating Wireless voice traffic from traditional circuit-switched facilities to more cost effective Voice Over IP ("VoIP")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September 30, 2018, total operating expenses decreased approximately $0.3 million, or 1.8%, compared with the three months ended September 30, 2017. The decline in total operating expenses was primarily attributable to a reduction in network costs.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adoption of Topic 606, which deferred incremental commission and installation costs over the life of the customer, did not have a significant impact on operating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49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100" w:type="dxa"/>
            <w:vAlign w:val="bottom"/>
            <w:gridSpan w:val="8"/>
          </w:tcPr>
          <w:p>
            <w:pPr>
              <w:spacing w:after="0"/>
              <w:rPr>
                <w:sz w:val="20"/>
                <w:szCs w:val="20"/>
                <w:color w:val="auto"/>
              </w:rPr>
            </w:pPr>
            <w:r>
              <w:rPr>
                <w:rFonts w:ascii="Arial" w:cs="Arial" w:eastAsia="Arial" w:hAnsi="Arial"/>
                <w:sz w:val="18"/>
                <w:szCs w:val="18"/>
                <w:b w:val="1"/>
                <w:bCs w:val="1"/>
                <w:color w:val="auto"/>
                <w:w w:val="94"/>
              </w:rPr>
              <w:t>Nine Months Ended September 30, 2018 Compared with the Nine Months Ended September 30, 2017</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gridSpan w:val="4"/>
          </w:tcPr>
          <w:p>
            <w:pPr>
              <w:jc w:val="right"/>
              <w:ind w:right="191"/>
              <w:spacing w:after="0"/>
              <w:rPr>
                <w:sz w:val="20"/>
                <w:szCs w:val="20"/>
                <w:color w:val="auto"/>
              </w:rPr>
            </w:pPr>
            <w:r>
              <w:rPr>
                <w:rFonts w:ascii="Arial" w:cs="Arial" w:eastAsia="Arial" w:hAnsi="Arial"/>
                <w:sz w:val="18"/>
                <w:szCs w:val="18"/>
                <w:b w:val="1"/>
                <w:bCs w:val="1"/>
                <w:color w:val="auto"/>
              </w:rPr>
              <w:t>Nine Months Ended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60" w:type="dxa"/>
            <w:vAlign w:val="bottom"/>
            <w:gridSpan w:val="4"/>
          </w:tcPr>
          <w:p>
            <w:pPr>
              <w:jc w:val="right"/>
              <w:ind w:right="411"/>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50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220" w:type="dxa"/>
            <w:vAlign w:val="bottom"/>
          </w:tcPr>
          <w:p>
            <w:pPr>
              <w:spacing w:after="0"/>
              <w:rPr>
                <w:sz w:val="20"/>
                <w:szCs w:val="20"/>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280" w:type="dxa"/>
            <w:vAlign w:val="bottom"/>
          </w:tcPr>
          <w:p>
            <w:pPr>
              <w:spacing w:after="0"/>
              <w:rPr>
                <w:sz w:val="20"/>
                <w:szCs w:val="20"/>
                <w:color w:val="auto"/>
              </w:rPr>
            </w:pPr>
          </w:p>
        </w:tc>
        <w:tc>
          <w:tcPr>
            <w:tcW w:w="7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
        </w:trPr>
        <w:tc>
          <w:tcPr>
            <w:tcW w:w="4920" w:type="dxa"/>
            <w:vAlign w:val="bottom"/>
            <w:gridSpan w:val="2"/>
            <w:vMerge w:val="restart"/>
          </w:tcPr>
          <w:p>
            <w:pPr>
              <w:ind w:left="40"/>
              <w:spacing w:after="0"/>
              <w:rPr>
                <w:sz w:val="20"/>
                <w:szCs w:val="20"/>
                <w:color w:val="auto"/>
              </w:rPr>
            </w:pPr>
            <w:r>
              <w:rPr>
                <w:rFonts w:ascii="Arial" w:cs="Arial" w:eastAsia="Arial" w:hAnsi="Arial"/>
                <w:sz w:val="18"/>
                <w:szCs w:val="18"/>
                <w:color w:val="auto"/>
              </w:rPr>
              <w:t>Wireline operating revenue</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17,439</w:t>
            </w:r>
          </w:p>
        </w:tc>
        <w:tc>
          <w:tcPr>
            <w:tcW w:w="106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17,002</w:t>
            </w:r>
          </w:p>
        </w:tc>
        <w:tc>
          <w:tcPr>
            <w:tcW w:w="106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Carrier access and fiber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38,341</w:t>
            </w:r>
          </w:p>
        </w:tc>
        <w:tc>
          <w:tcPr>
            <w:tcW w:w="1060" w:type="dxa"/>
            <w:vAlign w:val="bottom"/>
          </w:tcPr>
          <w:p>
            <w:pPr>
              <w:jc w:val="right"/>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38,920</w:t>
            </w:r>
          </w:p>
        </w:tc>
        <w:tc>
          <w:tcPr>
            <w:tcW w:w="1060" w:type="dxa"/>
            <w:vAlign w:val="bottom"/>
          </w:tcPr>
          <w:p>
            <w:pPr>
              <w:jc w:val="right"/>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Equipment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106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10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76"/>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Total wireline operating revenue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Wireline operating expenses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28,441</w:t>
            </w:r>
          </w:p>
        </w:tc>
        <w:tc>
          <w:tcPr>
            <w:tcW w:w="106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28,357</w:t>
            </w:r>
          </w:p>
        </w:tc>
        <w:tc>
          <w:tcPr>
            <w:tcW w:w="1060" w:type="dxa"/>
            <w:vAlign w:val="bottom"/>
          </w:tcPr>
          <w:p>
            <w:pPr>
              <w:jc w:val="right"/>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0"/>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Costs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0"/>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5,183</w:t>
            </w:r>
          </w:p>
        </w:tc>
        <w:tc>
          <w:tcPr>
            <w:tcW w:w="10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5,065</w:t>
            </w:r>
          </w:p>
        </w:tc>
        <w:tc>
          <w:tcPr>
            <w:tcW w:w="106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64"/>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Total wireline operating expenses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Wireline operating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2018, total operating revenue decreased approximately $0.1 million or 0.2%, compared with the nine months ended September 30, 2017. The decrease in total operating revenue was primarily attributable to repricing Wireless backhaul circuits to market rates and migrating Wireless voice traffic from traditional circuit-switched facilities to more cost effective VoIP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During the nine months ended September 30, 2018, total operating expenses increased approximately $0.7 million, or 1.7%, compared with the nine months ended September 30, 2017. The increase in total operating expenses was primarily attributable to the expansion of the underlying network assets and investments in infrastructure necessary to support the growth in our fiber network.</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adoption of Topic 606, which deferred incremental commission and installation costs over the life of the customer, did not have a significant impact on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the financial statement measures prepared in accordance with GAAP with Adjusted OIBDA and Continuing OIBDA, which are considered “non-GAAP financial measures” under SEC rules.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OIBDA is defined as operating income (loss) before depreciation and amortization, adjusted to exclude the effects of: certain non-recurring transactions; impairment of assets; gains and losses on asset sales; actuarial gains and losses on pension and other post-retirement benefit plans; and share-based compensation expense, amortization of deferred costs related to the impacts of the adoption of Topic 606, and adjusted to include the benefit received from the waived management fee by Sprint. Continuing OIBDA is defined as Adjusted OIBDA, less the benefit received from the waived management fee by Sprint. Adjusted OIBDA and Continuing OIBDA should not be construed as an alternative to operating income as determined in accordance with GAAP as a measure of operating performance.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these measures facilitate comparisons of our operating performance from period to period and comparisons of our operating performance to that of our peers and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and Continuing OIBDA excluding these items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8"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may incur expenses similar to these excluded items. Accordingly, the exclusion of these and other similar items from our non-GAAP presentation should not be interpreted as implying these items are non-recurring, infrequent or unusual.</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OIBDA and Continuing OIBDA and similar measures are widely used by investors and financial analysts as measures of our financial performance over time, and to compare our financial performance with that of other companies in our industry.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OIBDA and Continuing OIBDA have limitations as an analytical tool, and should not be considered in isolation or as a substitute for analysis of our results as reported under GAAP. These limitations include, but are not limited to, the following:</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the impacts of adoption of Topic 606;</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and Continuing OIBDA do not reflect cash requirements for such replacements;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and Continuing OIBDA differently than we do, limiting its usefulness as a comparative measure.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new revenue recognition standard did not impact Adjusted OIBDA.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reconcile Adjusted OIBDA and Continuing OIBDA to operating income, which we consider to be the most directly comparable GAAP financial measure: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27,352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5,834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5,122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28,329</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Impact of ASC topic 606</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(5,117)</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30,363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40,028</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1,171</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Benefit received from the waived management fee (1)</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9,558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9,558</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Amortization of intangibles netted in rent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Actuarial (gains) losses on pension plans</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62,602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8,480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74,084</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Waived management fee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(9,558)</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Continuing OIBDA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53,044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11,764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8,480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64,526</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6,745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3,626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5,089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(5,985)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9,475</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32,929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42,568</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(Gain) loss on asset sales</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Benefit received from the waived management fee (1)</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8,961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8,961</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Amortization of intangibles netted in rent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53"/>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Temporary back-office costs to support the billing operations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4700" w:type="dxa"/>
            <w:vAlign w:val="bottom"/>
            <w:gridSpan w:val="2"/>
            <w:vMerge w:val="restart"/>
          </w:tcPr>
          <w:p>
            <w:pPr>
              <w:ind w:left="180"/>
              <w:spacing w:after="0"/>
              <w:rPr>
                <w:sz w:val="20"/>
                <w:szCs w:val="20"/>
                <w:color w:val="auto"/>
              </w:rPr>
            </w:pPr>
            <w:r>
              <w:rPr>
                <w:rFonts w:ascii="Arial" w:cs="Arial" w:eastAsia="Arial" w:hAnsi="Arial"/>
                <w:sz w:val="16"/>
                <w:szCs w:val="16"/>
                <w:color w:val="auto"/>
              </w:rPr>
              <w:t>through migration (2)</w:t>
            </w:r>
          </w:p>
        </w:tc>
        <w:tc>
          <w:tcPr>
            <w:tcW w:w="240" w:type="dxa"/>
            <w:vAlign w:val="bottom"/>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color w:val="auto"/>
              </w:rPr>
              <w:t>1,209</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108"/>
        </w:trPr>
        <w:tc>
          <w:tcPr>
            <w:tcW w:w="47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Integration and acquisition related expenses, and other</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2,292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54,186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8,411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66,904</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180"/>
              <w:spacing w:after="0"/>
              <w:rPr>
                <w:sz w:val="20"/>
                <w:szCs w:val="20"/>
                <w:color w:val="auto"/>
              </w:rPr>
            </w:pPr>
            <w:r>
              <w:rPr>
                <w:rFonts w:ascii="Arial" w:cs="Arial" w:eastAsia="Arial" w:hAnsi="Arial"/>
                <w:sz w:val="16"/>
                <w:szCs w:val="16"/>
                <w:color w:val="auto"/>
              </w:rPr>
              <w:t>Waived management fee</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(8,961)</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Continuing OIBDA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45,225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9,971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8,411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57,943</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66,870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17,444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14,687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(32,749)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66,252</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Impact of ASC topic 606</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(11,218)</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95,853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18,305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124,632</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4,578</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Benefit received from the waived management fee (1)</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28,164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28,164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Amortization of intangibles netted in rent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Actuarial (gains) losses on pension plans</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180,237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35,692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24,617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212,533</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Waived management fee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(28,164)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(28,164)</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Continuing OIBDA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152,073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35,692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24,617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184,369</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22,234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10,460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15,571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(19,865)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28,400</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104,231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18,070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132,297</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(Gain) loss on asset sales</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3,053</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Benefit received from the waived management fee (1)</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27,068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27,068</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Amortization of intangibles netted in rent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2,173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53"/>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Temporary back-office costs to support the billing operations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through migration (2)</w:t>
            </w:r>
          </w:p>
        </w:tc>
        <w:tc>
          <w:tcPr>
            <w:tcW w:w="2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5,495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5,496</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Integration and acquisition related expenses, and other</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11,062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11,328</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173,825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29,181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25,453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209,895</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Waived management fee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(27,068)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(27,068)</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Continuing OIBDA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146,757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29,181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25,453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(18,564)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182,827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12700</wp:posOffset>
            </wp:positionV>
            <wp:extent cx="4262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1" w:lineRule="exact"/>
        <w:rPr>
          <w:sz w:val="20"/>
          <w:szCs w:val="20"/>
          <w:color w:val="auto"/>
        </w:rPr>
      </w:pPr>
    </w:p>
    <w:p>
      <w:pPr>
        <w:ind w:left="660" w:hanging="328"/>
        <w:spacing w:after="0" w:line="250"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Under our amended affiliate agreement, Sprint agreed to waive the Management Fees charged on both postpaid and prepaid revenue, up to $4.2 million per month, until the total amount waived reaches approximately $255.6 million, which is expected to occur in 2022.</w:t>
      </w:r>
    </w:p>
    <w:p>
      <w:pPr>
        <w:ind w:left="540" w:hanging="208"/>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back-office expenses required to support former nTelos subscribers that migrated to the Sprint back-office.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-311785</wp:posOffset>
            </wp:positionV>
            <wp:extent cx="4262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The Company generated approximately $188.8 million of net cash from operations in the first nine months of 2018,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from approximately $158.7 million in the first nine months of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As of September 30, 2018, the Company’s gross indebtedness totaled $790.1 million, with an estimated annualized effective interest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4.11% after considering the impact of the interest rate swap contracts and unamortized loan costs, and is inclusive of the Credit Facility Modification that (a) was effective February 16, 2018 and (b) reduced the base rate of each term loan and the revolving facility by 50 basis points. The balance consisted of the $400.1 million Term Loan A-1 at a variable rate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(4.33% as of September 30, 2018) that resets monthly based on one month LIBOR plus a margin of 2.25%, and the $390.0 million Term Loan A-2 at a variable rate (4.58% as of September 30, 2018) that resets monthly based on one month LIBOR plus a margin of 2.50%. The Term Loan A-1 requires quarterly principal repayments of approximately $12.1 million through June 2020, with further increases at that time through maturity in 2021. The Term Loan A-2 requires quarterly principal repayments of approximately $10.0 million beginning September 30, 2018 through March 31, 2023, with the remaining balance due June 30, 2023.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certain financial covenants measured on a trailing twelve month basis each calendar quarter unless otherwise specified. These covenants include:</w:t>
      </w:r>
    </w:p>
    <w:p>
      <w:pPr>
        <w:spacing w:after="0" w:line="170" w:lineRule="exact"/>
        <w:rPr>
          <w:sz w:val="20"/>
          <w:szCs w:val="20"/>
          <w:color w:val="auto"/>
        </w:rPr>
      </w:pPr>
    </w:p>
    <w:p>
      <w:pPr>
        <w:jc w:val="both"/>
        <w:ind w:left="500" w:hanging="316"/>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spacing w:after="0" w:line="181"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minimum debt service coverage ratio, defined as EBITDA minus certain cash taxes divided by the sum of all scheduled principal payments on the Term Loans and other indebtedness plus cash interest expense, greater than 2.00 to 1.00; and</w:t>
      </w:r>
    </w:p>
    <w:p>
      <w:pPr>
        <w:spacing w:after="0" w:line="170" w:lineRule="exact"/>
        <w:rPr>
          <w:rFonts w:ascii="Arial" w:cs="Arial" w:eastAsia="Arial" w:hAnsi="Arial"/>
          <w:sz w:val="18"/>
          <w:szCs w:val="18"/>
          <w:color w:val="auto"/>
        </w:rPr>
      </w:pPr>
    </w:p>
    <w:p>
      <w:pPr>
        <w:jc w:val="both"/>
        <w:ind w:left="500" w:hanging="316"/>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 minimum liquidity balance of greater than $25 million. The balance includes amounts available under the revolver facility plus unrestricted cash and cash equivalents on deposit in a deposit account for which a control agreement has been delivered to the administrative agent under the 2016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Company was in compliance with the financial covenants in its credit agreements and ratios were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1580" w:type="dxa"/>
            <w:vAlign w:val="bottom"/>
            <w:gridSpan w:val="2"/>
          </w:tcPr>
          <w:p>
            <w:pPr>
              <w:ind w:left="500"/>
              <w:spacing w:after="0"/>
              <w:rPr>
                <w:sz w:val="20"/>
                <w:szCs w:val="20"/>
                <w:color w:val="auto"/>
              </w:rPr>
            </w:pPr>
            <w:r>
              <w:rPr>
                <w:rFonts w:ascii="Arial" w:cs="Arial" w:eastAsia="Arial" w:hAnsi="Arial"/>
                <w:sz w:val="16"/>
                <w:szCs w:val="16"/>
                <w:b w:val="1"/>
                <w:bCs w:val="1"/>
                <w:color w:val="auto"/>
              </w:rPr>
              <w:t>Actual</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1"/>
              </w:rPr>
              <w:t>Covenant Requirement</w:t>
            </w:r>
          </w:p>
        </w:tc>
        <w:tc>
          <w:tcPr>
            <w:tcW w:w="0" w:type="dxa"/>
            <w:vAlign w:val="bottom"/>
          </w:tcPr>
          <w:p>
            <w:pPr>
              <w:spacing w:after="0"/>
              <w:rPr>
                <w:sz w:val="1"/>
                <w:szCs w:val="1"/>
                <w:color w:val="auto"/>
              </w:rPr>
            </w:pPr>
          </w:p>
        </w:tc>
      </w:tr>
      <w:tr>
        <w:trPr>
          <w:trHeight w:val="33"/>
        </w:trPr>
        <w:tc>
          <w:tcPr>
            <w:tcW w:w="724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1460" w:type="dxa"/>
            <w:vAlign w:val="bottom"/>
          </w:tcPr>
          <w:p>
            <w:pPr>
              <w:jc w:val="center"/>
              <w:ind w:left="852"/>
              <w:spacing w:after="0"/>
              <w:rPr>
                <w:sz w:val="20"/>
                <w:szCs w:val="20"/>
                <w:color w:val="auto"/>
              </w:rPr>
            </w:pPr>
            <w:r>
              <w:rPr>
                <w:rFonts w:ascii="Arial" w:cs="Arial" w:eastAsia="Arial" w:hAnsi="Arial"/>
                <w:sz w:val="18"/>
                <w:szCs w:val="18"/>
                <w:color w:val="auto"/>
                <w:w w:val="91"/>
              </w:rPr>
              <w:t>2.61</w:t>
            </w:r>
          </w:p>
        </w:tc>
        <w:tc>
          <w:tcPr>
            <w:tcW w:w="12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4"/>
              </w:rPr>
              <w:t>3.75 or Lower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460" w:type="dxa"/>
            <w:vAlign w:val="bottom"/>
          </w:tcPr>
          <w:p>
            <w:pPr>
              <w:jc w:val="center"/>
              <w:ind w:left="852"/>
              <w:spacing w:after="0"/>
              <w:rPr>
                <w:sz w:val="20"/>
                <w:szCs w:val="20"/>
                <w:color w:val="auto"/>
              </w:rPr>
            </w:pPr>
            <w:r>
              <w:rPr>
                <w:rFonts w:ascii="Arial" w:cs="Arial" w:eastAsia="Arial" w:hAnsi="Arial"/>
                <w:sz w:val="18"/>
                <w:szCs w:val="18"/>
                <w:color w:val="auto"/>
                <w:w w:val="91"/>
              </w:rPr>
              <w:t>3.25</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2.00 or Higher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Minimum liquidity balance (in millions)</w:t>
            </w:r>
          </w:p>
        </w:tc>
        <w:tc>
          <w:tcPr>
            <w:tcW w:w="1460" w:type="dxa"/>
            <w:vAlign w:val="bottom"/>
          </w:tcPr>
          <w:p>
            <w:pPr>
              <w:jc w:val="center"/>
              <w:ind w:left="832"/>
              <w:spacing w:after="0"/>
              <w:rPr>
                <w:sz w:val="20"/>
                <w:szCs w:val="20"/>
                <w:color w:val="auto"/>
              </w:rPr>
            </w:pPr>
            <w:r>
              <w:rPr>
                <w:rFonts w:ascii="Arial" w:cs="Arial" w:eastAsia="Arial" w:hAnsi="Arial"/>
                <w:sz w:val="18"/>
                <w:szCs w:val="18"/>
                <w:color w:val="auto"/>
                <w:w w:val="90"/>
              </w:rPr>
              <w:t>$149.1</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3"/>
              </w:rPr>
              <w:t>$25.0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Capital Commitments. </w:t>
      </w:r>
      <w:r>
        <w:rPr>
          <w:rFonts w:ascii="Arial" w:cs="Arial" w:eastAsia="Arial" w:hAnsi="Arial"/>
          <w:sz w:val="18"/>
          <w:szCs w:val="18"/>
          <w:color w:val="auto"/>
        </w:rPr>
        <w:t>Capital expenditures are expected to be between $145 million and $155 million for the full year 2018 depending on the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deliveries of equipment. Delays in equipment deliveries could shift spending into 2019.</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spent $92.3 million on capital projects in the first nine months of 2018, compared to $109.4 million in the comparable 2017 period. Spending related to Wireless projects accounted for $51.0 million in the first nine months of 2018, primarily for upgrades to the recently acquired expansion areas and continued expansion of coverage in the former nTelos territory. Spending related to Cable projects accounted for $13.2 million in the first nine months of 2018, primarily for network and cable market expansion. Spending related to Wireline projects accounted for $21.6 million in the first nine months of 2018, primarily for fiber builds and increased capacity projects. The remaining $6.5 million of capital expenditures is largely related to information technology projects and fleet vehicles.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 can be no assurance that we will continue to generate cash flows at or above current levels or that we will be able to maintain our ability to borrow under our credit facilities. Thereafter, capital expenditures will likely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new market developments and expansion opportunities.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the acquired cable markets, is also critical to our ability to maintain a positive cash flow from operations. The foregoing events individually or collectively could affect our results.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the preparation of our unaudited condensed consolidated financial statements. For a more detailed discussion of our critical accounting policies, please refer to our 2017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Recently issued accounting standards and their expected impact, if any,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of the notes to our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two components. The first component is outstanding debt with variable rates. As of September 30, 2018, the Company had $790.1 million of gross variable rate debt outstanding, with unamortized loan fees and costs of $11.3 million, bearing interest at a weighted average rate of 4.11% as determined on a quarterly basis. An increase in market interest rates of 1.00% would add approximately $7.6 million to annual interest expense, excluding the effect of the interest rate swap. In May 2016, the Company entered into a pay-fixed, receive-variable interest rate swap with three counterparties totaling $256.6 million of notional principal (subject to change based upon expected draws under the delayed draw term loan and principal payments due under our debt agreements). These swaps, combined with the swap purchased in 2012, cover notional principal equal to approximately 50% of the outstanding variable rate debt through maturity in 2023. The Company is required to pay a combined fixed rate of approximately 1.16% and receive a variable rate based on one month LIBOR (2.08% for September 2018), to manage a portion of its interest rate risk. Changes in the net interest paid or received under the swaps would offset approximately 50% of the change in interest expense on the variable rate debt outstanding. The swap agreements currently reduce annual interest expense by approximately $5.4 million, based on the spread between the fixed rate and the variable rate currently in effect on our debt.</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second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September 30, 2018, the Company has $395.1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with the participation of our President and Chief Executive Officer, who is the principal executive officer, and the Senior Vice President - Finance and Chief Financial Officer, who is the principal financial officer, conducted an evaluation of our disclosure controls and procedures, (as defined by Rule 13a-15(e) under the Securities Exchange Act of 1934), as of the end of the period covered by this Quarterly report on Form 10-Q.</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disclosed in our Annual Report on Form 10-K for our fiscal year ended December 31, 2017,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and our Senior Vice President - Finance and Chief Financial Officer have concluded that our disclosure controls and procedures continued to be ineffective as of September 30, 2018.</w:t>
      </w:r>
    </w:p>
    <w:p>
      <w:pPr>
        <w:spacing w:after="0" w:line="10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as of September 30, 2018, that have materially affected or are reasonably likely to materially affect, the Company’s internal control over financial reporting.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continuing to implement the remediation plans as disclosed in our Annual Report on Form 10-K for our fiscal year ended December 31, 2017. We believe that these actions and the improvements we expect to achieve will effectively remediate the material weaknesses. However, these material weaknesses will not be considered remediated until the enhanced controls operate for a sufficient period of time and management has concluded that these controls are operating effectively.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September 30, 2018, the Company has not identified any needed updates to the risk factors included in our most recent Form 10-K.</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125" w:right="4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exhibits are filed with this Quarterly Report on Form 10-Q:</w:t>
      </w:r>
    </w:p>
    <w:p>
      <w:pPr>
        <w:spacing w:after="0" w:line="171"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333"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333" w:lineRule="exact"/>
        <w:rPr>
          <w:sz w:val="20"/>
          <w:szCs w:val="20"/>
          <w:color w:val="auto"/>
        </w:rPr>
      </w:pPr>
    </w:p>
    <w:p>
      <w:pPr>
        <w:ind w:left="280"/>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333"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Consultant Agreement</w:t>
      </w:r>
    </w:p>
    <w:p>
      <w:pPr>
        <w:spacing w:after="0" w:line="387" w:lineRule="exact"/>
        <w:rPr>
          <w:sz w:val="20"/>
          <w:szCs w:val="20"/>
          <w:color w:val="auto"/>
        </w:rPr>
      </w:pPr>
    </w:p>
    <w:p>
      <w:pPr>
        <w:ind w:left="960" w:hanging="68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ectPr>
          <w:pgSz w:w="11900" w:h="16838" w:orient="portrait"/>
          <w:cols w:equalWidth="0" w:num="1">
            <w:col w:w="11240"/>
          </w:cols>
          <w:pgMar w:left="240" w:top="125" w:right="419" w:bottom="1440" w:gutter="0" w:footer="0" w:header="0"/>
        </w:sectPr>
      </w:pPr>
    </w:p>
    <w:p>
      <w:pPr>
        <w:spacing w:after="0" w:line="33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1640" w:space="680"/>
            <w:col w:w="8920"/>
          </w:cols>
          <w:pgMar w:left="240" w:top="125" w:right="419" w:bottom="1440" w:gutter="0" w:footer="0" w:header="0"/>
          <w:type w:val="continuous"/>
        </w:sectPr>
      </w:pPr>
    </w:p>
    <w:p>
      <w:pPr>
        <w:spacing w:after="0" w:line="1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1700" w:space="620"/>
            <w:col w:w="8920"/>
          </w:cols>
          <w:pgMar w:left="240" w:top="125" w:right="419" w:bottom="1440" w:gutter="0" w:footer="0" w:header="0"/>
          <w:type w:val="continuous"/>
        </w:sectPr>
      </w:pPr>
    </w:p>
    <w:p>
      <w:pPr>
        <w:spacing w:after="0" w:line="15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1720" w:space="600"/>
            <w:col w:w="8920"/>
          </w:cols>
          <w:pgMar w:left="240" w:top="125" w:right="419" w:bottom="1440" w:gutter="0" w:footer="0" w:header="0"/>
          <w:type w:val="continuous"/>
        </w:sectPr>
      </w:pPr>
    </w:p>
    <w:p>
      <w:pPr>
        <w:spacing w:after="0" w:line="14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11" w:lineRule="exact"/>
        <w:rPr>
          <w:sz w:val="20"/>
          <w:szCs w:val="20"/>
          <w:color w:val="auto"/>
        </w:rPr>
      </w:pPr>
    </w:p>
    <w:p>
      <w:pPr>
        <w:sectPr>
          <w:pgSz w:w="11900" w:h="16838" w:orient="portrait"/>
          <w:cols w:equalWidth="0" w:num="2">
            <w:col w:w="1700" w:space="620"/>
            <w:col w:w="8920"/>
          </w:cols>
          <w:pgMar w:left="240" w:top="125" w:right="419" w:bottom="1440" w:gutter="0" w:footer="0" w:header="0"/>
          <w:type w:val="continuous"/>
        </w:sectPr>
      </w:pPr>
    </w:p>
    <w:p>
      <w:pPr>
        <w:spacing w:after="0" w:line="14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1720" w:space="600"/>
            <w:col w:w="8920"/>
          </w:cols>
          <w:pgMar w:left="240" w:top="125" w:right="419" w:bottom="1440" w:gutter="0" w:footer="0" w:header="0"/>
          <w:type w:val="continuous"/>
        </w:sectPr>
      </w:pPr>
    </w:p>
    <w:p>
      <w:pPr>
        <w:spacing w:after="0" w:line="14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680" w:space="640"/>
            <w:col w:w="8920"/>
          </w:cols>
          <w:pgMar w:left="240" w:top="125" w:right="419" w:bottom="1440" w:gutter="0" w:footer="0" w:header="0"/>
          <w:type w:val="continuous"/>
        </w:sectPr>
      </w:pPr>
    </w:p>
    <w:p>
      <w:pPr>
        <w:spacing w:after="0" w:line="3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ectPr>
          <w:pgSz w:w="11900" w:h="16838" w:orient="portrait"/>
          <w:cols w:equalWidth="0" w:num="1">
            <w:col w:w="11240"/>
          </w:cols>
          <w:pgMar w:left="240" w:top="125" w:right="419" w:bottom="1440" w:gutter="0" w:footer="0" w:header="0"/>
          <w:type w:val="continuous"/>
        </w:sectPr>
      </w:pPr>
    </w:p>
    <w:p>
      <w:pPr>
        <w:spacing w:after="0" w:line="360" w:lineRule="exact"/>
        <w:rPr>
          <w:sz w:val="20"/>
          <w:szCs w:val="20"/>
          <w:color w:val="auto"/>
        </w:rPr>
      </w:pPr>
    </w:p>
    <w:p>
      <w:pPr>
        <w:jc w:val="both"/>
        <w:ind w:left="66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125" w:right="419" w:bottom="1440" w:gutter="0" w:footer="0" w:header="0"/>
          <w:type w:val="continuous"/>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383" w:lineRule="exact"/>
        <w:rPr>
          <w:sz w:val="20"/>
          <w:szCs w:val="20"/>
          <w:color w:val="auto"/>
        </w:rPr>
      </w:pPr>
    </w:p>
    <w:p>
      <w:pPr>
        <w:ind w:left="180"/>
        <w:spacing w:after="0"/>
        <w:tabs>
          <w:tab w:leader="none" w:pos="57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Exhibit</w:t>
      </w:r>
    </w:p>
    <w:p>
      <w:pPr>
        <w:spacing w:after="0" w:line="364" w:lineRule="exact"/>
        <w:rPr>
          <w:sz w:val="20"/>
          <w:szCs w:val="20"/>
          <w:color w:val="auto"/>
        </w:rPr>
      </w:pPr>
    </w:p>
    <w:p>
      <w:pPr>
        <w:ind w:left="420"/>
        <w:spacing w:after="0"/>
        <w:tabs>
          <w:tab w:leader="none" w:pos="1240" w:val="left"/>
        </w:tabs>
        <w:rPr>
          <w:rFonts w:ascii="Arial" w:cs="Arial" w:eastAsia="Arial" w:hAnsi="Arial"/>
          <w:sz w:val="18"/>
          <w:szCs w:val="18"/>
          <w:color w:val="0000FF"/>
        </w:rPr>
      </w:pPr>
      <w:hyperlink w:anchor="page51">
        <w:r>
          <w:rPr>
            <w:rFonts w:ascii="Arial" w:cs="Arial" w:eastAsia="Arial" w:hAnsi="Arial"/>
            <w:sz w:val="18"/>
            <w:szCs w:val="18"/>
            <w:u w:val="single" w:color="auto"/>
            <w:color w:val="0000FF"/>
          </w:rPr>
          <w:t>31.1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President and Chief Executive Officer pursuant to Rule 13a-14(a) under the Securities Exchange Act of 1934.</w:t>
      </w:r>
    </w:p>
    <w:p>
      <w:pPr>
        <w:spacing w:after="0" w:line="333" w:lineRule="exact"/>
        <w:rPr>
          <w:sz w:val="20"/>
          <w:szCs w:val="20"/>
          <w:color w:val="auto"/>
        </w:rPr>
      </w:pPr>
    </w:p>
    <w:p>
      <w:pPr>
        <w:ind w:left="420"/>
        <w:spacing w:after="0"/>
        <w:tabs>
          <w:tab w:leader="none" w:pos="1240" w:val="left"/>
        </w:tabs>
        <w:rPr>
          <w:rFonts w:ascii="Arial" w:cs="Arial" w:eastAsia="Arial" w:hAnsi="Arial"/>
          <w:sz w:val="18"/>
          <w:szCs w:val="18"/>
          <w:color w:val="0000FF"/>
        </w:rPr>
      </w:pPr>
      <w:hyperlink w:anchor="page52">
        <w:r>
          <w:rPr>
            <w:rFonts w:ascii="Arial" w:cs="Arial" w:eastAsia="Arial" w:hAnsi="Arial"/>
            <w:sz w:val="18"/>
            <w:szCs w:val="18"/>
            <w:u w:val="single" w:color="auto"/>
            <w:color w:val="0000FF"/>
          </w:rPr>
          <w:t>31.2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Vice President - Finance and Chief Financial Officer pursuant to Rule 13a-14(a) under the Securities Exchange Act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1934.</w:t>
      </w:r>
    </w:p>
    <w:p>
      <w:pPr>
        <w:spacing w:after="0" w:line="319" w:lineRule="exact"/>
        <w:rPr>
          <w:sz w:val="20"/>
          <w:szCs w:val="20"/>
          <w:color w:val="auto"/>
        </w:rPr>
      </w:pPr>
    </w:p>
    <w:p>
      <w:pPr>
        <w:ind w:left="440"/>
        <w:spacing w:after="0"/>
        <w:tabs>
          <w:tab w:leader="none" w:pos="1240" w:val="left"/>
        </w:tabs>
        <w:rPr>
          <w:rFonts w:ascii="Arial" w:cs="Arial" w:eastAsia="Arial" w:hAnsi="Arial"/>
          <w:sz w:val="18"/>
          <w:szCs w:val="18"/>
          <w:color w:val="0000FF"/>
        </w:rPr>
      </w:pPr>
      <w:hyperlink w:anchor="page53">
        <w:r>
          <w:rPr>
            <w:rFonts w:ascii="Arial" w:cs="Arial" w:eastAsia="Arial" w:hAnsi="Arial"/>
            <w:sz w:val="18"/>
            <w:szCs w:val="18"/>
            <w:u w:val="single" w:color="auto"/>
            <w:color w:val="0000FF"/>
          </w:rPr>
          <w:t>32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Certifications pursuant to Rule 13a-14(b) under the Securities Exchange Act of 1934 and 18 U.S.C. § 1350.</w:t>
      </w:r>
    </w:p>
    <w:p>
      <w:pPr>
        <w:spacing w:after="0" w:line="387" w:lineRule="exact"/>
        <w:rPr>
          <w:sz w:val="20"/>
          <w:szCs w:val="20"/>
          <w:color w:val="auto"/>
        </w:rPr>
      </w:pPr>
    </w:p>
    <w:p>
      <w:pPr>
        <w:ind w:left="360"/>
        <w:spacing w:after="0"/>
        <w:tabs>
          <w:tab w:leader="none" w:pos="1240" w:val="left"/>
        </w:tabs>
        <w:rPr>
          <w:rFonts w:ascii="Arial" w:cs="Arial" w:eastAsia="Arial" w:hAnsi="Arial"/>
          <w:sz w:val="18"/>
          <w:szCs w:val="18"/>
          <w:color w:val="0000FF"/>
        </w:rPr>
      </w:pPr>
      <w:hyperlink w:anchor="page54">
        <w:r>
          <w:rPr>
            <w:rFonts w:ascii="Arial" w:cs="Arial" w:eastAsia="Arial" w:hAnsi="Arial"/>
            <w:sz w:val="18"/>
            <w:szCs w:val="18"/>
            <w:u w:val="single" w:color="auto"/>
            <w:color w:val="0000FF"/>
          </w:rPr>
          <w:t>99.1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Consultant Agreement</w:t>
      </w:r>
    </w:p>
    <w:p>
      <w:pPr>
        <w:spacing w:after="0" w:line="333" w:lineRule="exact"/>
        <w:rPr>
          <w:sz w:val="20"/>
          <w:szCs w:val="20"/>
          <w:color w:val="auto"/>
        </w:rPr>
      </w:pPr>
    </w:p>
    <w:p>
      <w:pPr>
        <w:ind w:left="1260" w:hanging="839"/>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33"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482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820" w:type="dxa"/>
            <w:vAlign w:val="bottom"/>
          </w:tcPr>
          <w:p>
            <w:pPr>
              <w:ind w:left="3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820" w:type="dxa"/>
            <w:vAlign w:val="bottom"/>
          </w:tcPr>
          <w:p>
            <w:pPr>
              <w:ind w:left="3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820" w:type="dxa"/>
            <w:vAlign w:val="bottom"/>
          </w:tcPr>
          <w:p>
            <w:pPr>
              <w:ind w:left="3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18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60" w:lineRule="exact"/>
        <w:rPr>
          <w:sz w:val="20"/>
          <w:szCs w:val="20"/>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SHENANDOAH TELECOMMUNICATIONS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/s/JAMES F. WOODWARD</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F. Woodward</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Senior Vice President – Finance and Chief Financial Officer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600"/>
          </w:cols>
          <w:pgMar w:left="240" w:top="125" w:right="10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F. Woodward,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571"/>
        <w:spacing w:after="0" w:line="342"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F. WOODWARD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F. Woodward, Senior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160" w:firstLine="656"/>
        <w:spacing w:after="0" w:line="264" w:lineRule="auto"/>
        <w:tabs>
          <w:tab w:leader="none" w:pos="13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three months ended September 30, 2018 filed on the date hereof with the Securities and Exchange Commission (the “Report”) fully complies with the requirements of Section 13(a) or 15(d) of the Securities Exchange Act of 1934; and</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November 6, 2018</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/S/JAMES F. WOODWARD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James F. Woodward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 Finance and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November 6, 2018</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9279890</wp:posOffset>
            </wp:positionV>
            <wp:extent cx="678751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10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2019-12-28T18:34:36Z</dcterms:created>
  <dcterms:modified xsi:type="dcterms:W3CDTF">2019-12-28T18:34:36Z</dcterms:modified>
</cp:coreProperties>
</file>