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147320</wp:posOffset>
            </wp:positionH>
            <wp:positionV relativeFrom="page">
              <wp:posOffset>109220</wp:posOffset>
            </wp:positionV>
            <wp:extent cx="7266940" cy="35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940" cy="35560"/>
                    </a:xfrm>
                    <a:prstGeom prst="rect">
                      <a:avLst/>
                    </a:prstGeom>
                    <a:noFill/>
                  </pic:spPr>
                </pic:pic>
              </a:graphicData>
            </a:graphic>
          </wp:anchor>
        </w:drawing>
        <w:t>UNITED STATES</w:t>
      </w:r>
    </w:p>
    <w:p>
      <w:pPr>
        <w:spacing w:after="0" w:line="37" w:lineRule="exact"/>
        <w:rPr>
          <w:sz w:val="24"/>
          <w:szCs w:val="24"/>
          <w:color w:val="auto"/>
        </w:rPr>
      </w:pPr>
    </w:p>
    <w:p>
      <w:pPr>
        <w:jc w:val="center"/>
        <w:ind w:right="-363"/>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363"/>
        <w:spacing w:after="0"/>
        <w:rPr>
          <w:sz w:val="20"/>
          <w:szCs w:val="20"/>
          <w:color w:val="auto"/>
        </w:rPr>
      </w:pPr>
      <w:r>
        <w:rPr>
          <w:rFonts w:ascii="Arial" w:cs="Arial" w:eastAsia="Arial" w:hAnsi="Arial"/>
          <w:sz w:val="19"/>
          <w:szCs w:val="19"/>
          <w:b w:val="1"/>
          <w:bCs w:val="1"/>
          <w:color w:val="auto"/>
        </w:rPr>
        <w:t>Washington, D.C. 20549</w:t>
      </w:r>
    </w:p>
    <w:p>
      <w:pPr>
        <w:spacing w:after="0" w:line="180" w:lineRule="exact"/>
        <w:rPr>
          <w:sz w:val="24"/>
          <w:szCs w:val="24"/>
          <w:color w:val="auto"/>
        </w:rPr>
      </w:pPr>
    </w:p>
    <w:p>
      <w:pPr>
        <w:jc w:val="center"/>
        <w:ind w:right="-363"/>
        <w:spacing w:after="0"/>
        <w:rPr>
          <w:sz w:val="20"/>
          <w:szCs w:val="20"/>
          <w:color w:val="auto"/>
        </w:rPr>
      </w:pPr>
      <w:r>
        <w:rPr>
          <w:rFonts w:ascii="Arial" w:cs="Arial" w:eastAsia="Arial" w:hAnsi="Arial"/>
          <w:sz w:val="29"/>
          <w:szCs w:val="29"/>
          <w:b w:val="1"/>
          <w:bCs w:val="1"/>
          <w:color w:val="auto"/>
        </w:rPr>
        <w:t>FORM 8-K</w:t>
      </w:r>
    </w:p>
    <w:p>
      <w:pPr>
        <w:spacing w:after="0" w:line="29" w:lineRule="exact"/>
        <w:rPr>
          <w:sz w:val="24"/>
          <w:szCs w:val="24"/>
          <w:color w:val="auto"/>
        </w:rPr>
      </w:pPr>
    </w:p>
    <w:p>
      <w:pPr>
        <w:jc w:val="center"/>
        <w:ind w:right="-363"/>
        <w:spacing w:after="0"/>
        <w:rPr>
          <w:sz w:val="20"/>
          <w:szCs w:val="20"/>
          <w:color w:val="auto"/>
        </w:rPr>
      </w:pPr>
      <w:r>
        <w:rPr>
          <w:rFonts w:ascii="Arial" w:cs="Arial" w:eastAsia="Arial" w:hAnsi="Arial"/>
          <w:sz w:val="16"/>
          <w:szCs w:val="16"/>
          <w:b w:val="1"/>
          <w:bCs w:val="1"/>
          <w:color w:val="auto"/>
        </w:rPr>
        <w:t>CURRENT REPORT</w:t>
      </w:r>
    </w:p>
    <w:p>
      <w:pPr>
        <w:spacing w:after="0" w:line="7" w:lineRule="exact"/>
        <w:rPr>
          <w:sz w:val="24"/>
          <w:szCs w:val="24"/>
          <w:color w:val="auto"/>
        </w:rPr>
      </w:pPr>
    </w:p>
    <w:p>
      <w:pPr>
        <w:jc w:val="center"/>
        <w:ind w:right="-363"/>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12" w:lineRule="exact"/>
        <w:rPr>
          <w:sz w:val="24"/>
          <w:szCs w:val="24"/>
          <w:color w:val="auto"/>
        </w:rPr>
      </w:pPr>
    </w:p>
    <w:p>
      <w:pPr>
        <w:jc w:val="center"/>
        <w:ind w:right="-363"/>
        <w:spacing w:after="0"/>
        <w:rPr>
          <w:sz w:val="20"/>
          <w:szCs w:val="20"/>
          <w:color w:val="auto"/>
        </w:rPr>
      </w:pPr>
      <w:r>
        <w:rPr>
          <w:rFonts w:ascii="Arial" w:cs="Arial" w:eastAsia="Arial" w:hAnsi="Arial"/>
          <w:sz w:val="16"/>
          <w:szCs w:val="16"/>
          <w:color w:val="auto"/>
        </w:rPr>
        <w:t>Date of Report (Date of earliest event reported): June 9, 2010</w:t>
      </w:r>
    </w:p>
    <w:p>
      <w:pPr>
        <w:spacing w:after="0" w:line="21" w:lineRule="exact"/>
        <w:rPr>
          <w:sz w:val="24"/>
          <w:szCs w:val="24"/>
          <w:color w:val="auto"/>
        </w:rPr>
      </w:pPr>
    </w:p>
    <w:p>
      <w:pPr>
        <w:ind w:left="4964"/>
        <w:spacing w:after="0"/>
        <w:rPr>
          <w:sz w:val="20"/>
          <w:szCs w:val="20"/>
          <w:color w:val="auto"/>
        </w:rPr>
      </w:pPr>
      <w:r>
        <w:rPr>
          <w:rFonts w:ascii="Arial" w:cs="Arial" w:eastAsia="Arial" w:hAnsi="Arial"/>
          <w:sz w:val="16"/>
          <w:szCs w:val="16"/>
          <w:b w:val="1"/>
          <w:bCs w:val="1"/>
          <w:color w:val="auto"/>
        </w:rPr>
        <w:t>___________________</w:t>
      </w:r>
    </w:p>
    <w:p>
      <w:pPr>
        <w:spacing w:after="0" w:line="196" w:lineRule="exact"/>
        <w:rPr>
          <w:sz w:val="24"/>
          <w:szCs w:val="24"/>
          <w:color w:val="auto"/>
        </w:rPr>
      </w:pPr>
    </w:p>
    <w:p>
      <w:pPr>
        <w:jc w:val="center"/>
        <w:ind w:right="-363"/>
        <w:spacing w:after="0"/>
        <w:rPr>
          <w:sz w:val="20"/>
          <w:szCs w:val="20"/>
          <w:color w:val="auto"/>
        </w:rPr>
      </w:pPr>
      <w:r>
        <w:rPr>
          <w:rFonts w:ascii="Arial" w:cs="Arial" w:eastAsia="Arial" w:hAnsi="Arial"/>
          <w:sz w:val="34"/>
          <w:szCs w:val="34"/>
          <w:u w:val="single" w:color="auto"/>
          <w:color w:val="auto"/>
        </w:rPr>
        <w:t>Shenandoah Telecommunications Company</w:t>
      </w:r>
    </w:p>
    <w:p>
      <w:pPr>
        <w:spacing w:after="0" w:line="83" w:lineRule="exact"/>
        <w:rPr>
          <w:sz w:val="24"/>
          <w:szCs w:val="24"/>
          <w:color w:val="auto"/>
        </w:rPr>
      </w:pPr>
    </w:p>
    <w:p>
      <w:pPr>
        <w:jc w:val="center"/>
        <w:ind w:right="-363"/>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7" w:lineRule="exact"/>
        <w:rPr>
          <w:sz w:val="24"/>
          <w:szCs w:val="24"/>
          <w:color w:val="auto"/>
        </w:rPr>
      </w:pPr>
    </w:p>
    <w:p>
      <w:pPr>
        <w:ind w:left="5004"/>
        <w:spacing w:after="0"/>
        <w:rPr>
          <w:sz w:val="20"/>
          <w:szCs w:val="20"/>
          <w:color w:val="auto"/>
        </w:rPr>
      </w:pPr>
      <w:r>
        <w:rPr>
          <w:rFonts w:ascii="Arial" w:cs="Arial" w:eastAsia="Arial" w:hAnsi="Arial"/>
          <w:sz w:val="16"/>
          <w:szCs w:val="16"/>
          <w:b w:val="1"/>
          <w:bCs w:val="1"/>
          <w:color w:val="auto"/>
        </w:rPr>
        <w:t>__________________</w:t>
      </w:r>
    </w:p>
    <w:p>
      <w:pPr>
        <w:sectPr>
          <w:pgSz w:w="11900" w:h="16838" w:orient="portrait"/>
          <w:cols w:equalWidth="0" w:num="1">
            <w:col w:w="11084"/>
          </w:cols>
          <w:pgMar w:left="236" w:top="286" w:right="579" w:bottom="1440" w:gutter="0" w:footer="0" w:header="0"/>
        </w:sectPr>
      </w:pPr>
    </w:p>
    <w:p>
      <w:pPr>
        <w:spacing w:after="0" w:line="208" w:lineRule="exact"/>
        <w:rPr>
          <w:sz w:val="24"/>
          <w:szCs w:val="24"/>
          <w:color w:val="auto"/>
        </w:rPr>
      </w:pPr>
    </w:p>
    <w:p>
      <w:pPr>
        <w:jc w:val="center"/>
        <w:ind w:right="296"/>
        <w:spacing w:after="0"/>
        <w:rPr>
          <w:sz w:val="20"/>
          <w:szCs w:val="20"/>
          <w:color w:val="auto"/>
        </w:rPr>
      </w:pPr>
      <w:r>
        <w:rPr>
          <w:rFonts w:ascii="Arial" w:cs="Arial" w:eastAsia="Arial" w:hAnsi="Arial"/>
          <w:sz w:val="16"/>
          <w:szCs w:val="16"/>
          <w:b w:val="1"/>
          <w:bCs w:val="1"/>
          <w:color w:val="auto"/>
        </w:rPr>
        <w:t>Virginia</w:t>
      </w:r>
    </w:p>
    <w:p>
      <w:pPr>
        <w:spacing w:after="0" w:line="25" w:lineRule="exact"/>
        <w:rPr>
          <w:sz w:val="24"/>
          <w:szCs w:val="24"/>
          <w:color w:val="auto"/>
        </w:rPr>
      </w:pPr>
    </w:p>
    <w:p>
      <w:pPr>
        <w:jc w:val="center"/>
        <w:ind w:right="296"/>
        <w:spacing w:after="0"/>
        <w:rPr>
          <w:sz w:val="20"/>
          <w:szCs w:val="20"/>
          <w:color w:val="auto"/>
        </w:rPr>
      </w:pPr>
      <w:r>
        <w:rPr>
          <w:rFonts w:ascii="Arial" w:cs="Arial" w:eastAsia="Arial" w:hAnsi="Arial"/>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0-9881</w:t>
      </w:r>
    </w:p>
    <w:p>
      <w:pPr>
        <w:spacing w:after="0" w:line="25" w:lineRule="exact"/>
        <w:rPr>
          <w:sz w:val="24"/>
          <w:szCs w:val="24"/>
          <w:color w:val="auto"/>
        </w:rPr>
      </w:pPr>
    </w:p>
    <w:p>
      <w:pPr>
        <w:jc w:val="center"/>
        <w:ind w:right="110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ind w:right="460"/>
        <w:spacing w:after="0"/>
        <w:rPr>
          <w:sz w:val="20"/>
          <w:szCs w:val="20"/>
          <w:color w:val="auto"/>
        </w:rPr>
      </w:pPr>
      <w:r>
        <w:rPr>
          <w:rFonts w:ascii="Arial" w:cs="Arial" w:eastAsia="Arial" w:hAnsi="Arial"/>
          <w:sz w:val="16"/>
          <w:szCs w:val="16"/>
          <w:b w:val="1"/>
          <w:bCs w:val="1"/>
          <w:color w:val="auto"/>
        </w:rPr>
        <w:t>54-1162807</w:t>
      </w:r>
    </w:p>
    <w:p>
      <w:pPr>
        <w:spacing w:after="0" w:line="25" w:lineRule="exact"/>
        <w:rPr>
          <w:sz w:val="24"/>
          <w:szCs w:val="24"/>
          <w:color w:val="auto"/>
        </w:rPr>
      </w:pPr>
    </w:p>
    <w:p>
      <w:pPr>
        <w:jc w:val="center"/>
        <w:ind w:right="460"/>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3">
            <w:col w:w="4104" w:space="720"/>
            <w:col w:w="2880" w:space="720"/>
            <w:col w:w="2660"/>
          </w:cols>
          <w:pgMar w:left="236" w:top="286" w:right="579" w:bottom="1440" w:gutter="0" w:footer="0" w:header="0"/>
          <w:type w:val="continuous"/>
        </w:sectPr>
      </w:pPr>
    </w:p>
    <w:p>
      <w:pPr>
        <w:spacing w:after="0" w:line="236" w:lineRule="exact"/>
        <w:rPr>
          <w:sz w:val="24"/>
          <w:szCs w:val="24"/>
          <w:color w:val="auto"/>
        </w:rPr>
      </w:pPr>
    </w:p>
    <w:p>
      <w:pPr>
        <w:jc w:val="center"/>
        <w:ind w:right="1796"/>
        <w:spacing w:after="0"/>
        <w:rPr>
          <w:sz w:val="20"/>
          <w:szCs w:val="20"/>
          <w:color w:val="auto"/>
        </w:rPr>
      </w:pPr>
      <w:r>
        <w:rPr>
          <w:rFonts w:ascii="Arial" w:cs="Arial" w:eastAsia="Arial" w:hAnsi="Arial"/>
          <w:sz w:val="16"/>
          <w:szCs w:val="16"/>
          <w:b w:val="1"/>
          <w:bCs w:val="1"/>
          <w:color w:val="auto"/>
        </w:rPr>
        <w:t>500 Shentel Way</w:t>
      </w:r>
    </w:p>
    <w:p>
      <w:pPr>
        <w:spacing w:after="0" w:line="25" w:lineRule="exact"/>
        <w:rPr>
          <w:sz w:val="24"/>
          <w:szCs w:val="24"/>
          <w:color w:val="auto"/>
        </w:rPr>
      </w:pPr>
    </w:p>
    <w:p>
      <w:pPr>
        <w:jc w:val="center"/>
        <w:ind w:right="1796"/>
        <w:spacing w:after="0"/>
        <w:rPr>
          <w:sz w:val="20"/>
          <w:szCs w:val="20"/>
          <w:color w:val="auto"/>
        </w:rPr>
      </w:pPr>
      <w:r>
        <w:rPr>
          <w:rFonts w:ascii="Arial" w:cs="Arial" w:eastAsia="Arial" w:hAnsi="Arial"/>
          <w:sz w:val="16"/>
          <w:szCs w:val="16"/>
          <w:b w:val="1"/>
          <w:bCs w:val="1"/>
          <w:color w:val="auto"/>
        </w:rPr>
        <w:t>P.O. Box 459</w:t>
      </w:r>
    </w:p>
    <w:p>
      <w:pPr>
        <w:spacing w:after="0" w:line="8" w:lineRule="exact"/>
        <w:rPr>
          <w:sz w:val="24"/>
          <w:szCs w:val="24"/>
          <w:color w:val="auto"/>
        </w:rPr>
      </w:pPr>
    </w:p>
    <w:p>
      <w:pPr>
        <w:jc w:val="center"/>
        <w:ind w:right="1796"/>
        <w:spacing w:after="0"/>
        <w:rPr>
          <w:sz w:val="20"/>
          <w:szCs w:val="20"/>
          <w:color w:val="auto"/>
        </w:rPr>
      </w:pPr>
      <w:r>
        <w:rPr>
          <w:rFonts w:ascii="Arial" w:cs="Arial" w:eastAsia="Arial" w:hAnsi="Arial"/>
          <w:sz w:val="16"/>
          <w:szCs w:val="16"/>
          <w:b w:val="1"/>
          <w:bCs w:val="1"/>
          <w:color w:val="auto"/>
        </w:rPr>
        <w:t>Edinburg, VA</w:t>
      </w:r>
    </w:p>
    <w:p>
      <w:pPr>
        <w:spacing w:after="0" w:line="8" w:lineRule="exact"/>
        <w:rPr>
          <w:sz w:val="24"/>
          <w:szCs w:val="24"/>
          <w:color w:val="auto"/>
        </w:rPr>
      </w:pPr>
    </w:p>
    <w:p>
      <w:pPr>
        <w:jc w:val="center"/>
        <w:ind w:right="1796"/>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2160"/>
        <w:spacing w:after="0"/>
        <w:rPr>
          <w:sz w:val="20"/>
          <w:szCs w:val="20"/>
          <w:color w:val="auto"/>
        </w:rPr>
      </w:pPr>
      <w:r>
        <w:rPr>
          <w:rFonts w:ascii="Arial" w:cs="Arial" w:eastAsia="Arial" w:hAnsi="Arial"/>
          <w:sz w:val="16"/>
          <w:szCs w:val="16"/>
          <w:b w:val="1"/>
          <w:bCs w:val="1"/>
          <w:color w:val="auto"/>
        </w:rPr>
        <w:t>22824</w:t>
      </w:r>
    </w:p>
    <w:p>
      <w:pPr>
        <w:spacing w:after="0" w:line="25" w:lineRule="exact"/>
        <w:rPr>
          <w:sz w:val="24"/>
          <w:szCs w:val="24"/>
          <w:color w:val="auto"/>
        </w:rPr>
      </w:pPr>
    </w:p>
    <w:p>
      <w:pPr>
        <w:jc w:val="center"/>
        <w:ind w:right="2160"/>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7504" w:space="720"/>
            <w:col w:w="2860"/>
          </w:cols>
          <w:pgMar w:left="236" w:top="286" w:right="579" w:bottom="1440" w:gutter="0" w:footer="0" w:header="0"/>
          <w:type w:val="continuous"/>
        </w:sectPr>
      </w:pPr>
    </w:p>
    <w:p>
      <w:pPr>
        <w:spacing w:after="0" w:line="31" w:lineRule="exact"/>
        <w:rPr>
          <w:sz w:val="24"/>
          <w:szCs w:val="24"/>
          <w:color w:val="auto"/>
        </w:rPr>
      </w:pPr>
    </w:p>
    <w:p>
      <w:pPr>
        <w:ind w:left="4"/>
        <w:spacing w:after="0"/>
        <w:rPr>
          <w:sz w:val="20"/>
          <w:szCs w:val="20"/>
          <w:color w:val="auto"/>
        </w:rPr>
      </w:pPr>
      <w:r>
        <w:rPr>
          <w:rFonts w:ascii="Arial" w:cs="Arial" w:eastAsia="Arial" w:hAnsi="Arial"/>
          <w:sz w:val="16"/>
          <w:szCs w:val="16"/>
          <w:b w:val="1"/>
          <w:bCs w:val="1"/>
          <w:color w:val="auto"/>
        </w:rPr>
        <w:t>Registrant’s telephone number, including area code: (540) 984-4141</w:t>
      </w:r>
    </w:p>
    <w:p>
      <w:pPr>
        <w:spacing w:after="0" w:line="200" w:lineRule="exact"/>
        <w:rPr>
          <w:sz w:val="24"/>
          <w:szCs w:val="24"/>
          <w:color w:val="auto"/>
        </w:rPr>
      </w:pPr>
    </w:p>
    <w:p>
      <w:pPr>
        <w:spacing w:after="0" w:line="241" w:lineRule="exact"/>
        <w:rPr>
          <w:sz w:val="24"/>
          <w:szCs w:val="24"/>
          <w:color w:val="auto"/>
        </w:rPr>
      </w:pPr>
    </w:p>
    <w:p>
      <w:pPr>
        <w:jc w:val="center"/>
        <w:ind w:right="-343"/>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ind w:left="4484"/>
        <w:spacing w:after="0"/>
        <w:rPr>
          <w:sz w:val="20"/>
          <w:szCs w:val="20"/>
          <w:color w:val="auto"/>
        </w:rPr>
      </w:pPr>
      <w:r>
        <w:rPr>
          <w:rFonts w:ascii="Arial" w:cs="Arial" w:eastAsia="Arial" w:hAnsi="Arial"/>
          <w:sz w:val="16"/>
          <w:szCs w:val="16"/>
          <w:b w:val="1"/>
          <w:bCs w:val="1"/>
          <w:color w:val="auto"/>
        </w:rPr>
        <w:t>_______________________________</w:t>
      </w:r>
    </w:p>
    <w:p>
      <w:pPr>
        <w:spacing w:after="0" w:line="8" w:lineRule="exact"/>
        <w:rPr>
          <w:sz w:val="24"/>
          <w:szCs w:val="24"/>
          <w:color w:val="auto"/>
        </w:rPr>
      </w:pPr>
    </w:p>
    <w:p>
      <w:pPr>
        <w:jc w:val="center"/>
        <w:ind w:right="-343"/>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12" w:lineRule="exact"/>
        <w:rPr>
          <w:sz w:val="24"/>
          <w:szCs w:val="24"/>
          <w:color w:val="auto"/>
        </w:rPr>
      </w:pPr>
    </w:p>
    <w:p>
      <w:pPr>
        <w:ind w:left="44"/>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w:t>
      </w:r>
    </w:p>
    <w:p>
      <w:pPr>
        <w:spacing w:after="0" w:line="44" w:lineRule="exact"/>
        <w:rPr>
          <w:sz w:val="24"/>
          <w:szCs w:val="24"/>
          <w:color w:val="auto"/>
        </w:rPr>
      </w:pPr>
    </w:p>
    <w:p>
      <w:pPr>
        <w:ind w:left="4"/>
        <w:spacing w:after="0"/>
        <w:rPr>
          <w:sz w:val="20"/>
          <w:szCs w:val="20"/>
          <w:color w:val="auto"/>
        </w:rPr>
      </w:pPr>
      <w:r>
        <w:rPr>
          <w:rFonts w:ascii="Arial" w:cs="Arial" w:eastAsia="Arial" w:hAnsi="Arial"/>
          <w:sz w:val="16"/>
          <w:szCs w:val="16"/>
          <w:color w:val="auto"/>
        </w:rPr>
        <w:t>General Instruction A.2. below):</w:t>
      </w:r>
    </w:p>
    <w:p>
      <w:pPr>
        <w:spacing w:after="0" w:line="212" w:lineRule="exact"/>
        <w:rPr>
          <w:sz w:val="24"/>
          <w:szCs w:val="24"/>
          <w:color w:val="auto"/>
        </w:rPr>
      </w:pPr>
    </w:p>
    <w:p>
      <w:pPr>
        <w:ind w:left="284" w:hanging="284"/>
        <w:spacing w:after="0"/>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24" w:lineRule="exact"/>
        <w:rPr>
          <w:rFonts w:ascii="Arial" w:cs="Arial" w:eastAsia="Arial" w:hAnsi="Arial"/>
          <w:sz w:val="16"/>
          <w:szCs w:val="16"/>
          <w:color w:val="auto"/>
        </w:rPr>
      </w:pPr>
    </w:p>
    <w:p>
      <w:pPr>
        <w:ind w:left="284" w:hanging="284"/>
        <w:spacing w:after="0"/>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24" w:lineRule="exact"/>
        <w:rPr>
          <w:rFonts w:ascii="Arial" w:cs="Arial" w:eastAsia="Arial" w:hAnsi="Arial"/>
          <w:sz w:val="16"/>
          <w:szCs w:val="16"/>
          <w:color w:val="auto"/>
        </w:rPr>
      </w:pPr>
    </w:p>
    <w:p>
      <w:pPr>
        <w:ind w:left="284" w:hanging="284"/>
        <w:spacing w:after="0"/>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24" w:lineRule="exact"/>
        <w:rPr>
          <w:rFonts w:ascii="Arial" w:cs="Arial" w:eastAsia="Arial" w:hAnsi="Arial"/>
          <w:sz w:val="16"/>
          <w:szCs w:val="16"/>
          <w:color w:val="auto"/>
        </w:rPr>
      </w:pPr>
    </w:p>
    <w:p>
      <w:pPr>
        <w:ind w:left="284" w:hanging="284"/>
        <w:spacing w:after="0"/>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79375</wp:posOffset>
            </wp:positionV>
            <wp:extent cx="726694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6940" cy="40640"/>
                    </a:xfrm>
                    <a:prstGeom prst="rect">
                      <a:avLst/>
                    </a:prstGeom>
                    <a:noFill/>
                  </pic:spPr>
                </pic:pic>
              </a:graphicData>
            </a:graphic>
          </wp:anchor>
        </w:drawing>
      </w:r>
    </w:p>
    <w:p>
      <w:pPr>
        <w:spacing w:after="0" w:line="369" w:lineRule="exact"/>
        <w:rPr>
          <w:sz w:val="24"/>
          <w:szCs w:val="24"/>
          <w:color w:val="auto"/>
        </w:rPr>
      </w:pPr>
    </w:p>
    <w:p>
      <w:pPr>
        <w:jc w:val="center"/>
        <w:ind w:right="-343"/>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726694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084"/>
          </w:cols>
          <w:pgMar w:left="236" w:top="286" w:right="5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8.01 Other Events.</w:t>
      </w:r>
    </w:p>
    <w:p>
      <w:pPr>
        <w:spacing w:after="0" w:line="228"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On June 9, 2010, Shenandoah Telecommunications Company presented at the RBC Technology, Media &amp; Communications Conference in New York, New York. The presentation included materials related to the Company’s results of operations through March 31, 2010. The materials attached hereto as Exhibit 99.1 were utilized during the presentation. These materials are also available on the Company’s website.</w:t>
      </w:r>
    </w:p>
    <w:p>
      <w:pPr>
        <w:spacing w:after="0" w:line="186" w:lineRule="exact"/>
        <w:rPr>
          <w:sz w:val="20"/>
          <w:szCs w:val="20"/>
          <w:color w:val="auto"/>
        </w:rPr>
      </w:pPr>
    </w:p>
    <w:p>
      <w:pPr>
        <w:spacing w:after="0" w:line="308" w:lineRule="auto"/>
        <w:rPr>
          <w:sz w:val="20"/>
          <w:szCs w:val="20"/>
          <w:color w:val="auto"/>
        </w:rPr>
      </w:pPr>
      <w:r>
        <w:rPr>
          <w:rFonts w:ascii="Arial" w:cs="Arial" w:eastAsia="Arial" w:hAnsi="Arial"/>
          <w:sz w:val="14"/>
          <w:szCs w:val="14"/>
          <w:color w:val="auto"/>
        </w:rPr>
        <w:t>These materials may contain forward-looking statements about Shenandoah Telecommunications regarding, among other things, our business strategy, our prospects and our financial position. These statements can be identified by the use of forward-looking terminology such as “believes,” “estimates,” “expects,” “intends,” “may,” “will,” “should,” “could,” or “anticipates” or the negative or other variation of these or similar words, or by discussions of strategy or risks and uncertainties. Shenandoah Telecommunications undertakes no obligation to revise or update such statements to reflect current events or circumstances after the date hereof, or to reflect the occurrence of unanticipated events.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24"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  Exhibits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exhibits are furnished with this Current Report on Form 8-K.</w:t>
      </w:r>
    </w:p>
    <w:p>
      <w:pPr>
        <w:spacing w:after="0" w:line="220" w:lineRule="exact"/>
        <w:rPr>
          <w:sz w:val="20"/>
          <w:szCs w:val="20"/>
          <w:color w:val="auto"/>
        </w:rPr>
      </w:pPr>
    </w:p>
    <w:p>
      <w:pPr>
        <w:ind w:left="280"/>
        <w:spacing w:after="0"/>
        <w:tabs>
          <w:tab w:leader="none" w:pos="1120" w:val="left"/>
        </w:tabs>
        <w:rPr>
          <w:sz w:val="20"/>
          <w:szCs w:val="20"/>
          <w:color w:val="auto"/>
        </w:rPr>
      </w:pPr>
      <w:r>
        <w:rPr>
          <w:rFonts w:ascii="Arial" w:cs="Arial" w:eastAsia="Arial" w:hAnsi="Arial"/>
          <w:sz w:val="16"/>
          <w:szCs w:val="16"/>
          <w:b w:val="1"/>
          <w:bCs w:val="1"/>
          <w:u w:val="single" w:color="auto"/>
          <w:color w:val="0000EE"/>
        </w:rPr>
        <w:t>99.1</w:t>
      </w:r>
      <w:r>
        <w:rPr>
          <w:sz w:val="20"/>
          <w:szCs w:val="20"/>
          <w:color w:val="auto"/>
        </w:rPr>
        <w:tab/>
      </w:r>
      <w:r>
        <w:rPr>
          <w:rFonts w:ascii="Arial" w:cs="Arial" w:eastAsia="Arial" w:hAnsi="Arial"/>
          <w:sz w:val="14"/>
          <w:szCs w:val="14"/>
          <w:b w:val="1"/>
          <w:bCs w:val="1"/>
          <w:color w:val="auto"/>
        </w:rPr>
        <w:t>RBC Technology, Media &amp; Communications Conference Presentation Slides</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SIGNATURE</w:t>
      </w:r>
    </w:p>
    <w:p>
      <w:pPr>
        <w:spacing w:after="0" w:line="228" w:lineRule="exact"/>
        <w:rPr>
          <w:sz w:val="20"/>
          <w:szCs w:val="20"/>
          <w:color w:val="auto"/>
        </w:rPr>
      </w:pPr>
    </w:p>
    <w:p>
      <w:pPr>
        <w:ind w:right="360"/>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SHENANDOAH TELECOMMUNICATIONS COMPANY</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(Registrant)</w:t>
      </w:r>
    </w:p>
    <w:p>
      <w:pPr>
        <w:spacing w:after="0" w:line="200" w:lineRule="exact"/>
        <w:rPr>
          <w:sz w:val="20"/>
          <w:szCs w:val="20"/>
          <w:color w:val="auto"/>
        </w:rPr>
      </w:pPr>
    </w:p>
    <w:p>
      <w:pPr>
        <w:spacing w:after="0" w:line="228" w:lineRule="exact"/>
        <w:rPr>
          <w:sz w:val="20"/>
          <w:szCs w:val="20"/>
          <w:color w:val="auto"/>
        </w:rPr>
      </w:pPr>
    </w:p>
    <w:p>
      <w:pPr>
        <w:spacing w:after="0"/>
        <w:tabs>
          <w:tab w:leader="none" w:pos="2840" w:val="left"/>
        </w:tabs>
        <w:rPr>
          <w:sz w:val="20"/>
          <w:szCs w:val="20"/>
          <w:color w:val="auto"/>
        </w:rPr>
      </w:pPr>
      <w:r>
        <w:rPr>
          <w:rFonts w:ascii="Arial" w:cs="Arial" w:eastAsia="Arial" w:hAnsi="Arial"/>
          <w:sz w:val="16"/>
          <w:szCs w:val="16"/>
          <w:color w:val="auto"/>
        </w:rPr>
        <w:t>June 9, 2010</w:t>
      </w:r>
      <w:r>
        <w:rPr>
          <w:sz w:val="20"/>
          <w:szCs w:val="20"/>
          <w:color w:val="auto"/>
        </w:rPr>
        <w:tab/>
      </w:r>
      <w:r>
        <w:rPr>
          <w:rFonts w:ascii="Arial" w:cs="Arial" w:eastAsia="Arial" w:hAnsi="Arial"/>
          <w:sz w:val="15"/>
          <w:szCs w:val="15"/>
          <w:color w:val="auto"/>
        </w:rPr>
        <w:t>Adele M. Skolits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1812925</wp:posOffset>
            </wp:positionH>
            <wp:positionV relativeFrom="paragraph">
              <wp:posOffset>13335</wp:posOffset>
            </wp:positionV>
            <wp:extent cx="181546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5465" cy="15240"/>
                    </a:xfrm>
                    <a:prstGeom prst="rect">
                      <a:avLst/>
                    </a:prstGeom>
                    <a:noFill/>
                  </pic:spPr>
                </pic:pic>
              </a:graphicData>
            </a:graphic>
          </wp:anchor>
        </w:drawing>
      </w:r>
    </w:p>
    <w:p>
      <w:pPr>
        <w:spacing w:after="0" w:line="1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Adele M. Skolits</w:t>
      </w:r>
    </w:p>
    <w:p>
      <w:pPr>
        <w:spacing w:after="0" w:line="21"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Vice President - Finance and</w:t>
      </w:r>
    </w:p>
    <w:p>
      <w:pPr>
        <w:spacing w:after="0" w:line="8"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Chief Financial Officer</w:t>
      </w:r>
    </w:p>
    <w:p>
      <w:pPr>
        <w:spacing w:after="0" w:line="8"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(Duly Authorized Officer)</w:t>
      </w: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57785</wp:posOffset>
            </wp:positionV>
            <wp:extent cx="728218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2180" cy="20320"/>
                    </a:xfrm>
                    <a:prstGeom prst="rect">
                      <a:avLst/>
                    </a:prstGeom>
                    <a:noFill/>
                  </pic:spPr>
                </pic:pic>
              </a:graphicData>
            </a:graphic>
          </wp:anchor>
        </w:drawing>
      </w:r>
    </w:p>
    <w:p>
      <w:pPr>
        <w:sectPr>
          <w:pgSz w:w="11900" w:h="16838" w:orient="portrait"/>
          <w:cols w:equalWidth="0" w:num="1">
            <w:col w:w="11280"/>
          </w:cols>
          <w:pgMar w:left="240" w:top="471" w:right="379" w:bottom="1440" w:gutter="0" w:footer="0" w:header="0"/>
        </w:sectPr>
      </w:pPr>
    </w:p>
    <w:bookmarkStart w:id="2" w:name="page3"/>
    <w:bookmarkEnd w:id="2"/>
    <w:p>
      <w:pPr>
        <w:spacing w:after="0" w:line="153" w:lineRule="exact"/>
        <w:rPr>
          <w:sz w:val="20"/>
          <w:szCs w:val="20"/>
          <w:color w:val="auto"/>
        </w:rPr>
      </w:pPr>
    </w:p>
    <w:p>
      <w:pPr>
        <w:spacing w:after="0"/>
        <w:rPr>
          <w:sz w:val="20"/>
          <w:szCs w:val="20"/>
          <w:color w:val="auto"/>
        </w:rPr>
      </w:pPr>
      <w:r>
        <w:rPr>
          <w:rFonts w:ascii="Arial" w:cs="Arial" w:eastAsia="Arial" w:hAnsi="Arial"/>
          <w:sz w:val="62"/>
          <w:szCs w:val="62"/>
          <w:b w:val="1"/>
          <w:bCs w:val="1"/>
          <w:color w:val="840039"/>
        </w:rPr>
        <w:t>RBC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0"/>
          <w:szCs w:val="30"/>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-5363845</wp:posOffset>
            </wp:positionH>
            <wp:positionV relativeFrom="paragraph">
              <wp:posOffset>-977900</wp:posOffset>
            </wp:positionV>
            <wp:extent cx="7320280" cy="5858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20280" cy="5858510"/>
                    </a:xfrm>
                    <a:prstGeom prst="rect">
                      <a:avLst/>
                    </a:prstGeom>
                    <a:noFill/>
                  </pic:spPr>
                </pic:pic>
              </a:graphicData>
            </a:graphic>
          </wp:anchor>
        </w:drawing>
      </w:r>
    </w:p>
    <w:p>
      <w:pPr>
        <w:spacing w:after="0" w:line="666" w:lineRule="exact"/>
        <w:rPr>
          <w:sz w:val="20"/>
          <w:szCs w:val="20"/>
          <w:color w:val="auto"/>
        </w:rPr>
      </w:pPr>
    </w:p>
    <w:p>
      <w:pPr>
        <w:sectPr>
          <w:pgSz w:w="11900" w:h="16838" w:orient="portrait"/>
          <w:cols w:equalWidth="0" w:num="2">
            <w:col w:w="7140" w:space="720"/>
            <w:col w:w="2600"/>
          </w:cols>
          <w:pgMar w:left="820" w:top="1335" w:right="619" w:bottom="1440" w:gutter="0" w:footer="0" w:header="0"/>
        </w:sectPr>
      </w:pPr>
    </w:p>
    <w:p>
      <w:pPr>
        <w:spacing w:after="0"/>
        <w:rPr>
          <w:sz w:val="20"/>
          <w:szCs w:val="20"/>
          <w:color w:val="auto"/>
        </w:rPr>
      </w:pPr>
      <w:r>
        <w:rPr>
          <w:rFonts w:ascii="Arial" w:cs="Arial" w:eastAsia="Arial" w:hAnsi="Arial"/>
          <w:sz w:val="43"/>
          <w:szCs w:val="43"/>
          <w:b w:val="1"/>
          <w:bCs w:val="1"/>
          <w:color w:val="auto"/>
        </w:rPr>
        <w:t>Technology, Media &amp; Communications Conference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43"/>
          <w:szCs w:val="43"/>
          <w:b w:val="1"/>
          <w:bCs w:val="1"/>
          <w:color w:val="auto"/>
        </w:rPr>
        <w:t>June 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775970</wp:posOffset>
            </wp:positionV>
            <wp:extent cx="726694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460"/>
          </w:cols>
          <w:pgMar w:left="820" w:top="1335" w:right="619" w:bottom="1440" w:gutter="0" w:footer="0" w:header="0"/>
          <w:type w:val="continuous"/>
        </w:sectPr>
      </w:pPr>
    </w:p>
    <w:bookmarkStart w:id="3" w:name="page4"/>
    <w:bookmarkEnd w:id="3"/>
    <w:p>
      <w:pPr>
        <w:spacing w:after="0"/>
        <w:rPr>
          <w:sz w:val="20"/>
          <w:szCs w:val="20"/>
          <w:color w:val="auto"/>
        </w:rPr>
      </w:pPr>
      <w:r>
        <w:rPr>
          <w:rFonts w:ascii="Arial" w:cs="Arial" w:eastAsia="Arial" w:hAnsi="Arial"/>
          <w:sz w:val="51"/>
          <w:szCs w:val="51"/>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Safe Harbor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80" w:right="1040"/>
        <w:spacing w:after="0" w:line="231" w:lineRule="auto"/>
        <w:rPr>
          <w:sz w:val="20"/>
          <w:szCs w:val="20"/>
          <w:color w:val="auto"/>
        </w:rPr>
      </w:pPr>
      <w:r>
        <w:rPr>
          <w:rFonts w:ascii="Arial" w:cs="Arial" w:eastAsia="Arial" w:hAnsi="Arial"/>
          <w:sz w:val="22"/>
          <w:szCs w:val="22"/>
          <w:color w:val="auto"/>
        </w:rPr>
        <w:t>This presentation includes “forward-looking statements” within the meaning of Section 27A of the Securities Act and Section 21E of the Securities Exchange Act of 1934, as amended, regarding, among other things, our business strategy, our prospects and our financial position. These statements can be identified by the use of forward-looking terminology such as “believes,” “estimates,” “expects,” “intends,” “may,” “will,” “should,” “could,” or “anticipates” or the negative or other variation of these similar words, or by discussions of strategy or risks and uncertainties. These statements are based on current expectations of future events. If underlying assumptions prove inaccurate or unknown risks or uncertainties materialize, actual results could vary materially from the Company’s expectations and projections. Important factors that could cause actual results to differ materially from such forward-looking statements include, without limitation, risks related to the following:</w:t>
      </w:r>
    </w:p>
    <w:p>
      <w:pPr>
        <w:spacing w:after="0" w:line="145" w:lineRule="exact"/>
        <w:rPr>
          <w:sz w:val="20"/>
          <w:szCs w:val="20"/>
          <w:color w:val="auto"/>
        </w:rPr>
      </w:pPr>
    </w:p>
    <w:p>
      <w:pPr>
        <w:ind w:left="280" w:right="4720"/>
        <w:spacing w:after="0" w:line="407" w:lineRule="auto"/>
        <w:rPr>
          <w:sz w:val="20"/>
          <w:szCs w:val="20"/>
          <w:color w:val="auto"/>
        </w:rPr>
      </w:pPr>
      <w:r>
        <w:rPr>
          <w:rFonts w:ascii="Arial" w:cs="Arial" w:eastAsia="Arial" w:hAnsi="Arial"/>
          <w:sz w:val="22"/>
          <w:szCs w:val="22"/>
          <w:color w:val="840039"/>
        </w:rPr>
        <w:t>n</w:t>
      </w:r>
      <w:r>
        <w:rPr>
          <w:rFonts w:ascii="Arial" w:cs="Arial" w:eastAsia="Arial" w:hAnsi="Arial"/>
          <w:sz w:val="22"/>
          <w:szCs w:val="22"/>
          <w:color w:val="000000"/>
        </w:rPr>
        <w:t>Increasing competition in the communications industry; and</w:t>
      </w:r>
      <w:r>
        <w:rPr>
          <w:rFonts w:ascii="Arial" w:cs="Arial" w:eastAsia="Arial" w:hAnsi="Arial"/>
          <w:sz w:val="22"/>
          <w:szCs w:val="22"/>
          <w:color w:val="840039"/>
        </w:rPr>
        <w:t xml:space="preserve"> n</w:t>
      </w:r>
      <w:r>
        <w:rPr>
          <w:rFonts w:ascii="Arial" w:cs="Arial" w:eastAsia="Arial" w:hAnsi="Arial"/>
          <w:sz w:val="22"/>
          <w:szCs w:val="22"/>
          <w:color w:val="000000"/>
        </w:rPr>
        <w:t>A complex and uncertain regulatory environment.</w:t>
      </w:r>
    </w:p>
    <w:p>
      <w:pPr>
        <w:spacing w:after="0" w:line="103" w:lineRule="exact"/>
        <w:rPr>
          <w:sz w:val="20"/>
          <w:szCs w:val="20"/>
          <w:color w:val="auto"/>
        </w:rPr>
      </w:pPr>
    </w:p>
    <w:p>
      <w:pPr>
        <w:ind w:left="280" w:right="1080"/>
        <w:spacing w:after="0" w:line="249" w:lineRule="auto"/>
        <w:rPr>
          <w:sz w:val="20"/>
          <w:szCs w:val="20"/>
          <w:color w:val="auto"/>
        </w:rPr>
      </w:pPr>
      <w:r>
        <w:rPr>
          <w:rFonts w:ascii="Arial" w:cs="Arial" w:eastAsia="Arial" w:hAnsi="Arial"/>
          <w:sz w:val="21"/>
          <w:szCs w:val="21"/>
          <w:color w:val="auto"/>
        </w:rPr>
        <w:t>A further list and description of these risks, uncertainties and other factors can be found in the Company’s Annual Report on Form 10-K for the fiscal year ended December 31, 2009. Copies of this Form 10-K, as well as subsequent filings, are available online at www.sec.gov, www.shentel.com or on request from the Company. The Company does not undertake to update any forward-looking statements as a result of new information or future events or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396875</wp:posOffset>
            </wp:positionV>
            <wp:extent cx="726694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00"/>
          </w:cols>
          <w:pgMar w:left="700" w:top="994" w:right="699" w:bottom="1440" w:gutter="0" w:footer="0" w:header="0"/>
        </w:sectPr>
      </w:pPr>
    </w:p>
    <w:bookmarkStart w:id="4" w:name="page5"/>
    <w:bookmarkEnd w:id="4"/>
    <w:p>
      <w:pPr>
        <w:spacing w:after="0"/>
        <w:rPr>
          <w:sz w:val="20"/>
          <w:szCs w:val="20"/>
          <w:color w:val="auto"/>
        </w:rPr>
      </w:pPr>
      <w:r>
        <w:rPr>
          <w:rFonts w:ascii="Arial" w:cs="Arial" w:eastAsia="Arial" w:hAnsi="Arial"/>
          <w:sz w:val="51"/>
          <w:szCs w:val="51"/>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80" w:right="1040"/>
        <w:spacing w:after="0" w:line="231" w:lineRule="auto"/>
        <w:rPr>
          <w:sz w:val="20"/>
          <w:szCs w:val="20"/>
          <w:color w:val="auto"/>
        </w:rPr>
      </w:pPr>
      <w:r>
        <w:rPr>
          <w:rFonts w:ascii="Arial" w:cs="Arial" w:eastAsia="Arial" w:hAnsi="Arial"/>
          <w:sz w:val="22"/>
          <w:szCs w:val="22"/>
          <w:color w:val="auto"/>
        </w:rPr>
        <w:t>Included in this presentation are certain non-GAAP financial measures that are not determined in accordance with US generally accepted accounting principles. These financial performance measures are not indicative of cash provided or used by operating activities and exclude the effectors of certain operating, capital and financing costs and may differ from comparable information provided by other companies, and they should not be considered in isolation, as an alternative to, or more meaningful than measures of financial performance determined in accordance with US generally accepted accounting principles. These financial performance measures are commonly used in the industry and are presented because Shentel believes they provide relevant and useful information to investors. Shentel utilizes these financial performance measures to assess its ability to meet future capital expenditure and working capital requirements, to incur indebtedness if necessary, return investment to shareholders and to fund continued growth. Shentel also uses these financial performance measures to evaluate the performance of its business and for budget planning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396875</wp:posOffset>
            </wp:positionV>
            <wp:extent cx="726694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00"/>
          </w:cols>
          <w:pgMar w:left="700" w:top="994" w:right="699" w:bottom="1440" w:gutter="0" w:footer="0" w:header="0"/>
        </w:sectPr>
      </w:pPr>
    </w:p>
    <w:bookmarkStart w:id="5" w:name="page6"/>
    <w:bookmarkEnd w:id="5"/>
    <w:p>
      <w:pPr>
        <w:spacing w:after="0"/>
        <w:rPr>
          <w:sz w:val="20"/>
          <w:szCs w:val="20"/>
          <w:color w:val="auto"/>
        </w:rPr>
      </w:pPr>
      <w:r>
        <w:rPr>
          <w:rFonts w:ascii="Arial" w:cs="Arial" w:eastAsia="Arial" w:hAnsi="Arial"/>
          <w:sz w:val="51"/>
          <w:szCs w:val="51"/>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Agenda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40"/>
        <w:spacing w:after="0"/>
        <w:rPr>
          <w:sz w:val="20"/>
          <w:szCs w:val="20"/>
          <w:color w:val="auto"/>
        </w:rPr>
      </w:pPr>
      <w:r>
        <w:rPr>
          <w:rFonts w:ascii="Arial" w:cs="Arial" w:eastAsia="Arial" w:hAnsi="Arial"/>
          <w:sz w:val="35"/>
          <w:szCs w:val="35"/>
          <w:color w:val="840039"/>
        </w:rPr>
        <w:t>Introduction and Shentel Overview</w:t>
      </w:r>
    </w:p>
    <w:p>
      <w:pPr>
        <w:spacing w:after="0" w:line="200" w:lineRule="exact"/>
        <w:rPr>
          <w:sz w:val="20"/>
          <w:szCs w:val="20"/>
          <w:color w:val="auto"/>
        </w:rPr>
      </w:pPr>
    </w:p>
    <w:p>
      <w:pPr>
        <w:spacing w:after="0" w:line="238" w:lineRule="exact"/>
        <w:rPr>
          <w:sz w:val="20"/>
          <w:szCs w:val="20"/>
          <w:color w:val="auto"/>
        </w:rPr>
      </w:pPr>
    </w:p>
    <w:p>
      <w:pPr>
        <w:ind w:left="240"/>
        <w:spacing w:after="0"/>
        <w:rPr>
          <w:sz w:val="20"/>
          <w:szCs w:val="20"/>
          <w:color w:val="auto"/>
        </w:rPr>
      </w:pPr>
      <w:r>
        <w:rPr>
          <w:rFonts w:ascii="Arial" w:cs="Arial" w:eastAsia="Arial" w:hAnsi="Arial"/>
          <w:sz w:val="35"/>
          <w:szCs w:val="35"/>
          <w:color w:val="auto"/>
        </w:rPr>
        <w:t>Overview of Wireless</w:t>
      </w:r>
    </w:p>
    <w:p>
      <w:pPr>
        <w:spacing w:after="0" w:line="200" w:lineRule="exact"/>
        <w:rPr>
          <w:sz w:val="20"/>
          <w:szCs w:val="20"/>
          <w:color w:val="auto"/>
        </w:rPr>
      </w:pPr>
    </w:p>
    <w:p>
      <w:pPr>
        <w:spacing w:after="0" w:line="250" w:lineRule="exact"/>
        <w:rPr>
          <w:sz w:val="20"/>
          <w:szCs w:val="20"/>
          <w:color w:val="auto"/>
        </w:rPr>
      </w:pPr>
    </w:p>
    <w:p>
      <w:pPr>
        <w:ind w:left="240"/>
        <w:spacing w:after="0"/>
        <w:rPr>
          <w:sz w:val="20"/>
          <w:szCs w:val="20"/>
          <w:color w:val="auto"/>
        </w:rPr>
      </w:pPr>
      <w:r>
        <w:rPr>
          <w:rFonts w:ascii="Arial" w:cs="Arial" w:eastAsia="Arial" w:hAnsi="Arial"/>
          <w:sz w:val="35"/>
          <w:szCs w:val="35"/>
          <w:color w:val="auto"/>
        </w:rPr>
        <w:t>Overview of Cable</w:t>
      </w:r>
    </w:p>
    <w:p>
      <w:pPr>
        <w:spacing w:after="0" w:line="200" w:lineRule="exact"/>
        <w:rPr>
          <w:sz w:val="20"/>
          <w:szCs w:val="20"/>
          <w:color w:val="auto"/>
        </w:rPr>
      </w:pPr>
    </w:p>
    <w:p>
      <w:pPr>
        <w:spacing w:after="0" w:line="238" w:lineRule="exact"/>
        <w:rPr>
          <w:sz w:val="20"/>
          <w:szCs w:val="20"/>
          <w:color w:val="auto"/>
        </w:rPr>
      </w:pPr>
    </w:p>
    <w:p>
      <w:pPr>
        <w:ind w:left="240"/>
        <w:spacing w:after="0"/>
        <w:rPr>
          <w:sz w:val="20"/>
          <w:szCs w:val="20"/>
          <w:color w:val="auto"/>
        </w:rPr>
      </w:pPr>
      <w:r>
        <w:rPr>
          <w:rFonts w:ascii="Arial" w:cs="Arial" w:eastAsia="Arial" w:hAnsi="Arial"/>
          <w:sz w:val="35"/>
          <w:szCs w:val="35"/>
          <w:color w:val="auto"/>
        </w:rPr>
        <w:t>Overview of Wireline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396875</wp:posOffset>
            </wp:positionV>
            <wp:extent cx="726694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00"/>
          </w:cols>
          <w:pgMar w:left="700" w:top="994" w:right="699" w:bottom="1440" w:gutter="0" w:footer="0" w:header="0"/>
        </w:sectPr>
      </w:pPr>
    </w:p>
    <w:bookmarkStart w:id="6" w:name="page7"/>
    <w:bookmarkEnd w:id="6"/>
    <w:p>
      <w:pPr>
        <w:spacing w:after="0"/>
        <w:rPr>
          <w:sz w:val="20"/>
          <w:szCs w:val="20"/>
          <w:color w:val="auto"/>
        </w:rPr>
      </w:pPr>
      <w:r>
        <w:rPr>
          <w:rFonts w:ascii="Arial" w:cs="Arial" w:eastAsia="Arial" w:hAnsi="Arial"/>
          <w:sz w:val="43"/>
          <w:szCs w:val="43"/>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Growth Strategy - Capitalize on Core Competencies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800" w:hanging="479"/>
        <w:spacing w:after="0"/>
        <w:tabs>
          <w:tab w:leader="none" w:pos="800" w:val="left"/>
        </w:tabs>
        <w:numPr>
          <w:ilvl w:val="0"/>
          <w:numId w:val="2"/>
        </w:numPr>
        <w:rPr>
          <w:rFonts w:ascii="Arial" w:cs="Arial" w:eastAsia="Arial" w:hAnsi="Arial"/>
          <w:sz w:val="35"/>
          <w:szCs w:val="35"/>
          <w:color w:val="840039"/>
        </w:rPr>
      </w:pPr>
      <w:r>
        <w:rPr>
          <w:rFonts w:ascii="Arial" w:cs="Arial" w:eastAsia="Arial" w:hAnsi="Arial"/>
          <w:sz w:val="35"/>
          <w:szCs w:val="35"/>
          <w:color w:val="auto"/>
        </w:rPr>
        <w:t>Cable</w:t>
      </w:r>
    </w:p>
    <w:p>
      <w:pPr>
        <w:spacing w:after="0" w:line="138" w:lineRule="exact"/>
        <w:rPr>
          <w:sz w:val="20"/>
          <w:szCs w:val="20"/>
          <w:color w:val="auto"/>
        </w:rPr>
      </w:pPr>
    </w:p>
    <w:p>
      <w:pPr>
        <w:ind w:left="1300" w:hanging="403"/>
        <w:spacing w:after="0"/>
        <w:tabs>
          <w:tab w:leader="none" w:pos="1300" w:val="left"/>
        </w:tabs>
        <w:numPr>
          <w:ilvl w:val="0"/>
          <w:numId w:val="3"/>
        </w:numPr>
        <w:rPr>
          <w:rFonts w:ascii="Arial" w:cs="Arial" w:eastAsia="Arial" w:hAnsi="Arial"/>
          <w:sz w:val="28"/>
          <w:szCs w:val="28"/>
          <w:color w:val="C0C0C0"/>
        </w:rPr>
      </w:pPr>
      <w:r>
        <w:rPr>
          <w:rFonts w:ascii="Arial" w:cs="Arial" w:eastAsia="Arial" w:hAnsi="Arial"/>
          <w:sz w:val="35"/>
          <w:szCs w:val="35"/>
          <w:color w:val="auto"/>
        </w:rPr>
        <w:t>Focus on smaller less competitive markets</w:t>
      </w:r>
    </w:p>
    <w:p>
      <w:pPr>
        <w:spacing w:after="0" w:line="138" w:lineRule="exact"/>
        <w:rPr>
          <w:rFonts w:ascii="Arial" w:cs="Arial" w:eastAsia="Arial" w:hAnsi="Arial"/>
          <w:sz w:val="28"/>
          <w:szCs w:val="28"/>
          <w:color w:val="C0C0C0"/>
        </w:rPr>
      </w:pPr>
    </w:p>
    <w:p>
      <w:pPr>
        <w:ind w:left="1300" w:hanging="403"/>
        <w:spacing w:after="0"/>
        <w:tabs>
          <w:tab w:leader="none" w:pos="1300" w:val="left"/>
        </w:tabs>
        <w:numPr>
          <w:ilvl w:val="0"/>
          <w:numId w:val="3"/>
        </w:numPr>
        <w:rPr>
          <w:rFonts w:ascii="Arial" w:cs="Arial" w:eastAsia="Arial" w:hAnsi="Arial"/>
          <w:sz w:val="28"/>
          <w:szCs w:val="28"/>
          <w:color w:val="C0C0C0"/>
        </w:rPr>
      </w:pPr>
      <w:r>
        <w:rPr>
          <w:rFonts w:ascii="Arial" w:cs="Arial" w:eastAsia="Arial" w:hAnsi="Arial"/>
          <w:sz w:val="35"/>
          <w:szCs w:val="35"/>
          <w:color w:val="auto"/>
        </w:rPr>
        <w:t>Build clusters to gain operating efficiencies</w:t>
      </w:r>
    </w:p>
    <w:p>
      <w:pPr>
        <w:spacing w:after="0" w:line="138" w:lineRule="exact"/>
        <w:rPr>
          <w:rFonts w:ascii="Arial" w:cs="Arial" w:eastAsia="Arial" w:hAnsi="Arial"/>
          <w:sz w:val="28"/>
          <w:szCs w:val="28"/>
          <w:color w:val="C0C0C0"/>
        </w:rPr>
      </w:pPr>
    </w:p>
    <w:p>
      <w:pPr>
        <w:ind w:left="1300" w:hanging="403"/>
        <w:spacing w:after="0"/>
        <w:tabs>
          <w:tab w:leader="none" w:pos="1300" w:val="left"/>
        </w:tabs>
        <w:numPr>
          <w:ilvl w:val="0"/>
          <w:numId w:val="3"/>
        </w:numPr>
        <w:rPr>
          <w:rFonts w:ascii="Arial" w:cs="Arial" w:eastAsia="Arial" w:hAnsi="Arial"/>
          <w:sz w:val="28"/>
          <w:szCs w:val="28"/>
          <w:color w:val="C0C0C0"/>
        </w:rPr>
      </w:pPr>
      <w:r>
        <w:rPr>
          <w:rFonts w:ascii="Arial" w:cs="Arial" w:eastAsia="Arial" w:hAnsi="Arial"/>
          <w:sz w:val="35"/>
          <w:szCs w:val="35"/>
          <w:color w:val="auto"/>
        </w:rPr>
        <w:t>Upgrade networks to offer “Triple Play”</w:t>
      </w:r>
    </w:p>
    <w:p>
      <w:pPr>
        <w:spacing w:after="0" w:line="294" w:lineRule="exact"/>
        <w:rPr>
          <w:sz w:val="20"/>
          <w:szCs w:val="20"/>
          <w:color w:val="auto"/>
        </w:rPr>
      </w:pPr>
    </w:p>
    <w:p>
      <w:pPr>
        <w:ind w:left="800" w:hanging="479"/>
        <w:spacing w:after="0"/>
        <w:tabs>
          <w:tab w:leader="none" w:pos="800" w:val="left"/>
        </w:tabs>
        <w:numPr>
          <w:ilvl w:val="0"/>
          <w:numId w:val="4"/>
        </w:numPr>
        <w:rPr>
          <w:rFonts w:ascii="Arial" w:cs="Arial" w:eastAsia="Arial" w:hAnsi="Arial"/>
          <w:sz w:val="35"/>
          <w:szCs w:val="35"/>
          <w:color w:val="840039"/>
        </w:rPr>
      </w:pPr>
      <w:r>
        <w:rPr>
          <w:rFonts w:ascii="Arial" w:cs="Arial" w:eastAsia="Arial" w:hAnsi="Arial"/>
          <w:sz w:val="35"/>
          <w:szCs w:val="35"/>
          <w:color w:val="auto"/>
        </w:rPr>
        <w:t>Wireless</w:t>
      </w:r>
    </w:p>
    <w:p>
      <w:pPr>
        <w:spacing w:after="0" w:line="138" w:lineRule="exact"/>
        <w:rPr>
          <w:sz w:val="20"/>
          <w:szCs w:val="20"/>
          <w:color w:val="auto"/>
        </w:rPr>
      </w:pPr>
    </w:p>
    <w:p>
      <w:pPr>
        <w:ind w:left="1300" w:hanging="403"/>
        <w:spacing w:after="0"/>
        <w:tabs>
          <w:tab w:leader="none" w:pos="1300" w:val="left"/>
        </w:tabs>
        <w:numPr>
          <w:ilvl w:val="0"/>
          <w:numId w:val="5"/>
        </w:numPr>
        <w:rPr>
          <w:rFonts w:ascii="Arial" w:cs="Arial" w:eastAsia="Arial" w:hAnsi="Arial"/>
          <w:sz w:val="28"/>
          <w:szCs w:val="28"/>
          <w:color w:val="C0C0C0"/>
        </w:rPr>
      </w:pPr>
      <w:r>
        <w:rPr>
          <w:rFonts w:ascii="Arial" w:cs="Arial" w:eastAsia="Arial" w:hAnsi="Arial"/>
          <w:sz w:val="35"/>
          <w:szCs w:val="35"/>
          <w:color w:val="auto"/>
        </w:rPr>
        <w:t>Increase penetration in existing PCS footprint</w:t>
      </w:r>
    </w:p>
    <w:p>
      <w:pPr>
        <w:spacing w:after="0" w:line="138" w:lineRule="exact"/>
        <w:rPr>
          <w:rFonts w:ascii="Arial" w:cs="Arial" w:eastAsia="Arial" w:hAnsi="Arial"/>
          <w:sz w:val="28"/>
          <w:szCs w:val="28"/>
          <w:color w:val="C0C0C0"/>
        </w:rPr>
      </w:pPr>
    </w:p>
    <w:p>
      <w:pPr>
        <w:ind w:left="1400" w:right="1980" w:hanging="503"/>
        <w:spacing w:after="0" w:line="250" w:lineRule="auto"/>
        <w:tabs>
          <w:tab w:leader="none" w:pos="1288" w:val="left"/>
        </w:tabs>
        <w:numPr>
          <w:ilvl w:val="0"/>
          <w:numId w:val="5"/>
        </w:numPr>
        <w:rPr>
          <w:rFonts w:ascii="Arial" w:cs="Arial" w:eastAsia="Arial" w:hAnsi="Arial"/>
          <w:sz w:val="28"/>
          <w:szCs w:val="28"/>
          <w:color w:val="C0C0C0"/>
        </w:rPr>
      </w:pPr>
      <w:r>
        <w:rPr>
          <w:rFonts w:ascii="Arial" w:cs="Arial" w:eastAsia="Arial" w:hAnsi="Arial"/>
          <w:sz w:val="35"/>
          <w:szCs w:val="35"/>
          <w:color w:val="auto"/>
        </w:rPr>
        <w:t>Look for new wireless opportunities in surrounding geographic areas</w:t>
      </w:r>
    </w:p>
    <w:p>
      <w:pPr>
        <w:spacing w:after="0" w:line="243" w:lineRule="exact"/>
        <w:rPr>
          <w:sz w:val="20"/>
          <w:szCs w:val="20"/>
          <w:color w:val="auto"/>
        </w:rPr>
      </w:pPr>
    </w:p>
    <w:p>
      <w:pPr>
        <w:ind w:left="800" w:hanging="479"/>
        <w:spacing w:after="0"/>
        <w:tabs>
          <w:tab w:leader="none" w:pos="800" w:val="left"/>
        </w:tabs>
        <w:numPr>
          <w:ilvl w:val="0"/>
          <w:numId w:val="6"/>
        </w:numPr>
        <w:rPr>
          <w:rFonts w:ascii="Arial" w:cs="Arial" w:eastAsia="Arial" w:hAnsi="Arial"/>
          <w:sz w:val="35"/>
          <w:szCs w:val="35"/>
          <w:color w:val="840039"/>
        </w:rPr>
      </w:pPr>
      <w:r>
        <w:rPr>
          <w:rFonts w:ascii="Arial" w:cs="Arial" w:eastAsia="Arial" w:hAnsi="Arial"/>
          <w:sz w:val="35"/>
          <w:szCs w:val="35"/>
          <w:color w:val="auto"/>
        </w:rPr>
        <w:t>Wireline</w:t>
      </w:r>
    </w:p>
    <w:p>
      <w:pPr>
        <w:spacing w:after="0" w:line="138" w:lineRule="exact"/>
        <w:rPr>
          <w:sz w:val="20"/>
          <w:szCs w:val="20"/>
          <w:color w:val="auto"/>
        </w:rPr>
      </w:pPr>
    </w:p>
    <w:p>
      <w:pPr>
        <w:ind w:left="1300" w:hanging="403"/>
        <w:spacing w:after="0"/>
        <w:tabs>
          <w:tab w:leader="none" w:pos="1300" w:val="left"/>
        </w:tabs>
        <w:numPr>
          <w:ilvl w:val="0"/>
          <w:numId w:val="7"/>
        </w:numPr>
        <w:rPr>
          <w:rFonts w:ascii="Arial" w:cs="Arial" w:eastAsia="Arial" w:hAnsi="Arial"/>
          <w:sz w:val="28"/>
          <w:szCs w:val="28"/>
          <w:color w:val="C0C0C0"/>
        </w:rPr>
      </w:pPr>
      <w:r>
        <w:rPr>
          <w:rFonts w:ascii="Arial" w:cs="Arial" w:eastAsia="Arial" w:hAnsi="Arial"/>
          <w:sz w:val="35"/>
          <w:szCs w:val="35"/>
          <w:color w:val="auto"/>
        </w:rPr>
        <w:t>Attractive markets at reasonable prices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396875</wp:posOffset>
            </wp:positionV>
            <wp:extent cx="726694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40"/>
          </w:cols>
          <w:pgMar w:left="660" w:top="1009" w:right="699" w:bottom="1440" w:gutter="0" w:footer="0" w:header="0"/>
        </w:sectPr>
      </w:pPr>
    </w:p>
    <w:bookmarkStart w:id="7" w:name="page8"/>
    <w:bookmarkEnd w:id="7"/>
    <w:p>
      <w:pPr>
        <w:spacing w:after="0"/>
        <w:rPr>
          <w:sz w:val="20"/>
          <w:szCs w:val="20"/>
          <w:color w:val="auto"/>
        </w:rPr>
      </w:pPr>
      <w:r>
        <w:rPr>
          <w:rFonts w:ascii="Arial" w:cs="Arial" w:eastAsia="Arial" w:hAnsi="Arial"/>
          <w:sz w:val="51"/>
          <w:szCs w:val="51"/>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5200" cy="5484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84495"/>
                    </a:xfrm>
                    <a:prstGeom prst="rect">
                      <a:avLst/>
                    </a:prstGeom>
                    <a:noFill/>
                  </pic:spPr>
                </pic:pic>
              </a:graphicData>
            </a:graphic>
          </wp:anchor>
        </w:drawing>
        <w:t>Segment Overview</w:t>
      </w:r>
    </w:p>
    <w:p>
      <w:pPr>
        <w:spacing w:after="0" w:line="192"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Twelve Months Ending March 31, 2010</w:t>
      </w:r>
    </w:p>
    <w:p>
      <w:pPr>
        <w:spacing w:after="0" w:line="346" w:lineRule="exact"/>
        <w:rPr>
          <w:sz w:val="20"/>
          <w:szCs w:val="20"/>
          <w:color w:val="auto"/>
        </w:rPr>
      </w:pPr>
    </w:p>
    <w:p>
      <w:pPr>
        <w:ind w:left="1500"/>
        <w:spacing w:after="0"/>
        <w:rPr>
          <w:sz w:val="20"/>
          <w:szCs w:val="20"/>
          <w:color w:val="auto"/>
        </w:rPr>
      </w:pPr>
      <w:r>
        <w:rPr>
          <w:rFonts w:ascii="Arial" w:cs="Arial" w:eastAsia="Arial" w:hAnsi="Arial"/>
          <w:sz w:val="26"/>
          <w:szCs w:val="26"/>
          <w:b w:val="1"/>
          <w:bCs w:val="1"/>
          <w:color w:val="FFFFFF"/>
        </w:rPr>
        <w:t>Revenue by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900"/>
        <w:spacing w:after="0"/>
        <w:rPr>
          <w:sz w:val="20"/>
          <w:szCs w:val="20"/>
          <w:color w:val="auto"/>
        </w:rPr>
      </w:pPr>
      <w:r>
        <w:rPr>
          <w:rFonts w:ascii="Arial" w:cs="Arial" w:eastAsia="Arial" w:hAnsi="Arial"/>
          <w:sz w:val="21"/>
          <w:szCs w:val="21"/>
          <w:color w:val="auto"/>
        </w:rPr>
        <w:t>Total External Revenues = $162.0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838200</wp:posOffset>
            </wp:positionV>
            <wp:extent cx="726694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759"/>
          </w:cols>
          <w:pgMar w:left="700" w:top="982"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955" w:type="dxa"/>
        <w:tblCellMar>
          <w:top w:w="0" w:type="dxa"/>
          <w:left w:w="0" w:type="dxa"/>
          <w:bottom w:w="0" w:type="dxa"/>
          <w:right w:w="0" w:type="dxa"/>
        </w:tblCellMar>
      </w:tblPr>
      <w:tr>
        <w:trPr>
          <w:trHeight w:val="300"/>
        </w:trPr>
        <w:tc>
          <w:tcPr>
            <w:tcW w:w="2560" w:type="dxa"/>
            <w:vAlign w:val="bottom"/>
            <w:gridSpan w:val="2"/>
            <w:vMerge w:val="restart"/>
          </w:tcPr>
          <w:p>
            <w:pPr>
              <w:ind w:left="200"/>
              <w:spacing w:after="0"/>
              <w:rPr>
                <w:sz w:val="20"/>
                <w:szCs w:val="20"/>
                <w:color w:val="auto"/>
              </w:rPr>
            </w:pPr>
            <w:r>
              <w:rPr>
                <w:rFonts w:ascii="Arial" w:cs="Arial" w:eastAsia="Arial" w:hAnsi="Arial"/>
                <w:sz w:val="26"/>
                <w:szCs w:val="26"/>
                <w:b w:val="1"/>
                <w:bCs w:val="1"/>
                <w:color w:val="FFFFFF"/>
                <w:w w:val="92"/>
              </w:rPr>
              <w:t>Revenue ($ millions)</w:t>
            </w:r>
          </w:p>
        </w:tc>
        <w:tc>
          <w:tcPr>
            <w:tcW w:w="6400" w:type="dxa"/>
            <w:vAlign w:val="bottom"/>
          </w:tcPr>
          <w:p>
            <w:pPr>
              <w:jc w:val="center"/>
              <w:ind w:left="1812"/>
              <w:spacing w:after="0"/>
              <w:rPr>
                <w:sz w:val="20"/>
                <w:szCs w:val="20"/>
                <w:color w:val="auto"/>
              </w:rPr>
            </w:pPr>
            <w:r>
              <w:rPr>
                <w:rFonts w:ascii="Arial" w:cs="Arial" w:eastAsia="Arial" w:hAnsi="Arial"/>
                <w:sz w:val="26"/>
                <w:szCs w:val="26"/>
                <w:b w:val="1"/>
                <w:bCs w:val="1"/>
                <w:color w:val="FFFFFF"/>
                <w:w w:val="90"/>
              </w:rPr>
              <w:t>Net Income from Continuing Operations</w:t>
            </w:r>
          </w:p>
        </w:tc>
        <w:tc>
          <w:tcPr>
            <w:tcW w:w="0" w:type="dxa"/>
            <w:vAlign w:val="bottom"/>
          </w:tcPr>
          <w:p>
            <w:pPr>
              <w:spacing w:after="0"/>
              <w:rPr>
                <w:sz w:val="1"/>
                <w:szCs w:val="1"/>
                <w:color w:val="auto"/>
              </w:rPr>
            </w:pPr>
          </w:p>
        </w:tc>
      </w:tr>
      <w:tr>
        <w:trPr>
          <w:trHeight w:val="176"/>
        </w:trPr>
        <w:tc>
          <w:tcPr>
            <w:tcW w:w="2560" w:type="dxa"/>
            <w:vAlign w:val="bottom"/>
            <w:gridSpan w:val="2"/>
            <w:vMerge w:val="continue"/>
          </w:tcPr>
          <w:p>
            <w:pPr>
              <w:spacing w:after="0"/>
              <w:rPr>
                <w:sz w:val="15"/>
                <w:szCs w:val="15"/>
                <w:color w:val="auto"/>
              </w:rPr>
            </w:pPr>
          </w:p>
        </w:tc>
        <w:tc>
          <w:tcPr>
            <w:tcW w:w="6400" w:type="dxa"/>
            <w:vAlign w:val="bottom"/>
            <w:vMerge w:val="restart"/>
          </w:tcPr>
          <w:p>
            <w:pPr>
              <w:jc w:val="center"/>
              <w:ind w:left="1812"/>
              <w:spacing w:after="0"/>
              <w:rPr>
                <w:sz w:val="20"/>
                <w:szCs w:val="20"/>
                <w:color w:val="auto"/>
              </w:rPr>
            </w:pPr>
            <w:r>
              <w:rPr>
                <w:rFonts w:ascii="Arial" w:cs="Arial" w:eastAsia="Arial" w:hAnsi="Arial"/>
                <w:sz w:val="26"/>
                <w:szCs w:val="26"/>
                <w:b w:val="1"/>
                <w:bCs w:val="1"/>
                <w:color w:val="FFFFFF"/>
                <w:w w:val="88"/>
              </w:rPr>
              <w:t>($ millions)</w:t>
            </w: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77"/>
        </w:trPr>
        <w:tc>
          <w:tcPr>
            <w:tcW w:w="1200" w:type="dxa"/>
            <w:vAlign w:val="bottom"/>
          </w:tcPr>
          <w:p>
            <w:pPr>
              <w:spacing w:after="0"/>
              <w:rPr>
                <w:sz w:val="20"/>
                <w:szCs w:val="20"/>
                <w:color w:val="auto"/>
              </w:rPr>
            </w:pPr>
            <w:r>
              <w:rPr>
                <w:rFonts w:ascii="Arial" w:cs="Arial" w:eastAsia="Arial" w:hAnsi="Arial"/>
                <w:sz w:val="26"/>
                <w:szCs w:val="26"/>
                <w:color w:val="auto"/>
              </w:rPr>
              <w:t>Wireless</w:t>
            </w:r>
          </w:p>
        </w:tc>
        <w:tc>
          <w:tcPr>
            <w:tcW w:w="1360" w:type="dxa"/>
            <w:vAlign w:val="bottom"/>
          </w:tcPr>
          <w:p>
            <w:pPr>
              <w:ind w:left="300"/>
              <w:spacing w:after="0"/>
              <w:rPr>
                <w:sz w:val="20"/>
                <w:szCs w:val="20"/>
                <w:color w:val="auto"/>
              </w:rPr>
            </w:pPr>
            <w:r>
              <w:rPr>
                <w:rFonts w:ascii="Arial" w:cs="Arial" w:eastAsia="Arial" w:hAnsi="Arial"/>
                <w:sz w:val="26"/>
                <w:szCs w:val="26"/>
                <w:color w:val="auto"/>
              </w:rPr>
              <w:t>Cable</w:t>
            </w:r>
          </w:p>
        </w:tc>
        <w:tc>
          <w:tcPr>
            <w:tcW w:w="6400" w:type="dxa"/>
            <w:vAlign w:val="bottom"/>
          </w:tcPr>
          <w:p>
            <w:pPr>
              <w:ind w:left="120"/>
              <w:spacing w:after="0"/>
              <w:rPr>
                <w:sz w:val="20"/>
                <w:szCs w:val="20"/>
                <w:color w:val="auto"/>
              </w:rPr>
            </w:pPr>
            <w:r>
              <w:rPr>
                <w:rFonts w:ascii="Arial" w:cs="Arial" w:eastAsia="Arial" w:hAnsi="Arial"/>
                <w:sz w:val="26"/>
                <w:szCs w:val="26"/>
                <w:color w:val="auto"/>
              </w:rPr>
              <w:t>Wireline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95" w:hanging="95"/>
        <w:spacing w:after="0"/>
        <w:tabs>
          <w:tab w:leader="none" w:pos="95"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Shentel Converged Services has been reclassed as discontinued operations. All results have been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501015</wp:posOffset>
            </wp:positionV>
            <wp:extent cx="726694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915"/>
          </w:cols>
          <w:pgMar w:left="945" w:top="1440" w:right="10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84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84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715" w:type="dxa"/>
        <w:tblCellMar>
          <w:top w:w="0" w:type="dxa"/>
          <w:left w:w="0" w:type="dxa"/>
          <w:bottom w:w="0" w:type="dxa"/>
          <w:right w:w="0" w:type="dxa"/>
        </w:tblCellMar>
      </w:tblPr>
      <w:tr>
        <w:trPr>
          <w:trHeight w:val="300"/>
        </w:trPr>
        <w:tc>
          <w:tcPr>
            <w:tcW w:w="4040" w:type="dxa"/>
            <w:vAlign w:val="bottom"/>
            <w:vMerge w:val="restart"/>
          </w:tcPr>
          <w:p>
            <w:pPr>
              <w:spacing w:after="0"/>
              <w:rPr>
                <w:sz w:val="20"/>
                <w:szCs w:val="20"/>
                <w:color w:val="auto"/>
              </w:rPr>
            </w:pPr>
            <w:r>
              <w:rPr>
                <w:rFonts w:ascii="Arial" w:cs="Arial" w:eastAsia="Arial" w:hAnsi="Arial"/>
                <w:sz w:val="26"/>
                <w:szCs w:val="26"/>
                <w:b w:val="1"/>
                <w:bCs w:val="1"/>
                <w:color w:val="FFFFFF"/>
              </w:rPr>
              <w:t>Operating Income ($ millions)</w:t>
            </w:r>
          </w:p>
        </w:tc>
        <w:tc>
          <w:tcPr>
            <w:tcW w:w="5260" w:type="dxa"/>
            <w:vAlign w:val="bottom"/>
          </w:tcPr>
          <w:p>
            <w:pPr>
              <w:jc w:val="center"/>
              <w:ind w:left="612"/>
              <w:spacing w:after="0"/>
              <w:rPr>
                <w:sz w:val="20"/>
                <w:szCs w:val="20"/>
                <w:color w:val="auto"/>
              </w:rPr>
            </w:pPr>
            <w:r>
              <w:rPr>
                <w:rFonts w:ascii="Arial" w:cs="Arial" w:eastAsia="Arial" w:hAnsi="Arial"/>
                <w:sz w:val="26"/>
                <w:szCs w:val="26"/>
                <w:b w:val="1"/>
                <w:bCs w:val="1"/>
                <w:color w:val="FFFFFF"/>
                <w:w w:val="90"/>
              </w:rPr>
              <w:t>Operating Income Before Depreciation &amp;</w:t>
            </w:r>
          </w:p>
        </w:tc>
        <w:tc>
          <w:tcPr>
            <w:tcW w:w="0" w:type="dxa"/>
            <w:vAlign w:val="bottom"/>
          </w:tcPr>
          <w:p>
            <w:pPr>
              <w:spacing w:after="0"/>
              <w:rPr>
                <w:sz w:val="1"/>
                <w:szCs w:val="1"/>
                <w:color w:val="auto"/>
              </w:rPr>
            </w:pPr>
          </w:p>
        </w:tc>
      </w:tr>
      <w:tr>
        <w:trPr>
          <w:trHeight w:val="200"/>
        </w:trPr>
        <w:tc>
          <w:tcPr>
            <w:tcW w:w="4040" w:type="dxa"/>
            <w:vAlign w:val="bottom"/>
            <w:vMerge w:val="continue"/>
          </w:tcPr>
          <w:p>
            <w:pPr>
              <w:spacing w:after="0"/>
              <w:rPr>
                <w:sz w:val="17"/>
                <w:szCs w:val="17"/>
                <w:color w:val="auto"/>
              </w:rPr>
            </w:pPr>
          </w:p>
        </w:tc>
        <w:tc>
          <w:tcPr>
            <w:tcW w:w="5260" w:type="dxa"/>
            <w:vAlign w:val="bottom"/>
            <w:vMerge w:val="restart"/>
          </w:tcPr>
          <w:p>
            <w:pPr>
              <w:jc w:val="center"/>
              <w:ind w:left="612"/>
              <w:spacing w:after="0"/>
              <w:rPr>
                <w:sz w:val="20"/>
                <w:szCs w:val="20"/>
                <w:color w:val="auto"/>
              </w:rPr>
            </w:pPr>
            <w:r>
              <w:rPr>
                <w:rFonts w:ascii="Arial" w:cs="Arial" w:eastAsia="Arial" w:hAnsi="Arial"/>
                <w:sz w:val="26"/>
                <w:szCs w:val="26"/>
                <w:b w:val="1"/>
                <w:bCs w:val="1"/>
                <w:color w:val="FFFFFF"/>
                <w:w w:val="90"/>
              </w:rPr>
              <w:t>Amortization ($ millions)</w:t>
            </w:r>
          </w:p>
        </w:tc>
        <w:tc>
          <w:tcPr>
            <w:tcW w:w="0" w:type="dxa"/>
            <w:vAlign w:val="bottom"/>
          </w:tcPr>
          <w:p>
            <w:pPr>
              <w:spacing w:after="0"/>
              <w:rPr>
                <w:sz w:val="1"/>
                <w:szCs w:val="1"/>
                <w:color w:val="auto"/>
              </w:rPr>
            </w:pPr>
          </w:p>
        </w:tc>
      </w:tr>
      <w:tr>
        <w:trPr>
          <w:trHeight w:val="132"/>
        </w:trPr>
        <w:tc>
          <w:tcPr>
            <w:tcW w:w="4040" w:type="dxa"/>
            <w:vAlign w:val="bottom"/>
          </w:tcPr>
          <w:p>
            <w:pPr>
              <w:spacing w:after="0"/>
              <w:rPr>
                <w:sz w:val="11"/>
                <w:szCs w:val="11"/>
                <w:color w:val="auto"/>
              </w:rPr>
            </w:pPr>
          </w:p>
        </w:tc>
        <w:tc>
          <w:tcPr>
            <w:tcW w:w="5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95" w:hanging="95"/>
        <w:spacing w:after="0"/>
        <w:tabs>
          <w:tab w:leader="none" w:pos="95"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Shentel Converged Services has been reclassed as discontinued operations. All results have been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478155</wp:posOffset>
            </wp:positionV>
            <wp:extent cx="726694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015"/>
          </w:cols>
          <w:pgMar w:left="945" w:top="1440" w:right="939" w:bottom="1440" w:gutter="0" w:footer="0" w:header="0"/>
        </w:sectPr>
      </w:pPr>
    </w:p>
    <w:bookmarkStart w:id="10" w:name="page11"/>
    <w:bookmarkEnd w:id="10"/>
    <w:p>
      <w:pPr>
        <w:spacing w:after="0"/>
        <w:rPr>
          <w:sz w:val="20"/>
          <w:szCs w:val="20"/>
          <w:color w:val="auto"/>
        </w:rPr>
      </w:pPr>
      <w:r>
        <w:rPr>
          <w:rFonts w:ascii="Arial" w:cs="Arial" w:eastAsia="Arial" w:hAnsi="Arial"/>
          <w:sz w:val="51"/>
          <w:szCs w:val="51"/>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Agenda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80"/>
        <w:spacing w:after="0"/>
        <w:rPr>
          <w:sz w:val="20"/>
          <w:szCs w:val="20"/>
          <w:color w:val="auto"/>
        </w:rPr>
      </w:pPr>
      <w:r>
        <w:rPr>
          <w:rFonts w:ascii="Arial" w:cs="Arial" w:eastAsia="Arial" w:hAnsi="Arial"/>
          <w:sz w:val="35"/>
          <w:szCs w:val="35"/>
          <w:color w:val="auto"/>
        </w:rPr>
        <w:t>Introduction and Shentel Overview</w:t>
      </w:r>
    </w:p>
    <w:p>
      <w:pPr>
        <w:spacing w:after="0" w:line="200" w:lineRule="exact"/>
        <w:rPr>
          <w:sz w:val="20"/>
          <w:szCs w:val="20"/>
          <w:color w:val="auto"/>
        </w:rPr>
      </w:pPr>
    </w:p>
    <w:p>
      <w:pPr>
        <w:spacing w:after="0" w:line="238" w:lineRule="exact"/>
        <w:rPr>
          <w:sz w:val="20"/>
          <w:szCs w:val="20"/>
          <w:color w:val="auto"/>
        </w:rPr>
      </w:pPr>
    </w:p>
    <w:p>
      <w:pPr>
        <w:ind w:left="380"/>
        <w:spacing w:after="0"/>
        <w:rPr>
          <w:sz w:val="20"/>
          <w:szCs w:val="20"/>
          <w:color w:val="auto"/>
        </w:rPr>
      </w:pPr>
      <w:r>
        <w:rPr>
          <w:rFonts w:ascii="Arial" w:cs="Arial" w:eastAsia="Arial" w:hAnsi="Arial"/>
          <w:sz w:val="35"/>
          <w:szCs w:val="35"/>
          <w:color w:val="840039"/>
        </w:rPr>
        <w:t>Overview of Wireless</w:t>
      </w:r>
    </w:p>
    <w:p>
      <w:pPr>
        <w:spacing w:after="0" w:line="200" w:lineRule="exact"/>
        <w:rPr>
          <w:sz w:val="20"/>
          <w:szCs w:val="20"/>
          <w:color w:val="auto"/>
        </w:rPr>
      </w:pPr>
    </w:p>
    <w:p>
      <w:pPr>
        <w:spacing w:after="0" w:line="250" w:lineRule="exact"/>
        <w:rPr>
          <w:sz w:val="20"/>
          <w:szCs w:val="20"/>
          <w:color w:val="auto"/>
        </w:rPr>
      </w:pPr>
    </w:p>
    <w:p>
      <w:pPr>
        <w:ind w:left="380"/>
        <w:spacing w:after="0"/>
        <w:rPr>
          <w:sz w:val="20"/>
          <w:szCs w:val="20"/>
          <w:color w:val="auto"/>
        </w:rPr>
      </w:pPr>
      <w:r>
        <w:rPr>
          <w:rFonts w:ascii="Arial" w:cs="Arial" w:eastAsia="Arial" w:hAnsi="Arial"/>
          <w:sz w:val="35"/>
          <w:szCs w:val="35"/>
          <w:color w:val="auto"/>
        </w:rPr>
        <w:t>Overview of Cable</w:t>
      </w:r>
    </w:p>
    <w:p>
      <w:pPr>
        <w:spacing w:after="0" w:line="200" w:lineRule="exact"/>
        <w:rPr>
          <w:sz w:val="20"/>
          <w:szCs w:val="20"/>
          <w:color w:val="auto"/>
        </w:rPr>
      </w:pPr>
    </w:p>
    <w:p>
      <w:pPr>
        <w:spacing w:after="0" w:line="238" w:lineRule="exact"/>
        <w:rPr>
          <w:sz w:val="20"/>
          <w:szCs w:val="20"/>
          <w:color w:val="auto"/>
        </w:rPr>
      </w:pPr>
    </w:p>
    <w:p>
      <w:pPr>
        <w:ind w:left="380"/>
        <w:spacing w:after="0"/>
        <w:rPr>
          <w:sz w:val="20"/>
          <w:szCs w:val="20"/>
          <w:color w:val="auto"/>
        </w:rPr>
      </w:pPr>
      <w:r>
        <w:rPr>
          <w:rFonts w:ascii="Arial" w:cs="Arial" w:eastAsia="Arial" w:hAnsi="Arial"/>
          <w:sz w:val="35"/>
          <w:szCs w:val="35"/>
          <w:color w:val="auto"/>
        </w:rPr>
        <w:t>Overview of Wireline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396875</wp:posOffset>
            </wp:positionV>
            <wp:extent cx="726694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00"/>
          </w:cols>
          <w:pgMar w:left="700" w:top="934" w:right="699" w:bottom="1440" w:gutter="0" w:footer="0" w:header="0"/>
        </w:sectPr>
      </w:pPr>
    </w:p>
    <w:bookmarkStart w:id="11" w:name="page12"/>
    <w:bookmarkEnd w:id="11"/>
    <w:p>
      <w:pPr>
        <w:spacing w:after="0"/>
        <w:rPr>
          <w:sz w:val="20"/>
          <w:szCs w:val="20"/>
          <w:color w:val="auto"/>
        </w:rPr>
      </w:pPr>
      <w:r>
        <w:rPr>
          <w:rFonts w:ascii="Arial" w:cs="Arial" w:eastAsia="Arial" w:hAnsi="Arial"/>
          <w:sz w:val="51"/>
          <w:szCs w:val="51"/>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5200" cy="5484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315200" cy="5484495"/>
                    </a:xfrm>
                    <a:prstGeom prst="rect">
                      <a:avLst/>
                    </a:prstGeom>
                    <a:noFill/>
                  </pic:spPr>
                </pic:pic>
              </a:graphicData>
            </a:graphic>
          </wp:anchor>
        </w:drawing>
        <w:t>PCS 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900"/>
        <w:spacing w:after="0"/>
        <w:tabs>
          <w:tab w:leader="none" w:pos="6400" w:val="left"/>
        </w:tabs>
        <w:rPr>
          <w:sz w:val="20"/>
          <w:szCs w:val="20"/>
          <w:color w:val="auto"/>
        </w:rPr>
      </w:pPr>
      <w:r>
        <w:rPr>
          <w:rFonts w:ascii="Arial" w:cs="Arial" w:eastAsia="Arial" w:hAnsi="Arial"/>
          <w:sz w:val="27"/>
          <w:szCs w:val="27"/>
          <w:color w:val="840039"/>
        </w:rPr>
        <w:t>n</w:t>
      </w:r>
      <w:r>
        <w:rPr>
          <w:rFonts w:ascii="Arial" w:cs="Arial" w:eastAsia="Arial" w:hAnsi="Arial"/>
          <w:sz w:val="27"/>
          <w:szCs w:val="27"/>
          <w:color w:val="auto"/>
        </w:rPr>
        <w:tab/>
        <w:t>Only remaining public Sprint</w:t>
      </w:r>
    </w:p>
    <w:p>
      <w:pPr>
        <w:spacing w:after="0" w:line="38" w:lineRule="exact"/>
        <w:rPr>
          <w:sz w:val="20"/>
          <w:szCs w:val="20"/>
          <w:color w:val="auto"/>
        </w:rPr>
      </w:pPr>
    </w:p>
    <w:p>
      <w:pPr>
        <w:ind w:left="6480"/>
        <w:spacing w:after="0"/>
        <w:rPr>
          <w:sz w:val="20"/>
          <w:szCs w:val="20"/>
          <w:color w:val="auto"/>
        </w:rPr>
      </w:pPr>
      <w:r>
        <w:rPr>
          <w:rFonts w:ascii="Arial" w:cs="Arial" w:eastAsia="Arial" w:hAnsi="Arial"/>
          <w:sz w:val="27"/>
          <w:szCs w:val="27"/>
          <w:color w:val="auto"/>
        </w:rPr>
        <w:t>Nextel affiliate</w:t>
      </w:r>
    </w:p>
    <w:p>
      <w:pPr>
        <w:spacing w:after="0" w:line="110" w:lineRule="exact"/>
        <w:rPr>
          <w:sz w:val="20"/>
          <w:szCs w:val="20"/>
          <w:color w:val="auto"/>
        </w:rPr>
      </w:pPr>
    </w:p>
    <w:p>
      <w:pPr>
        <w:ind w:left="5900"/>
        <w:spacing w:after="0"/>
        <w:tabs>
          <w:tab w:leader="none" w:pos="6400" w:val="left"/>
        </w:tabs>
        <w:rPr>
          <w:sz w:val="20"/>
          <w:szCs w:val="20"/>
          <w:color w:val="auto"/>
        </w:rPr>
      </w:pPr>
      <w:r>
        <w:rPr>
          <w:rFonts w:ascii="Arial" w:cs="Arial" w:eastAsia="Arial" w:hAnsi="Arial"/>
          <w:sz w:val="27"/>
          <w:szCs w:val="27"/>
          <w:color w:val="840039"/>
        </w:rPr>
        <w:t>n</w:t>
      </w:r>
      <w:r>
        <w:rPr>
          <w:rFonts w:ascii="Arial" w:cs="Arial" w:eastAsia="Arial" w:hAnsi="Arial"/>
          <w:sz w:val="27"/>
          <w:szCs w:val="27"/>
          <w:color w:val="auto"/>
        </w:rPr>
        <w:tab/>
        <w:t>2.4 million licensed POPs</w:t>
      </w:r>
    </w:p>
    <w:p>
      <w:pPr>
        <w:spacing w:after="0" w:line="146" w:lineRule="exact"/>
        <w:rPr>
          <w:sz w:val="20"/>
          <w:szCs w:val="20"/>
          <w:color w:val="auto"/>
        </w:rPr>
      </w:pPr>
    </w:p>
    <w:p>
      <w:pPr>
        <w:ind w:left="5900"/>
        <w:spacing w:after="0"/>
        <w:tabs>
          <w:tab w:leader="none" w:pos="6400" w:val="left"/>
        </w:tabs>
        <w:rPr>
          <w:sz w:val="20"/>
          <w:szCs w:val="20"/>
          <w:color w:val="auto"/>
        </w:rPr>
      </w:pPr>
      <w:r>
        <w:rPr>
          <w:rFonts w:ascii="Arial" w:cs="Arial" w:eastAsia="Arial" w:hAnsi="Arial"/>
          <w:sz w:val="27"/>
          <w:szCs w:val="27"/>
          <w:color w:val="840039"/>
        </w:rPr>
        <w:t>n</w:t>
      </w:r>
      <w:r>
        <w:rPr>
          <w:rFonts w:ascii="Arial" w:cs="Arial" w:eastAsia="Arial" w:hAnsi="Arial"/>
          <w:sz w:val="27"/>
          <w:szCs w:val="27"/>
          <w:color w:val="auto"/>
        </w:rPr>
        <w:tab/>
        <w:t>2.1 million covered POPs</w:t>
      </w:r>
    </w:p>
    <w:p>
      <w:pPr>
        <w:spacing w:after="0" w:line="158" w:lineRule="exact"/>
        <w:rPr>
          <w:sz w:val="20"/>
          <w:szCs w:val="20"/>
          <w:color w:val="auto"/>
        </w:rPr>
      </w:pPr>
    </w:p>
    <w:p>
      <w:pPr>
        <w:ind w:left="5900"/>
        <w:spacing w:after="0"/>
        <w:tabs>
          <w:tab w:leader="none" w:pos="6400" w:val="left"/>
        </w:tabs>
        <w:rPr>
          <w:sz w:val="20"/>
          <w:szCs w:val="20"/>
          <w:color w:val="auto"/>
        </w:rPr>
      </w:pPr>
      <w:r>
        <w:rPr>
          <w:rFonts w:ascii="Arial" w:cs="Arial" w:eastAsia="Arial" w:hAnsi="Arial"/>
          <w:sz w:val="27"/>
          <w:szCs w:val="27"/>
          <w:color w:val="840039"/>
        </w:rPr>
        <w:t>n</w:t>
      </w:r>
      <w:r>
        <w:rPr>
          <w:rFonts w:ascii="Arial" w:cs="Arial" w:eastAsia="Arial" w:hAnsi="Arial"/>
          <w:sz w:val="27"/>
          <w:szCs w:val="27"/>
          <w:color w:val="auto"/>
        </w:rPr>
        <w:tab/>
        <w:t>225k total subscribers</w:t>
      </w:r>
    </w:p>
    <w:p>
      <w:pPr>
        <w:spacing w:after="0" w:line="78" w:lineRule="exact"/>
        <w:rPr>
          <w:sz w:val="20"/>
          <w:szCs w:val="20"/>
          <w:color w:val="auto"/>
        </w:rPr>
      </w:pPr>
    </w:p>
    <w:p>
      <w:pPr>
        <w:ind w:left="6480"/>
        <w:spacing w:after="0"/>
        <w:tabs>
          <w:tab w:leader="none" w:pos="6900" w:val="left"/>
        </w:tabs>
        <w:rPr>
          <w:sz w:val="20"/>
          <w:szCs w:val="20"/>
          <w:color w:val="auto"/>
        </w:rPr>
      </w:pPr>
      <w:r>
        <w:rPr>
          <w:rFonts w:ascii="Arial" w:cs="Arial" w:eastAsia="Arial" w:hAnsi="Arial"/>
          <w:sz w:val="19"/>
          <w:szCs w:val="19"/>
          <w:color w:val="C0C0C0"/>
        </w:rPr>
        <w:t>u</w:t>
      </w:r>
      <w:r>
        <w:rPr>
          <w:sz w:val="20"/>
          <w:szCs w:val="20"/>
          <w:color w:val="auto"/>
        </w:rPr>
        <w:tab/>
      </w:r>
      <w:r>
        <w:rPr>
          <w:rFonts w:ascii="Arial" w:cs="Arial" w:eastAsia="Arial" w:hAnsi="Arial"/>
          <w:sz w:val="23"/>
          <w:szCs w:val="23"/>
          <w:color w:val="auto"/>
        </w:rPr>
        <w:t>11% penetration of covered</w:t>
      </w:r>
    </w:p>
    <w:p>
      <w:pPr>
        <w:spacing w:after="0" w:line="58" w:lineRule="exact"/>
        <w:rPr>
          <w:sz w:val="20"/>
          <w:szCs w:val="20"/>
          <w:color w:val="auto"/>
        </w:rPr>
      </w:pPr>
    </w:p>
    <w:p>
      <w:pPr>
        <w:ind w:left="6980"/>
        <w:spacing w:after="0"/>
        <w:rPr>
          <w:sz w:val="20"/>
          <w:szCs w:val="20"/>
          <w:color w:val="auto"/>
        </w:rPr>
      </w:pPr>
      <w:r>
        <w:rPr>
          <w:rFonts w:ascii="Arial" w:cs="Arial" w:eastAsia="Arial" w:hAnsi="Arial"/>
          <w:sz w:val="26"/>
          <w:szCs w:val="26"/>
          <w:color w:val="auto"/>
        </w:rPr>
        <w:t>POPs</w:t>
      </w:r>
    </w:p>
    <w:p>
      <w:pPr>
        <w:spacing w:after="0" w:line="119" w:lineRule="exact"/>
        <w:rPr>
          <w:sz w:val="20"/>
          <w:szCs w:val="20"/>
          <w:color w:val="auto"/>
        </w:rPr>
      </w:pPr>
    </w:p>
    <w:p>
      <w:pPr>
        <w:ind w:left="5900"/>
        <w:spacing w:after="0"/>
        <w:tabs>
          <w:tab w:leader="none" w:pos="6400" w:val="left"/>
        </w:tabs>
        <w:rPr>
          <w:sz w:val="20"/>
          <w:szCs w:val="20"/>
          <w:color w:val="auto"/>
        </w:rPr>
      </w:pPr>
      <w:r>
        <w:rPr>
          <w:rFonts w:ascii="Arial" w:cs="Arial" w:eastAsia="Arial" w:hAnsi="Arial"/>
          <w:sz w:val="27"/>
          <w:szCs w:val="27"/>
          <w:color w:val="840039"/>
        </w:rPr>
        <w:t>n</w:t>
      </w:r>
      <w:r>
        <w:rPr>
          <w:rFonts w:ascii="Arial" w:cs="Arial" w:eastAsia="Arial" w:hAnsi="Arial"/>
          <w:sz w:val="27"/>
          <w:szCs w:val="27"/>
          <w:color w:val="auto"/>
        </w:rPr>
        <w:tab/>
        <w:t>481 CDMA base stations</w:t>
      </w:r>
    </w:p>
    <w:p>
      <w:pPr>
        <w:spacing w:after="0" w:line="146" w:lineRule="exact"/>
        <w:rPr>
          <w:sz w:val="20"/>
          <w:szCs w:val="20"/>
          <w:color w:val="auto"/>
        </w:rPr>
      </w:pPr>
    </w:p>
    <w:p>
      <w:pPr>
        <w:ind w:left="5900"/>
        <w:spacing w:after="0"/>
        <w:tabs>
          <w:tab w:leader="none" w:pos="6400" w:val="left"/>
        </w:tabs>
        <w:rPr>
          <w:sz w:val="20"/>
          <w:szCs w:val="20"/>
          <w:color w:val="auto"/>
        </w:rPr>
      </w:pPr>
      <w:r>
        <w:rPr>
          <w:rFonts w:ascii="Arial" w:cs="Arial" w:eastAsia="Arial" w:hAnsi="Arial"/>
          <w:sz w:val="26"/>
          <w:szCs w:val="26"/>
          <w:color w:val="840039"/>
        </w:rPr>
        <w:t>n</w:t>
      </w:r>
      <w:r>
        <w:rPr>
          <w:rFonts w:ascii="Arial" w:cs="Arial" w:eastAsia="Arial" w:hAnsi="Arial"/>
          <w:sz w:val="26"/>
          <w:szCs w:val="26"/>
          <w:color w:val="auto"/>
        </w:rPr>
        <w:tab/>
        <w:t>340 EVDO enabled cell sites</w:t>
      </w:r>
    </w:p>
    <w:p>
      <w:pPr>
        <w:spacing w:after="0" w:line="97" w:lineRule="exact"/>
        <w:rPr>
          <w:sz w:val="20"/>
          <w:szCs w:val="20"/>
          <w:color w:val="auto"/>
        </w:rPr>
      </w:pPr>
    </w:p>
    <w:p>
      <w:pPr>
        <w:ind w:left="6480"/>
        <w:spacing w:after="0"/>
        <w:tabs>
          <w:tab w:leader="none" w:pos="6880" w:val="left"/>
        </w:tabs>
        <w:rPr>
          <w:sz w:val="20"/>
          <w:szCs w:val="20"/>
          <w:color w:val="auto"/>
        </w:rPr>
      </w:pPr>
      <w:r>
        <w:rPr>
          <w:rFonts w:ascii="Arial" w:cs="Arial" w:eastAsia="Arial" w:hAnsi="Arial"/>
          <w:sz w:val="19"/>
          <w:szCs w:val="19"/>
          <w:color w:val="C0C0C0"/>
        </w:rPr>
        <w:t>u</w:t>
      </w:r>
      <w:r>
        <w:rPr>
          <w:sz w:val="20"/>
          <w:szCs w:val="20"/>
          <w:color w:val="auto"/>
        </w:rPr>
        <w:tab/>
      </w:r>
      <w:r>
        <w:rPr>
          <w:rFonts w:ascii="Arial" w:cs="Arial" w:eastAsia="Arial" w:hAnsi="Arial"/>
          <w:sz w:val="24"/>
          <w:szCs w:val="24"/>
          <w:color w:val="auto"/>
        </w:rPr>
        <w:t>96% EVDO covered POPs</w:t>
      </w:r>
    </w:p>
    <w:p>
      <w:pPr>
        <w:spacing w:after="0" w:line="180" w:lineRule="exact"/>
        <w:rPr>
          <w:sz w:val="20"/>
          <w:szCs w:val="20"/>
          <w:color w:val="auto"/>
        </w:rPr>
      </w:pPr>
    </w:p>
    <w:p>
      <w:pPr>
        <w:ind w:left="5900"/>
        <w:spacing w:after="0"/>
        <w:tabs>
          <w:tab w:leader="none" w:pos="6400" w:val="left"/>
        </w:tabs>
        <w:rPr>
          <w:sz w:val="20"/>
          <w:szCs w:val="20"/>
          <w:color w:val="auto"/>
        </w:rPr>
      </w:pPr>
      <w:r>
        <w:rPr>
          <w:rFonts w:ascii="Arial" w:cs="Arial" w:eastAsia="Arial" w:hAnsi="Arial"/>
          <w:sz w:val="27"/>
          <w:szCs w:val="27"/>
          <w:color w:val="840039"/>
        </w:rPr>
        <w:t>n</w:t>
      </w:r>
      <w:r>
        <w:rPr>
          <w:rFonts w:ascii="Arial" w:cs="Arial" w:eastAsia="Arial" w:hAnsi="Arial"/>
          <w:sz w:val="27"/>
          <w:szCs w:val="27"/>
          <w:color w:val="auto"/>
        </w:rPr>
        <w:tab/>
        <w:t>$41,000 Estimated Average</w:t>
      </w:r>
    </w:p>
    <w:p>
      <w:pPr>
        <w:spacing w:after="0" w:line="38" w:lineRule="exact"/>
        <w:rPr>
          <w:sz w:val="20"/>
          <w:szCs w:val="20"/>
          <w:color w:val="auto"/>
        </w:rPr>
      </w:pPr>
    </w:p>
    <w:p>
      <w:pPr>
        <w:ind w:left="6480"/>
        <w:spacing w:after="0"/>
        <w:rPr>
          <w:sz w:val="20"/>
          <w:szCs w:val="20"/>
          <w:color w:val="auto"/>
        </w:rPr>
      </w:pPr>
      <w:r>
        <w:rPr>
          <w:rFonts w:ascii="Arial" w:cs="Arial" w:eastAsia="Arial" w:hAnsi="Arial"/>
          <w:sz w:val="27"/>
          <w:szCs w:val="27"/>
          <w:color w:val="auto"/>
        </w:rPr>
        <w:t>household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1235710</wp:posOffset>
            </wp:positionV>
            <wp:extent cx="726694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820"/>
          </w:cols>
          <w:pgMar w:left="720" w:top="994" w:right="1359" w:bottom="1440" w:gutter="0" w:footer="0" w:header="0"/>
        </w:sectPr>
      </w:pPr>
    </w:p>
    <w:bookmarkStart w:id="12" w:name="page13"/>
    <w:bookmarkEnd w:id="12"/>
    <w:p>
      <w:pPr>
        <w:spacing w:after="0"/>
        <w:rPr>
          <w:sz w:val="20"/>
          <w:szCs w:val="20"/>
          <w:color w:val="auto"/>
        </w:rPr>
      </w:pPr>
      <w:r>
        <w:rPr>
          <w:rFonts w:ascii="Arial" w:cs="Arial" w:eastAsia="Arial" w:hAnsi="Arial"/>
          <w:sz w:val="51"/>
          <w:szCs w:val="51"/>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Profile of the Sprint Nextel Relationship</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40" w:hanging="331"/>
        <w:spacing w:after="0"/>
        <w:tabs>
          <w:tab w:leader="none" w:pos="540" w:val="left"/>
        </w:tabs>
        <w:numPr>
          <w:ilvl w:val="0"/>
          <w:numId w:val="10"/>
        </w:numPr>
        <w:rPr>
          <w:rFonts w:ascii="Arial" w:cs="Arial" w:eastAsia="Arial" w:hAnsi="Arial"/>
          <w:sz w:val="35"/>
          <w:szCs w:val="35"/>
          <w:color w:val="auto"/>
        </w:rPr>
      </w:pPr>
      <w:r>
        <w:rPr>
          <w:rFonts w:ascii="Arial" w:cs="Arial" w:eastAsia="Arial" w:hAnsi="Arial"/>
          <w:sz w:val="35"/>
          <w:szCs w:val="35"/>
          <w:color w:val="auto"/>
        </w:rPr>
        <w:t>Current contract through 2019 with two 10 year extensions</w:t>
      </w:r>
    </w:p>
    <w:p>
      <w:pPr>
        <w:ind w:left="1360" w:right="1520" w:hanging="1151"/>
        <w:spacing w:after="0" w:line="229" w:lineRule="auto"/>
        <w:tabs>
          <w:tab w:leader="none" w:pos="546" w:val="left"/>
        </w:tabs>
        <w:numPr>
          <w:ilvl w:val="0"/>
          <w:numId w:val="10"/>
        </w:numPr>
        <w:rPr>
          <w:rFonts w:ascii="Arial" w:cs="Arial" w:eastAsia="Arial" w:hAnsi="Arial"/>
          <w:sz w:val="35"/>
          <w:szCs w:val="35"/>
          <w:color w:val="auto"/>
        </w:rPr>
      </w:pPr>
      <w:r>
        <w:rPr>
          <w:rFonts w:ascii="Arial" w:cs="Arial" w:eastAsia="Arial" w:hAnsi="Arial"/>
          <w:sz w:val="35"/>
          <w:szCs w:val="35"/>
          <w:color w:val="auto"/>
        </w:rPr>
        <w:t>Upon expiration of contract - Shentel compensated based on enterprise value</w:t>
      </w:r>
    </w:p>
    <w:p>
      <w:pPr>
        <w:ind w:left="1360" w:right="1920" w:hanging="1151"/>
        <w:spacing w:after="0" w:line="222" w:lineRule="auto"/>
        <w:tabs>
          <w:tab w:leader="none" w:pos="546" w:val="left"/>
        </w:tabs>
        <w:numPr>
          <w:ilvl w:val="0"/>
          <w:numId w:val="10"/>
        </w:numPr>
        <w:rPr>
          <w:rFonts w:ascii="Arial" w:cs="Arial" w:eastAsia="Arial" w:hAnsi="Arial"/>
          <w:sz w:val="35"/>
          <w:szCs w:val="35"/>
          <w:color w:val="auto"/>
        </w:rPr>
      </w:pPr>
      <w:r>
        <w:rPr>
          <w:rFonts w:ascii="Arial" w:cs="Arial" w:eastAsia="Arial" w:hAnsi="Arial"/>
          <w:sz w:val="35"/>
          <w:szCs w:val="35"/>
          <w:color w:val="auto"/>
        </w:rPr>
        <w:t>Settlement simplification in place through contract unless amended by both parties</w:t>
      </w:r>
    </w:p>
    <w:p>
      <w:pPr>
        <w:ind w:left="1360"/>
        <w:spacing w:after="0" w:line="229" w:lineRule="auto"/>
        <w:rPr>
          <w:rFonts w:ascii="Arial" w:cs="Arial" w:eastAsia="Arial" w:hAnsi="Arial"/>
          <w:sz w:val="35"/>
          <w:szCs w:val="35"/>
          <w:color w:val="auto"/>
        </w:rPr>
      </w:pPr>
      <w:r>
        <w:rPr>
          <w:rFonts w:ascii="Arial" w:cs="Arial" w:eastAsia="Arial" w:hAnsi="Arial"/>
          <w:sz w:val="35"/>
          <w:szCs w:val="35"/>
          <w:color w:val="auto"/>
        </w:rPr>
        <w:t>Ø8% of Revenue - Spectrum, Brand, National Platform</w:t>
      </w:r>
    </w:p>
    <w:p>
      <w:pPr>
        <w:ind w:left="2140" w:hanging="201"/>
        <w:spacing w:after="0" w:line="229" w:lineRule="auto"/>
        <w:tabs>
          <w:tab w:leader="none" w:pos="2140" w:val="left"/>
        </w:tabs>
        <w:numPr>
          <w:ilvl w:val="1"/>
          <w:numId w:val="10"/>
        </w:numPr>
        <w:rPr>
          <w:rFonts w:ascii="Arial" w:cs="Arial" w:eastAsia="Arial" w:hAnsi="Arial"/>
          <w:sz w:val="35"/>
          <w:szCs w:val="35"/>
          <w:color w:val="auto"/>
        </w:rPr>
      </w:pPr>
      <w:r>
        <w:rPr>
          <w:rFonts w:ascii="Arial" w:cs="Arial" w:eastAsia="Arial" w:hAnsi="Arial"/>
          <w:sz w:val="35"/>
          <w:szCs w:val="35"/>
          <w:color w:val="auto"/>
        </w:rPr>
        <w:t>Fixed for life of contract</w:t>
      </w:r>
    </w:p>
    <w:p>
      <w:pPr>
        <w:ind w:left="2520" w:right="1580" w:hanging="1152"/>
        <w:spacing w:after="0" w:line="239" w:lineRule="auto"/>
        <w:rPr>
          <w:sz w:val="20"/>
          <w:szCs w:val="20"/>
          <w:color w:val="auto"/>
        </w:rPr>
      </w:pPr>
      <w:r>
        <w:rPr>
          <w:rFonts w:ascii="Arial" w:cs="Arial" w:eastAsia="Arial" w:hAnsi="Arial"/>
          <w:sz w:val="33"/>
          <w:szCs w:val="33"/>
          <w:color w:val="auto"/>
        </w:rPr>
        <w:t>Ø8.8% of revenue - all other settlement items (billing, customer care, long distance, travel)</w:t>
      </w:r>
    </w:p>
    <w:p>
      <w:pPr>
        <w:ind w:left="1940"/>
        <w:spacing w:after="0" w:line="234" w:lineRule="auto"/>
        <w:rPr>
          <w:sz w:val="20"/>
          <w:szCs w:val="20"/>
          <w:color w:val="auto"/>
        </w:rPr>
      </w:pPr>
      <w:r>
        <w:rPr>
          <w:rFonts w:ascii="Arial" w:cs="Arial" w:eastAsia="Arial" w:hAnsi="Arial"/>
          <w:sz w:val="35"/>
          <w:szCs w:val="35"/>
          <w:color w:val="auto"/>
        </w:rPr>
        <w:t>-Can change annually with maximum of 12%</w:t>
      </w:r>
    </w:p>
    <w:p>
      <w:pPr>
        <w:ind w:left="1360" w:right="2800" w:hanging="1151"/>
        <w:spacing w:after="0" w:line="227" w:lineRule="auto"/>
        <w:tabs>
          <w:tab w:leader="none" w:pos="546" w:val="left"/>
        </w:tabs>
        <w:numPr>
          <w:ilvl w:val="0"/>
          <w:numId w:val="11"/>
        </w:numPr>
        <w:rPr>
          <w:rFonts w:ascii="Arial" w:cs="Arial" w:eastAsia="Arial" w:hAnsi="Arial"/>
          <w:sz w:val="35"/>
          <w:szCs w:val="35"/>
          <w:color w:val="auto"/>
        </w:rPr>
      </w:pPr>
      <w:r>
        <w:rPr>
          <w:rFonts w:ascii="Arial" w:cs="Arial" w:eastAsia="Arial" w:hAnsi="Arial"/>
          <w:sz w:val="35"/>
          <w:szCs w:val="35"/>
          <w:color w:val="auto"/>
        </w:rPr>
        <w:t>Launched 4G in York &amp; Harrisburg, PA, May 2010 ØWholesale Clearwire Service</w:t>
      </w:r>
    </w:p>
    <w:p>
      <w:pPr>
        <w:ind w:left="1360" w:right="1320" w:hanging="1151"/>
        <w:spacing w:after="0" w:line="236" w:lineRule="auto"/>
        <w:tabs>
          <w:tab w:leader="none" w:pos="546" w:val="left"/>
        </w:tabs>
        <w:numPr>
          <w:ilvl w:val="0"/>
          <w:numId w:val="11"/>
        </w:numPr>
        <w:rPr>
          <w:rFonts w:ascii="Arial" w:cs="Arial" w:eastAsia="Arial" w:hAnsi="Arial"/>
          <w:sz w:val="35"/>
          <w:szCs w:val="35"/>
          <w:color w:val="auto"/>
        </w:rPr>
      </w:pPr>
      <w:r>
        <w:rPr>
          <w:rFonts w:ascii="Arial" w:cs="Arial" w:eastAsia="Arial" w:hAnsi="Arial"/>
          <w:sz w:val="35"/>
          <w:szCs w:val="35"/>
          <w:color w:val="auto"/>
        </w:rPr>
        <w:t>Plan to be able to offer all CDMA prepaid offerings by end of Q2 2010</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396875</wp:posOffset>
            </wp:positionV>
            <wp:extent cx="726694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80"/>
          </w:cols>
          <w:pgMar w:left="700" w:top="994" w:right="619" w:bottom="1440" w:gutter="0" w:footer="0" w:header="0"/>
        </w:sectPr>
      </w:pPr>
    </w:p>
    <w:bookmarkStart w:id="13" w:name="page14"/>
    <w:bookmarkEnd w:id="13"/>
    <w:p>
      <w:pPr>
        <w:spacing w:after="0"/>
        <w:rPr>
          <w:sz w:val="20"/>
          <w:szCs w:val="20"/>
          <w:color w:val="auto"/>
        </w:rPr>
      </w:pPr>
      <w:r>
        <w:rPr>
          <w:rFonts w:ascii="Arial" w:cs="Arial" w:eastAsia="Arial" w:hAnsi="Arial"/>
          <w:sz w:val="47"/>
          <w:szCs w:val="47"/>
          <w:b w:val="1"/>
          <w:bCs w:val="1"/>
          <w:color w:val="auto"/>
        </w:rPr>
        <w:t>Key Operational Metrics - PCS</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Periods Ending</w:t>
      </w:r>
    </w:p>
    <w:p>
      <w:pPr>
        <w:sectPr>
          <w:pgSz w:w="11900" w:h="16838" w:orient="portrait"/>
          <w:cols w:equalWidth="0" w:num="1">
            <w:col w:w="10580"/>
          </w:cols>
          <w:pgMar w:left="700" w:top="982" w:right="619" w:bottom="1440" w:gutter="0" w:footer="0" w:header="0"/>
        </w:sectPr>
      </w:pPr>
    </w:p>
    <w:p>
      <w:pPr>
        <w:spacing w:after="0" w:line="25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FFFFFF"/>
        </w:rPr>
        <w:t>Retail Subscribers (000s)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23"/>
          <w:szCs w:val="23"/>
          <w:b w:val="1"/>
          <w:bCs w:val="1"/>
          <w:color w:val="FFFFFF"/>
        </w:rPr>
        <w:t>Number of Cell Sites</w:t>
      </w:r>
    </w:p>
    <w:p>
      <w:pPr>
        <w:spacing w:after="0" w:line="169" w:lineRule="exact"/>
        <w:rPr>
          <w:sz w:val="20"/>
          <w:szCs w:val="20"/>
          <w:color w:val="auto"/>
        </w:rPr>
      </w:pPr>
    </w:p>
    <w:p>
      <w:pPr>
        <w:sectPr>
          <w:pgSz w:w="11900" w:h="16838" w:orient="portrait"/>
          <w:cols w:equalWidth="0" w:num="2">
            <w:col w:w="6080" w:space="720"/>
            <w:col w:w="3780"/>
          </w:cols>
          <w:pgMar w:left="700" w:top="982" w:right="619" w:bottom="1440" w:gutter="0" w:footer="0" w:header="0"/>
          <w:type w:val="continuous"/>
        </w:sectPr>
      </w:pPr>
    </w:p>
    <w:p>
      <w:pPr>
        <w:spacing w:after="0" w:line="12" w:lineRule="exact"/>
        <w:rPr>
          <w:sz w:val="20"/>
          <w:szCs w:val="20"/>
          <w:color w:val="auto"/>
        </w:rPr>
      </w:pPr>
    </w:p>
    <w:p>
      <w:pPr>
        <w:ind w:left="5920"/>
        <w:spacing w:after="0"/>
        <w:rPr>
          <w:sz w:val="20"/>
          <w:szCs w:val="20"/>
          <w:color w:val="auto"/>
        </w:rPr>
      </w:pPr>
      <w:r>
        <w:rPr>
          <w:rFonts w:ascii="Arial" w:cs="Arial" w:eastAsia="Arial" w:hAnsi="Arial"/>
          <w:sz w:val="20"/>
          <w:szCs w:val="20"/>
          <w:color w:val="auto"/>
        </w:rPr>
        <w:t>EVDO Sites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Non-EVDO Sites</w:t>
      </w:r>
    </w:p>
    <w:p>
      <w:pPr>
        <w:spacing w:after="0" w:line="200" w:lineRule="exact"/>
        <w:rPr>
          <w:sz w:val="20"/>
          <w:szCs w:val="20"/>
          <w:color w:val="auto"/>
        </w:rPr>
      </w:pPr>
    </w:p>
    <w:p>
      <w:pPr>
        <w:sectPr>
          <w:pgSz w:w="11900" w:h="16838" w:orient="portrait"/>
          <w:cols w:equalWidth="0" w:num="2">
            <w:col w:w="7020" w:space="560"/>
            <w:col w:w="3000"/>
          </w:cols>
          <w:pgMar w:left="700" w:top="982" w:right="6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60"/>
        <w:spacing w:after="0"/>
        <w:rPr>
          <w:sz w:val="20"/>
          <w:szCs w:val="20"/>
          <w:color w:val="auto"/>
        </w:rPr>
      </w:pPr>
      <w:r>
        <w:rPr>
          <w:rFonts w:ascii="Arial" w:cs="Arial" w:eastAsia="Arial" w:hAnsi="Arial"/>
          <w:sz w:val="26"/>
          <w:szCs w:val="26"/>
          <w:b w:val="1"/>
          <w:bCs w:val="1"/>
          <w:color w:val="FFFFFF"/>
        </w:rPr>
        <w:t>Churn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396875</wp:posOffset>
            </wp:positionV>
            <wp:extent cx="726694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80"/>
          </w:cols>
          <w:pgMar w:left="700" w:top="982" w:right="61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51"/>
          <w:szCs w:val="51"/>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Attractive Service Revenue Growth - PCS</w:t>
      </w:r>
    </w:p>
    <w:p>
      <w:pPr>
        <w:spacing w:after="0" w:line="19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12 Months Ending</w:t>
      </w:r>
    </w:p>
    <w:p>
      <w:pPr>
        <w:spacing w:after="0" w:line="71" w:lineRule="exact"/>
        <w:rPr>
          <w:sz w:val="20"/>
          <w:szCs w:val="20"/>
          <w:color w:val="auto"/>
        </w:rPr>
      </w:pPr>
    </w:p>
    <w:p>
      <w:pPr>
        <w:jc w:val="center"/>
        <w:ind w:right="-139"/>
        <w:spacing w:after="0"/>
        <w:rPr>
          <w:sz w:val="20"/>
          <w:szCs w:val="20"/>
          <w:color w:val="auto"/>
        </w:rPr>
      </w:pPr>
      <w:r>
        <w:rPr>
          <w:rFonts w:ascii="Arial" w:cs="Arial" w:eastAsia="Arial" w:hAnsi="Arial"/>
          <w:sz w:val="26"/>
          <w:szCs w:val="26"/>
          <w:b w:val="1"/>
          <w:bCs w:val="1"/>
          <w:color w:val="FFFFFF"/>
        </w:rPr>
        <w:t>Gross Billed PCS Revenue ($ millions)</w:t>
      </w:r>
      <w:r>
        <w:rPr>
          <w:rFonts w:ascii="Arial" w:cs="Arial" w:eastAsia="Arial" w:hAnsi="Arial"/>
          <w:sz w:val="35"/>
          <w:szCs w:val="35"/>
          <w:b w:val="1"/>
          <w:bCs w:val="1"/>
          <w:color w:val="FFFFFF"/>
          <w:vertAlign w:val="superscript"/>
        </w:rPr>
        <w:t>1</w:t>
      </w:r>
    </w:p>
    <w:p>
      <w:pPr>
        <w:spacing w:after="0" w:line="105" w:lineRule="exact"/>
        <w:rPr>
          <w:sz w:val="20"/>
          <w:szCs w:val="20"/>
          <w:color w:val="auto"/>
        </w:rPr>
      </w:pPr>
    </w:p>
    <w:p>
      <w:pPr>
        <w:ind w:left="4140"/>
        <w:spacing w:after="0"/>
        <w:rPr>
          <w:sz w:val="20"/>
          <w:szCs w:val="20"/>
          <w:color w:val="auto"/>
        </w:rPr>
      </w:pPr>
      <w:r>
        <w:rPr>
          <w:rFonts w:ascii="Arial" w:cs="Arial" w:eastAsia="Arial" w:hAnsi="Arial"/>
          <w:sz w:val="32"/>
          <w:szCs w:val="32"/>
          <w:color w:val="auto"/>
        </w:rPr>
        <w:t>11 % CAGR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80" w:hanging="87"/>
        <w:spacing w:after="0"/>
        <w:tabs>
          <w:tab w:leader="none" w:pos="18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Before credits and fees</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396875</wp:posOffset>
            </wp:positionV>
            <wp:extent cx="726694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60"/>
          </w:cols>
          <w:pgMar w:left="720" w:top="994" w:right="619" w:bottom="1440" w:gutter="0" w:footer="0" w:header="0"/>
        </w:sectPr>
      </w:pPr>
    </w:p>
    <w:bookmarkStart w:id="15" w:name="page16"/>
    <w:bookmarkEnd w:id="15"/>
    <w:p>
      <w:pPr>
        <w:spacing w:after="0"/>
        <w:rPr>
          <w:sz w:val="20"/>
          <w:szCs w:val="20"/>
          <w:color w:val="auto"/>
        </w:rPr>
      </w:pPr>
      <w:r>
        <w:rPr>
          <w:rFonts w:ascii="Arial" w:cs="Arial" w:eastAsia="Arial" w:hAnsi="Arial"/>
          <w:sz w:val="51"/>
          <w:szCs w:val="51"/>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PCS Revenues</w:t>
      </w:r>
    </w:p>
    <w:p>
      <w:pPr>
        <w:spacing w:after="0" w:line="19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12 Months Ending</w:t>
      </w:r>
    </w:p>
    <w:p>
      <w:pPr>
        <w:spacing w:after="0" w:line="71" w:lineRule="exact"/>
        <w:rPr>
          <w:sz w:val="20"/>
          <w:szCs w:val="20"/>
          <w:color w:val="auto"/>
        </w:rPr>
      </w:pPr>
    </w:p>
    <w:p>
      <w:pPr>
        <w:ind w:left="3820"/>
        <w:spacing w:after="0"/>
        <w:rPr>
          <w:sz w:val="20"/>
          <w:szCs w:val="20"/>
          <w:color w:val="auto"/>
        </w:rPr>
      </w:pPr>
      <w:r>
        <w:rPr>
          <w:rFonts w:ascii="Arial" w:cs="Arial" w:eastAsia="Arial" w:hAnsi="Arial"/>
          <w:sz w:val="26"/>
          <w:szCs w:val="26"/>
          <w:b w:val="1"/>
          <w:bCs w:val="1"/>
          <w:color w:val="FFFFFF"/>
        </w:rPr>
        <w:t>Billed Revenue ($ millions)</w:t>
      </w:r>
    </w:p>
    <w:p>
      <w:pPr>
        <w:spacing w:after="0" w:line="344" w:lineRule="exact"/>
        <w:rPr>
          <w:sz w:val="20"/>
          <w:szCs w:val="20"/>
          <w:color w:val="auto"/>
        </w:rPr>
      </w:pPr>
    </w:p>
    <w:p>
      <w:pPr>
        <w:ind w:left="3880"/>
        <w:spacing w:after="0"/>
        <w:rPr>
          <w:sz w:val="20"/>
          <w:szCs w:val="20"/>
          <w:color w:val="auto"/>
        </w:rPr>
      </w:pPr>
      <w:r>
        <w:rPr>
          <w:rFonts w:ascii="Arial" w:cs="Arial" w:eastAsia="Arial" w:hAnsi="Arial"/>
          <w:sz w:val="26"/>
          <w:szCs w:val="26"/>
          <w:color w:val="auto"/>
        </w:rPr>
        <w:t>Up 5%</w:t>
      </w:r>
    </w:p>
    <w:p>
      <w:pPr>
        <w:spacing w:after="0" w:line="355" w:lineRule="exact"/>
        <w:rPr>
          <w:sz w:val="20"/>
          <w:szCs w:val="20"/>
          <w:color w:val="auto"/>
        </w:rPr>
      </w:pPr>
    </w:p>
    <w:p>
      <w:pPr>
        <w:ind w:left="8040"/>
        <w:spacing w:after="0"/>
        <w:rPr>
          <w:sz w:val="20"/>
          <w:szCs w:val="20"/>
          <w:color w:val="auto"/>
        </w:rPr>
      </w:pPr>
      <w:r>
        <w:rPr>
          <w:rFonts w:ascii="Arial" w:cs="Arial" w:eastAsia="Arial" w:hAnsi="Arial"/>
          <w:sz w:val="29"/>
          <w:szCs w:val="29"/>
          <w:color w:val="auto"/>
        </w:rPr>
        <w:t>Bad Debt</w:t>
      </w:r>
    </w:p>
    <w:p>
      <w:pPr>
        <w:spacing w:after="0" w:line="33" w:lineRule="exact"/>
        <w:rPr>
          <w:sz w:val="20"/>
          <w:szCs w:val="20"/>
          <w:color w:val="auto"/>
        </w:rPr>
      </w:pPr>
    </w:p>
    <w:p>
      <w:pPr>
        <w:ind w:left="8020"/>
        <w:spacing w:after="0"/>
        <w:rPr>
          <w:sz w:val="20"/>
          <w:szCs w:val="20"/>
          <w:color w:val="auto"/>
        </w:rPr>
      </w:pPr>
      <w:r>
        <w:rPr>
          <w:rFonts w:ascii="Arial" w:cs="Arial" w:eastAsia="Arial" w:hAnsi="Arial"/>
          <w:sz w:val="29"/>
          <w:szCs w:val="29"/>
          <w:color w:val="auto"/>
        </w:rPr>
        <w:t>Management Fee</w:t>
      </w:r>
    </w:p>
    <w:p>
      <w:pPr>
        <w:spacing w:after="0" w:line="8" w:lineRule="exact"/>
        <w:rPr>
          <w:sz w:val="20"/>
          <w:szCs w:val="20"/>
          <w:color w:val="auto"/>
        </w:rPr>
      </w:pPr>
    </w:p>
    <w:p>
      <w:pPr>
        <w:ind w:left="8040"/>
        <w:spacing w:after="0"/>
        <w:rPr>
          <w:sz w:val="20"/>
          <w:szCs w:val="20"/>
          <w:color w:val="auto"/>
        </w:rPr>
      </w:pPr>
      <w:r>
        <w:rPr>
          <w:rFonts w:ascii="Arial" w:cs="Arial" w:eastAsia="Arial" w:hAnsi="Arial"/>
          <w:sz w:val="29"/>
          <w:szCs w:val="29"/>
          <w:color w:val="auto"/>
        </w:rPr>
        <w:t>Service Fee</w:t>
      </w:r>
    </w:p>
    <w:p>
      <w:pPr>
        <w:spacing w:after="0" w:line="9" w:lineRule="exact"/>
        <w:rPr>
          <w:sz w:val="20"/>
          <w:szCs w:val="20"/>
          <w:color w:val="auto"/>
        </w:rPr>
      </w:pPr>
    </w:p>
    <w:p>
      <w:pPr>
        <w:ind w:left="8020"/>
        <w:spacing w:after="0"/>
        <w:rPr>
          <w:sz w:val="20"/>
          <w:szCs w:val="20"/>
          <w:color w:val="auto"/>
        </w:rPr>
      </w:pPr>
      <w:r>
        <w:rPr>
          <w:rFonts w:ascii="Arial" w:cs="Arial" w:eastAsia="Arial" w:hAnsi="Arial"/>
          <w:sz w:val="29"/>
          <w:szCs w:val="29"/>
          <w:color w:val="auto"/>
        </w:rPr>
        <w:t>Service Credits</w:t>
      </w:r>
    </w:p>
    <w:p>
      <w:pPr>
        <w:spacing w:after="0" w:line="15" w:lineRule="exact"/>
        <w:rPr>
          <w:sz w:val="20"/>
          <w:szCs w:val="20"/>
          <w:color w:val="auto"/>
        </w:rPr>
      </w:pPr>
    </w:p>
    <w:p>
      <w:pPr>
        <w:ind w:left="8040"/>
        <w:spacing w:after="0"/>
        <w:rPr>
          <w:sz w:val="20"/>
          <w:szCs w:val="20"/>
          <w:color w:val="auto"/>
        </w:rPr>
      </w:pPr>
      <w:r>
        <w:rPr>
          <w:rFonts w:ascii="Arial" w:cs="Arial" w:eastAsia="Arial" w:hAnsi="Arial"/>
          <w:sz w:val="29"/>
          <w:szCs w:val="29"/>
          <w:color w:val="auto"/>
        </w:rPr>
        <w:t>Net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396875</wp:posOffset>
            </wp:positionV>
            <wp:extent cx="726694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80"/>
          </w:cols>
          <w:pgMar w:left="700" w:top="994" w:right="619" w:bottom="1440" w:gutter="0" w:footer="0" w:header="0"/>
        </w:sectPr>
      </w:pPr>
    </w:p>
    <w:bookmarkStart w:id="16" w:name="page17"/>
    <w:bookmarkEnd w:id="16"/>
    <w:p>
      <w:pPr>
        <w:spacing w:after="0"/>
        <w:rPr>
          <w:sz w:val="20"/>
          <w:szCs w:val="20"/>
          <w:color w:val="auto"/>
        </w:rPr>
      </w:pPr>
      <w:r>
        <w:rPr>
          <w:rFonts w:ascii="Arial" w:cs="Arial" w:eastAsia="Arial" w:hAnsi="Arial"/>
          <w:sz w:val="51"/>
          <w:szCs w:val="51"/>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PCS Revenue per Subscriber</w:t>
      </w:r>
    </w:p>
    <w:p>
      <w:pPr>
        <w:spacing w:after="0" w:line="19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Period Ending</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FFFFFF"/>
        </w:rPr>
        <w:t>Gross Billed Revenue per Subscriber</w:t>
      </w:r>
      <w:r>
        <w:rPr>
          <w:rFonts w:ascii="Arial" w:cs="Arial" w:eastAsia="Arial" w:hAnsi="Arial"/>
          <w:sz w:val="35"/>
          <w:szCs w:val="35"/>
          <w:b w:val="1"/>
          <w:bCs w:val="1"/>
          <w:color w:val="FFFFFF"/>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396875</wp:posOffset>
            </wp:positionV>
            <wp:extent cx="726694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80"/>
          </w:cols>
          <w:pgMar w:left="700" w:top="982" w:right="619" w:bottom="1440" w:gutter="0" w:footer="0" w:header="0"/>
        </w:sectPr>
      </w:pPr>
    </w:p>
    <w:bookmarkStart w:id="17" w:name="page18"/>
    <w:bookmarkEnd w:id="17"/>
    <w:p>
      <w:pPr>
        <w:spacing w:after="0"/>
        <w:rPr>
          <w:sz w:val="20"/>
          <w:szCs w:val="20"/>
          <w:color w:val="auto"/>
        </w:rPr>
      </w:pPr>
      <w:r>
        <w:rPr>
          <w:rFonts w:ascii="Arial" w:cs="Arial" w:eastAsia="Arial" w:hAnsi="Arial"/>
          <w:sz w:val="51"/>
          <w:szCs w:val="51"/>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Wireless Segment</w:t>
      </w:r>
    </w:p>
    <w:p>
      <w:pPr>
        <w:spacing w:after="0" w:line="19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12 Months Ending</w:t>
      </w:r>
    </w:p>
    <w:p>
      <w:pPr>
        <w:spacing w:after="0" w:line="240" w:lineRule="exact"/>
        <w:rPr>
          <w:sz w:val="20"/>
          <w:szCs w:val="20"/>
          <w:color w:val="auto"/>
        </w:rPr>
      </w:pPr>
    </w:p>
    <w:p>
      <w:pPr>
        <w:ind w:left="980"/>
        <w:spacing w:after="0"/>
        <w:tabs>
          <w:tab w:leader="none" w:pos="6880" w:val="left"/>
        </w:tabs>
        <w:rPr>
          <w:sz w:val="20"/>
          <w:szCs w:val="20"/>
          <w:color w:val="auto"/>
        </w:rPr>
      </w:pPr>
      <w:r>
        <w:rPr>
          <w:rFonts w:ascii="Arial" w:cs="Arial" w:eastAsia="Arial" w:hAnsi="Arial"/>
          <w:sz w:val="26"/>
          <w:szCs w:val="26"/>
          <w:b w:val="1"/>
          <w:bCs w:val="1"/>
          <w:color w:val="FFFFFF"/>
        </w:rPr>
        <w:t>Reported Revenue ($ millions)</w:t>
      </w:r>
      <w:r>
        <w:rPr>
          <w:sz w:val="20"/>
          <w:szCs w:val="20"/>
          <w:color w:val="auto"/>
        </w:rPr>
        <w:tab/>
      </w:r>
      <w:r>
        <w:rPr>
          <w:rFonts w:ascii="Arial" w:cs="Arial" w:eastAsia="Arial" w:hAnsi="Arial"/>
          <w:sz w:val="23"/>
          <w:szCs w:val="23"/>
          <w:b w:val="1"/>
          <w:bCs w:val="1"/>
          <w:color w:val="FFFFFF"/>
        </w:rPr>
        <w:t>OIBDA ($ millions)</w:t>
      </w:r>
    </w:p>
    <w:p>
      <w:pPr>
        <w:spacing w:after="0" w:line="229" w:lineRule="exact"/>
        <w:rPr>
          <w:sz w:val="20"/>
          <w:szCs w:val="20"/>
          <w:color w:val="auto"/>
        </w:rPr>
      </w:pPr>
    </w:p>
    <w:p>
      <w:pPr>
        <w:ind w:left="7100"/>
        <w:spacing w:after="0"/>
        <w:rPr>
          <w:sz w:val="20"/>
          <w:szCs w:val="20"/>
          <w:color w:val="auto"/>
        </w:rPr>
      </w:pPr>
      <w:r>
        <w:rPr>
          <w:rFonts w:ascii="Arial" w:cs="Arial" w:eastAsia="Arial" w:hAnsi="Arial"/>
          <w:sz w:val="29"/>
          <w:szCs w:val="29"/>
          <w:color w:val="auto"/>
        </w:rPr>
        <w:t>15% CAGR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396875</wp:posOffset>
            </wp:positionV>
            <wp:extent cx="726694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80"/>
          </w:cols>
          <w:pgMar w:left="700" w:top="994" w:right="619" w:bottom="1440" w:gutter="0" w:footer="0" w:header="0"/>
        </w:sectPr>
      </w:pPr>
    </w:p>
    <w:bookmarkStart w:id="18" w:name="page19"/>
    <w:bookmarkEnd w:id="18"/>
    <w:p>
      <w:pPr>
        <w:ind w:left="460"/>
        <w:spacing w:after="0"/>
        <w:rPr>
          <w:sz w:val="20"/>
          <w:szCs w:val="20"/>
          <w:color w:val="auto"/>
        </w:rPr>
      </w:pPr>
      <w:r>
        <w:rPr>
          <w:rFonts w:ascii="Arial" w:cs="Arial" w:eastAsia="Arial" w:hAnsi="Arial"/>
          <w:sz w:val="51"/>
          <w:szCs w:val="51"/>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07580" cy="5484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307580" cy="5484495"/>
                    </a:xfrm>
                    <a:prstGeom prst="rect">
                      <a:avLst/>
                    </a:prstGeom>
                    <a:noFill/>
                  </pic:spPr>
                </pic:pic>
              </a:graphicData>
            </a:graphic>
          </wp:anchor>
        </w:drawing>
        <w:t>Capital Expenditures - Wireless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29"/>
          <w:szCs w:val="29"/>
          <w:b w:val="1"/>
          <w:bCs w:val="1"/>
          <w:color w:val="auto"/>
        </w:rPr>
        <w:t>12 Months Ending</w:t>
      </w:r>
    </w:p>
    <w:p>
      <w:pPr>
        <w:spacing w:after="0" w:line="156" w:lineRule="exact"/>
        <w:rPr>
          <w:sz w:val="20"/>
          <w:szCs w:val="20"/>
          <w:color w:val="auto"/>
        </w:rPr>
      </w:pPr>
    </w:p>
    <w:p>
      <w:pPr>
        <w:ind w:left="3780"/>
        <w:spacing w:after="0"/>
        <w:rPr>
          <w:sz w:val="20"/>
          <w:szCs w:val="20"/>
          <w:color w:val="auto"/>
        </w:rPr>
      </w:pPr>
      <w:r>
        <w:rPr>
          <w:rFonts w:ascii="Arial" w:cs="Arial" w:eastAsia="Arial" w:hAnsi="Arial"/>
          <w:sz w:val="26"/>
          <w:szCs w:val="26"/>
          <w:b w:val="1"/>
          <w:bCs w:val="1"/>
          <w:color w:val="FFFFFF"/>
        </w:rPr>
        <w:t>Capital Expenditures by Category ($ millions)</w:t>
      </w:r>
    </w:p>
    <w:p>
      <w:pPr>
        <w:spacing w:after="0" w:line="236" w:lineRule="exact"/>
        <w:rPr>
          <w:sz w:val="20"/>
          <w:szCs w:val="20"/>
          <w:color w:val="auto"/>
        </w:rPr>
      </w:pPr>
    </w:p>
    <w:p>
      <w:pPr>
        <w:ind w:left="2900"/>
        <w:spacing w:after="0"/>
        <w:tabs>
          <w:tab w:leader="none" w:pos="4600" w:val="left"/>
          <w:tab w:leader="none" w:pos="5880" w:val="left"/>
          <w:tab w:leader="none" w:pos="7380" w:val="left"/>
          <w:tab w:leader="none" w:pos="8640" w:val="left"/>
        </w:tabs>
        <w:rPr>
          <w:sz w:val="20"/>
          <w:szCs w:val="20"/>
          <w:color w:val="auto"/>
        </w:rPr>
      </w:pPr>
      <w:r>
        <w:rPr>
          <w:rFonts w:ascii="Arial" w:cs="Arial" w:eastAsia="Arial" w:hAnsi="Arial"/>
          <w:sz w:val="26"/>
          <w:szCs w:val="26"/>
          <w:color w:val="auto"/>
        </w:rPr>
        <w:t>Coverage</w:t>
      </w:r>
      <w:r>
        <w:rPr>
          <w:sz w:val="20"/>
          <w:szCs w:val="20"/>
          <w:color w:val="auto"/>
        </w:rPr>
        <w:tab/>
      </w:r>
      <w:r>
        <w:rPr>
          <w:rFonts w:ascii="Arial" w:cs="Arial" w:eastAsia="Arial" w:hAnsi="Arial"/>
          <w:sz w:val="26"/>
          <w:szCs w:val="26"/>
          <w:color w:val="auto"/>
        </w:rPr>
        <w:t>Other</w:t>
      </w:r>
      <w:r>
        <w:rPr>
          <w:sz w:val="20"/>
          <w:szCs w:val="20"/>
          <w:color w:val="auto"/>
        </w:rPr>
        <w:tab/>
      </w:r>
      <w:r>
        <w:rPr>
          <w:rFonts w:ascii="Arial" w:cs="Arial" w:eastAsia="Arial" w:hAnsi="Arial"/>
          <w:sz w:val="26"/>
          <w:szCs w:val="26"/>
          <w:color w:val="auto"/>
        </w:rPr>
        <w:t>Capacity</w:t>
      </w:r>
      <w:r>
        <w:rPr>
          <w:sz w:val="20"/>
          <w:szCs w:val="20"/>
          <w:color w:val="auto"/>
        </w:rPr>
        <w:tab/>
      </w:r>
      <w:r>
        <w:rPr>
          <w:rFonts w:ascii="Arial" w:cs="Arial" w:eastAsia="Arial" w:hAnsi="Arial"/>
          <w:sz w:val="26"/>
          <w:szCs w:val="26"/>
          <w:color w:val="auto"/>
        </w:rPr>
        <w:t>EVDO</w:t>
      </w:r>
      <w:r>
        <w:rPr>
          <w:sz w:val="20"/>
          <w:szCs w:val="20"/>
          <w:color w:val="auto"/>
        </w:rPr>
        <w:tab/>
      </w:r>
      <w:r>
        <w:rPr>
          <w:rFonts w:ascii="Arial" w:cs="Arial" w:eastAsia="Arial" w:hAnsi="Arial"/>
          <w:sz w:val="23"/>
          <w:szCs w:val="23"/>
          <w:color w:val="auto"/>
        </w:rPr>
        <w:t>Towers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326"/>
        </w:trPr>
        <w:tc>
          <w:tcPr>
            <w:tcW w:w="2840" w:type="dxa"/>
            <w:vAlign w:val="bottom"/>
          </w:tcPr>
          <w:p>
            <w:pPr>
              <w:ind w:left="660"/>
              <w:spacing w:after="0"/>
              <w:rPr>
                <w:sz w:val="20"/>
                <w:szCs w:val="20"/>
                <w:color w:val="auto"/>
              </w:rPr>
            </w:pPr>
            <w:r>
              <w:rPr>
                <w:rFonts w:ascii="Arial" w:cs="Arial" w:eastAsia="Arial" w:hAnsi="Arial"/>
                <w:sz w:val="26"/>
                <w:szCs w:val="26"/>
                <w:color w:val="auto"/>
              </w:rPr>
              <w:t># Cell Sites</w:t>
            </w:r>
          </w:p>
        </w:tc>
        <w:tc>
          <w:tcPr>
            <w:tcW w:w="1640" w:type="dxa"/>
            <w:vAlign w:val="bottom"/>
          </w:tcPr>
          <w:p>
            <w:pPr>
              <w:jc w:val="right"/>
              <w:ind w:right="592"/>
              <w:spacing w:after="0"/>
              <w:rPr>
                <w:sz w:val="20"/>
                <w:szCs w:val="20"/>
                <w:color w:val="auto"/>
              </w:rPr>
            </w:pPr>
            <w:r>
              <w:rPr>
                <w:rFonts w:ascii="Arial" w:cs="Arial" w:eastAsia="Arial" w:hAnsi="Arial"/>
                <w:sz w:val="26"/>
                <w:szCs w:val="26"/>
                <w:color w:val="auto"/>
              </w:rPr>
              <w:t>346</w:t>
            </w:r>
          </w:p>
        </w:tc>
        <w:tc>
          <w:tcPr>
            <w:tcW w:w="1920" w:type="dxa"/>
            <w:vAlign w:val="bottom"/>
          </w:tcPr>
          <w:p>
            <w:pPr>
              <w:jc w:val="right"/>
              <w:ind w:right="552"/>
              <w:spacing w:after="0"/>
              <w:rPr>
                <w:sz w:val="20"/>
                <w:szCs w:val="20"/>
                <w:color w:val="auto"/>
              </w:rPr>
            </w:pPr>
            <w:r>
              <w:rPr>
                <w:rFonts w:ascii="Arial" w:cs="Arial" w:eastAsia="Arial" w:hAnsi="Arial"/>
                <w:sz w:val="26"/>
                <w:szCs w:val="26"/>
                <w:color w:val="auto"/>
              </w:rPr>
              <w:t>411</w:t>
            </w:r>
          </w:p>
        </w:tc>
        <w:tc>
          <w:tcPr>
            <w:tcW w:w="1900" w:type="dxa"/>
            <w:vAlign w:val="bottom"/>
          </w:tcPr>
          <w:p>
            <w:pPr>
              <w:jc w:val="right"/>
              <w:ind w:right="552"/>
              <w:spacing w:after="0"/>
              <w:rPr>
                <w:sz w:val="20"/>
                <w:szCs w:val="20"/>
                <w:color w:val="auto"/>
              </w:rPr>
            </w:pPr>
            <w:r>
              <w:rPr>
                <w:rFonts w:ascii="Arial" w:cs="Arial" w:eastAsia="Arial" w:hAnsi="Arial"/>
                <w:sz w:val="26"/>
                <w:szCs w:val="26"/>
                <w:color w:val="auto"/>
              </w:rPr>
              <w:t>476</w:t>
            </w:r>
          </w:p>
        </w:tc>
        <w:tc>
          <w:tcPr>
            <w:tcW w:w="3140" w:type="dxa"/>
            <w:vAlign w:val="bottom"/>
          </w:tcPr>
          <w:p>
            <w:pPr>
              <w:jc w:val="right"/>
              <w:ind w:right="1792"/>
              <w:spacing w:after="0"/>
              <w:rPr>
                <w:sz w:val="20"/>
                <w:szCs w:val="20"/>
                <w:color w:val="auto"/>
              </w:rPr>
            </w:pPr>
            <w:r>
              <w:rPr>
                <w:rFonts w:ascii="Arial" w:cs="Arial" w:eastAsia="Arial" w:hAnsi="Arial"/>
                <w:sz w:val="26"/>
                <w:szCs w:val="26"/>
                <w:color w:val="auto"/>
              </w:rPr>
              <w:t>503</w:t>
            </w:r>
          </w:p>
        </w:tc>
      </w:tr>
      <w:tr>
        <w:trPr>
          <w:trHeight w:val="372"/>
        </w:trPr>
        <w:tc>
          <w:tcPr>
            <w:tcW w:w="2840" w:type="dxa"/>
            <w:vAlign w:val="bottom"/>
          </w:tcPr>
          <w:p>
            <w:pPr>
              <w:ind w:left="660"/>
              <w:spacing w:after="0"/>
              <w:rPr>
                <w:sz w:val="20"/>
                <w:szCs w:val="20"/>
                <w:color w:val="auto"/>
              </w:rPr>
            </w:pPr>
            <w:r>
              <w:rPr>
                <w:rFonts w:ascii="Arial" w:cs="Arial" w:eastAsia="Arial" w:hAnsi="Arial"/>
                <w:sz w:val="26"/>
                <w:szCs w:val="26"/>
                <w:color w:val="auto"/>
              </w:rPr>
              <w:t>% Covered POPs</w:t>
            </w:r>
          </w:p>
        </w:tc>
        <w:tc>
          <w:tcPr>
            <w:tcW w:w="1640" w:type="dxa"/>
            <w:vAlign w:val="bottom"/>
          </w:tcPr>
          <w:p>
            <w:pPr>
              <w:jc w:val="right"/>
              <w:ind w:right="672"/>
              <w:spacing w:after="0"/>
              <w:rPr>
                <w:sz w:val="20"/>
                <w:szCs w:val="20"/>
                <w:color w:val="auto"/>
              </w:rPr>
            </w:pPr>
            <w:r>
              <w:rPr>
                <w:rFonts w:ascii="Arial" w:cs="Arial" w:eastAsia="Arial" w:hAnsi="Arial"/>
                <w:sz w:val="26"/>
                <w:szCs w:val="26"/>
                <w:color w:val="auto"/>
              </w:rPr>
              <w:t>79%</w:t>
            </w:r>
          </w:p>
        </w:tc>
        <w:tc>
          <w:tcPr>
            <w:tcW w:w="1920" w:type="dxa"/>
            <w:vAlign w:val="bottom"/>
          </w:tcPr>
          <w:p>
            <w:pPr>
              <w:jc w:val="right"/>
              <w:ind w:right="612"/>
              <w:spacing w:after="0"/>
              <w:rPr>
                <w:sz w:val="20"/>
                <w:szCs w:val="20"/>
                <w:color w:val="auto"/>
              </w:rPr>
            </w:pPr>
            <w:r>
              <w:rPr>
                <w:rFonts w:ascii="Arial" w:cs="Arial" w:eastAsia="Arial" w:hAnsi="Arial"/>
                <w:sz w:val="26"/>
                <w:szCs w:val="26"/>
                <w:color w:val="auto"/>
              </w:rPr>
              <w:t>85%</w:t>
            </w:r>
          </w:p>
        </w:tc>
        <w:tc>
          <w:tcPr>
            <w:tcW w:w="1900" w:type="dxa"/>
            <w:vAlign w:val="bottom"/>
          </w:tcPr>
          <w:p>
            <w:pPr>
              <w:jc w:val="right"/>
              <w:ind w:right="632"/>
              <w:spacing w:after="0"/>
              <w:rPr>
                <w:sz w:val="20"/>
                <w:szCs w:val="20"/>
                <w:color w:val="auto"/>
              </w:rPr>
            </w:pPr>
            <w:r>
              <w:rPr>
                <w:rFonts w:ascii="Arial" w:cs="Arial" w:eastAsia="Arial" w:hAnsi="Arial"/>
                <w:sz w:val="26"/>
                <w:szCs w:val="26"/>
                <w:color w:val="auto"/>
              </w:rPr>
              <w:t>87%</w:t>
            </w:r>
          </w:p>
        </w:tc>
        <w:tc>
          <w:tcPr>
            <w:tcW w:w="3140" w:type="dxa"/>
            <w:vAlign w:val="bottom"/>
          </w:tcPr>
          <w:p>
            <w:pPr>
              <w:jc w:val="right"/>
              <w:ind w:right="1852"/>
              <w:spacing w:after="0"/>
              <w:rPr>
                <w:sz w:val="20"/>
                <w:szCs w:val="20"/>
                <w:color w:val="auto"/>
              </w:rPr>
            </w:pPr>
            <w:r>
              <w:rPr>
                <w:rFonts w:ascii="Arial" w:cs="Arial" w:eastAsia="Arial" w:hAnsi="Arial"/>
                <w:sz w:val="26"/>
                <w:szCs w:val="26"/>
                <w:color w:val="auto"/>
              </w:rPr>
              <w:t>88%</w:t>
            </w:r>
          </w:p>
        </w:tc>
      </w:tr>
      <w:tr>
        <w:trPr>
          <w:trHeight w:val="372"/>
        </w:trPr>
        <w:tc>
          <w:tcPr>
            <w:tcW w:w="2840" w:type="dxa"/>
            <w:vAlign w:val="bottom"/>
          </w:tcPr>
          <w:p>
            <w:pPr>
              <w:ind w:left="660"/>
              <w:spacing w:after="0"/>
              <w:rPr>
                <w:sz w:val="20"/>
                <w:szCs w:val="20"/>
                <w:color w:val="auto"/>
              </w:rPr>
            </w:pPr>
            <w:r>
              <w:rPr>
                <w:rFonts w:ascii="Arial" w:cs="Arial" w:eastAsia="Arial" w:hAnsi="Arial"/>
                <w:sz w:val="26"/>
                <w:szCs w:val="26"/>
                <w:color w:val="auto"/>
              </w:rPr>
              <w:t># EVDO Sites</w:t>
            </w:r>
          </w:p>
        </w:tc>
        <w:tc>
          <w:tcPr>
            <w:tcW w:w="1640" w:type="dxa"/>
            <w:vAlign w:val="bottom"/>
          </w:tcPr>
          <w:p>
            <w:pPr>
              <w:jc w:val="right"/>
              <w:ind w:right="652"/>
              <w:spacing w:after="0"/>
              <w:rPr>
                <w:sz w:val="20"/>
                <w:szCs w:val="20"/>
                <w:color w:val="auto"/>
              </w:rPr>
            </w:pPr>
            <w:r>
              <w:rPr>
                <w:rFonts w:ascii="Arial" w:cs="Arial" w:eastAsia="Arial" w:hAnsi="Arial"/>
                <w:sz w:val="26"/>
                <w:szCs w:val="26"/>
                <w:color w:val="auto"/>
              </w:rPr>
              <w:t>52</w:t>
            </w:r>
          </w:p>
        </w:tc>
        <w:tc>
          <w:tcPr>
            <w:tcW w:w="1920" w:type="dxa"/>
            <w:vAlign w:val="bottom"/>
          </w:tcPr>
          <w:p>
            <w:pPr>
              <w:jc w:val="right"/>
              <w:ind w:right="532"/>
              <w:spacing w:after="0"/>
              <w:rPr>
                <w:sz w:val="20"/>
                <w:szCs w:val="20"/>
                <w:color w:val="auto"/>
              </w:rPr>
            </w:pPr>
            <w:r>
              <w:rPr>
                <w:rFonts w:ascii="Arial" w:cs="Arial" w:eastAsia="Arial" w:hAnsi="Arial"/>
                <w:sz w:val="26"/>
                <w:szCs w:val="26"/>
                <w:color w:val="auto"/>
              </w:rPr>
              <w:t>211</w:t>
            </w:r>
          </w:p>
        </w:tc>
        <w:tc>
          <w:tcPr>
            <w:tcW w:w="1900" w:type="dxa"/>
            <w:vAlign w:val="bottom"/>
          </w:tcPr>
          <w:p>
            <w:pPr>
              <w:jc w:val="right"/>
              <w:ind w:right="532"/>
              <w:spacing w:after="0"/>
              <w:rPr>
                <w:sz w:val="20"/>
                <w:szCs w:val="20"/>
                <w:color w:val="auto"/>
              </w:rPr>
            </w:pPr>
            <w:r>
              <w:rPr>
                <w:rFonts w:ascii="Arial" w:cs="Arial" w:eastAsia="Arial" w:hAnsi="Arial"/>
                <w:sz w:val="26"/>
                <w:szCs w:val="26"/>
                <w:color w:val="auto"/>
              </w:rPr>
              <w:t>334</w:t>
            </w:r>
          </w:p>
        </w:tc>
        <w:tc>
          <w:tcPr>
            <w:tcW w:w="3140" w:type="dxa"/>
            <w:vAlign w:val="bottom"/>
          </w:tcPr>
          <w:p>
            <w:pPr>
              <w:jc w:val="right"/>
              <w:ind w:right="1772"/>
              <w:spacing w:after="0"/>
              <w:rPr>
                <w:sz w:val="20"/>
                <w:szCs w:val="20"/>
                <w:color w:val="auto"/>
              </w:rPr>
            </w:pPr>
            <w:r>
              <w:rPr>
                <w:rFonts w:ascii="Arial" w:cs="Arial" w:eastAsia="Arial" w:hAnsi="Arial"/>
                <w:sz w:val="26"/>
                <w:szCs w:val="26"/>
                <w:color w:val="auto"/>
              </w:rPr>
              <w:t>365</w:t>
            </w:r>
          </w:p>
        </w:tc>
      </w:tr>
      <w:tr>
        <w:trPr>
          <w:trHeight w:val="372"/>
        </w:trPr>
        <w:tc>
          <w:tcPr>
            <w:tcW w:w="2840" w:type="dxa"/>
            <w:vAlign w:val="bottom"/>
          </w:tcPr>
          <w:p>
            <w:pPr>
              <w:ind w:left="660"/>
              <w:spacing w:after="0"/>
              <w:rPr>
                <w:sz w:val="20"/>
                <w:szCs w:val="20"/>
                <w:color w:val="auto"/>
              </w:rPr>
            </w:pPr>
            <w:r>
              <w:rPr>
                <w:rFonts w:ascii="Arial" w:cs="Arial" w:eastAsia="Arial" w:hAnsi="Arial"/>
                <w:sz w:val="26"/>
                <w:szCs w:val="26"/>
                <w:color w:val="auto"/>
              </w:rPr>
              <w:t>% POPs Covered</w:t>
            </w:r>
          </w:p>
        </w:tc>
        <w:tc>
          <w:tcPr>
            <w:tcW w:w="1640" w:type="dxa"/>
            <w:vAlign w:val="bottom"/>
          </w:tcPr>
          <w:p>
            <w:pPr>
              <w:jc w:val="right"/>
              <w:ind w:right="672"/>
              <w:spacing w:after="0"/>
              <w:rPr>
                <w:sz w:val="20"/>
                <w:szCs w:val="20"/>
                <w:color w:val="auto"/>
              </w:rPr>
            </w:pPr>
            <w:r>
              <w:rPr>
                <w:rFonts w:ascii="Arial" w:cs="Arial" w:eastAsia="Arial" w:hAnsi="Arial"/>
                <w:sz w:val="26"/>
                <w:szCs w:val="26"/>
                <w:color w:val="auto"/>
              </w:rPr>
              <w:t>27%</w:t>
            </w:r>
          </w:p>
        </w:tc>
        <w:tc>
          <w:tcPr>
            <w:tcW w:w="1920" w:type="dxa"/>
            <w:vAlign w:val="bottom"/>
          </w:tcPr>
          <w:p>
            <w:pPr>
              <w:jc w:val="right"/>
              <w:ind w:right="612"/>
              <w:spacing w:after="0"/>
              <w:rPr>
                <w:sz w:val="20"/>
                <w:szCs w:val="20"/>
                <w:color w:val="auto"/>
              </w:rPr>
            </w:pPr>
            <w:r>
              <w:rPr>
                <w:rFonts w:ascii="Arial" w:cs="Arial" w:eastAsia="Arial" w:hAnsi="Arial"/>
                <w:sz w:val="26"/>
                <w:szCs w:val="26"/>
                <w:color w:val="auto"/>
              </w:rPr>
              <w:t>86%</w:t>
            </w:r>
          </w:p>
        </w:tc>
        <w:tc>
          <w:tcPr>
            <w:tcW w:w="1900" w:type="dxa"/>
            <w:vAlign w:val="bottom"/>
          </w:tcPr>
          <w:p>
            <w:pPr>
              <w:jc w:val="right"/>
              <w:ind w:right="632"/>
              <w:spacing w:after="0"/>
              <w:rPr>
                <w:sz w:val="20"/>
                <w:szCs w:val="20"/>
                <w:color w:val="auto"/>
              </w:rPr>
            </w:pPr>
            <w:r>
              <w:rPr>
                <w:rFonts w:ascii="Arial" w:cs="Arial" w:eastAsia="Arial" w:hAnsi="Arial"/>
                <w:sz w:val="26"/>
                <w:szCs w:val="26"/>
                <w:color w:val="auto"/>
              </w:rPr>
              <w:t>94%</w:t>
            </w:r>
          </w:p>
        </w:tc>
        <w:tc>
          <w:tcPr>
            <w:tcW w:w="3140" w:type="dxa"/>
            <w:vAlign w:val="bottom"/>
          </w:tcPr>
          <w:p>
            <w:pPr>
              <w:jc w:val="right"/>
              <w:ind w:right="1852"/>
              <w:spacing w:after="0"/>
              <w:rPr>
                <w:sz w:val="20"/>
                <w:szCs w:val="20"/>
                <w:color w:val="auto"/>
              </w:rPr>
            </w:pPr>
            <w:r>
              <w:rPr>
                <w:rFonts w:ascii="Arial" w:cs="Arial" w:eastAsia="Arial" w:hAnsi="Arial"/>
                <w:sz w:val="26"/>
                <w:szCs w:val="26"/>
                <w:color w:val="auto"/>
              </w:rPr>
              <w:t>95%</w:t>
            </w:r>
          </w:p>
        </w:tc>
      </w:tr>
      <w:tr>
        <w:trPr>
          <w:trHeight w:val="881"/>
        </w:trPr>
        <w:tc>
          <w:tcPr>
            <w:tcW w:w="284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3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982" w:right="219" w:bottom="1440" w:gutter="0" w:footer="0" w:header="0"/>
        </w:sectPr>
      </w:pPr>
    </w:p>
    <w:bookmarkStart w:id="19" w:name="page20"/>
    <w:bookmarkEnd w:id="19"/>
    <w:p>
      <w:pPr>
        <w:spacing w:after="0"/>
        <w:rPr>
          <w:sz w:val="20"/>
          <w:szCs w:val="20"/>
          <w:color w:val="auto"/>
        </w:rPr>
      </w:pPr>
      <w:r>
        <w:rPr>
          <w:rFonts w:ascii="Arial" w:cs="Arial" w:eastAsia="Arial" w:hAnsi="Arial"/>
          <w:sz w:val="51"/>
          <w:szCs w:val="51"/>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Agenda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0"/>
        <w:spacing w:after="0"/>
        <w:rPr>
          <w:sz w:val="20"/>
          <w:szCs w:val="20"/>
          <w:color w:val="auto"/>
        </w:rPr>
      </w:pPr>
      <w:r>
        <w:rPr>
          <w:rFonts w:ascii="Arial" w:cs="Arial" w:eastAsia="Arial" w:hAnsi="Arial"/>
          <w:sz w:val="35"/>
          <w:szCs w:val="35"/>
          <w:color w:val="auto"/>
        </w:rPr>
        <w:t>Introduction and Shentel Overview</w:t>
      </w:r>
    </w:p>
    <w:p>
      <w:pPr>
        <w:spacing w:after="0" w:line="200" w:lineRule="exact"/>
        <w:rPr>
          <w:sz w:val="20"/>
          <w:szCs w:val="20"/>
          <w:color w:val="auto"/>
        </w:rPr>
      </w:pPr>
    </w:p>
    <w:p>
      <w:pPr>
        <w:spacing w:after="0" w:line="238" w:lineRule="exact"/>
        <w:rPr>
          <w:sz w:val="20"/>
          <w:szCs w:val="20"/>
          <w:color w:val="auto"/>
        </w:rPr>
      </w:pPr>
    </w:p>
    <w:p>
      <w:pPr>
        <w:ind w:left="340"/>
        <w:spacing w:after="0"/>
        <w:rPr>
          <w:sz w:val="20"/>
          <w:szCs w:val="20"/>
          <w:color w:val="auto"/>
        </w:rPr>
      </w:pPr>
      <w:r>
        <w:rPr>
          <w:rFonts w:ascii="Arial" w:cs="Arial" w:eastAsia="Arial" w:hAnsi="Arial"/>
          <w:sz w:val="35"/>
          <w:szCs w:val="35"/>
          <w:color w:val="auto"/>
        </w:rPr>
        <w:t>Overview of Wireless</w:t>
      </w: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Arial" w:cs="Arial" w:eastAsia="Arial" w:hAnsi="Arial"/>
          <w:sz w:val="35"/>
          <w:szCs w:val="35"/>
          <w:color w:val="840039"/>
        </w:rPr>
        <w:t>Overview of Cable</w:t>
      </w:r>
    </w:p>
    <w:p>
      <w:pPr>
        <w:spacing w:after="0" w:line="200" w:lineRule="exact"/>
        <w:rPr>
          <w:sz w:val="20"/>
          <w:szCs w:val="20"/>
          <w:color w:val="auto"/>
        </w:rPr>
      </w:pPr>
    </w:p>
    <w:p>
      <w:pPr>
        <w:spacing w:after="0" w:line="238" w:lineRule="exact"/>
        <w:rPr>
          <w:sz w:val="20"/>
          <w:szCs w:val="20"/>
          <w:color w:val="auto"/>
        </w:rPr>
      </w:pPr>
    </w:p>
    <w:p>
      <w:pPr>
        <w:ind w:left="340"/>
        <w:spacing w:after="0"/>
        <w:rPr>
          <w:sz w:val="20"/>
          <w:szCs w:val="20"/>
          <w:color w:val="auto"/>
        </w:rPr>
      </w:pPr>
      <w:r>
        <w:rPr>
          <w:rFonts w:ascii="Arial" w:cs="Arial" w:eastAsia="Arial" w:hAnsi="Arial"/>
          <w:sz w:val="35"/>
          <w:szCs w:val="35"/>
          <w:color w:val="auto"/>
        </w:rPr>
        <w:t>Overview of Wireline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396875</wp:posOffset>
            </wp:positionV>
            <wp:extent cx="726694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80"/>
          </w:cols>
          <w:pgMar w:left="700" w:top="994" w:right="619" w:bottom="1440" w:gutter="0" w:footer="0" w:header="0"/>
        </w:sectPr>
      </w:pPr>
    </w:p>
    <w:bookmarkStart w:id="20" w:name="page21"/>
    <w:bookmarkEnd w:id="20"/>
    <w:p>
      <w:pPr>
        <w:spacing w:after="0"/>
        <w:rPr>
          <w:sz w:val="20"/>
          <w:szCs w:val="20"/>
          <w:color w:val="auto"/>
        </w:rPr>
      </w:pPr>
      <w:r>
        <w:rPr>
          <w:rFonts w:ascii="Arial" w:cs="Arial" w:eastAsia="Arial" w:hAnsi="Arial"/>
          <w:sz w:val="51"/>
          <w:szCs w:val="51"/>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Cable TV 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00" w:right="4300" w:hanging="499"/>
        <w:spacing w:after="0" w:line="359" w:lineRule="auto"/>
        <w:tabs>
          <w:tab w:leader="none" w:pos="632" w:val="left"/>
        </w:tabs>
        <w:numPr>
          <w:ilvl w:val="0"/>
          <w:numId w:val="13"/>
        </w:numPr>
        <w:rPr>
          <w:rFonts w:ascii="Arial" w:cs="Arial" w:eastAsia="Arial" w:hAnsi="Arial"/>
          <w:sz w:val="38"/>
          <w:szCs w:val="38"/>
          <w:color w:val="840039"/>
        </w:rPr>
      </w:pPr>
      <w:r>
        <w:rPr>
          <w:rFonts w:ascii="Arial" w:cs="Arial" w:eastAsia="Arial" w:hAnsi="Arial"/>
          <w:sz w:val="38"/>
          <w:szCs w:val="38"/>
          <w:color w:val="auto"/>
        </w:rPr>
        <w:t xml:space="preserve">Complimentary (with LEC business) </w:t>
      </w:r>
      <w:r>
        <w:rPr>
          <w:rFonts w:ascii="Arial" w:cs="Arial" w:eastAsia="Arial" w:hAnsi="Arial"/>
          <w:sz w:val="30"/>
          <w:szCs w:val="30"/>
          <w:color w:val="C0C0C0"/>
        </w:rPr>
        <w:t xml:space="preserve">u </w:t>
      </w:r>
      <w:r>
        <w:rPr>
          <w:rFonts w:ascii="Arial" w:cs="Arial" w:eastAsia="Arial" w:hAnsi="Arial"/>
          <w:sz w:val="38"/>
          <w:szCs w:val="38"/>
          <w:color w:val="000000"/>
        </w:rPr>
        <w:t>16k Homes Passed</w:t>
      </w:r>
    </w:p>
    <w:p>
      <w:pPr>
        <w:spacing w:after="0" w:line="2" w:lineRule="exact"/>
        <w:rPr>
          <w:rFonts w:ascii="Arial" w:cs="Arial" w:eastAsia="Arial" w:hAnsi="Arial"/>
          <w:sz w:val="38"/>
          <w:szCs w:val="38"/>
          <w:color w:val="840039"/>
        </w:rPr>
      </w:pPr>
    </w:p>
    <w:p>
      <w:pPr>
        <w:ind w:left="800"/>
        <w:spacing w:after="0"/>
        <w:rPr>
          <w:rFonts w:ascii="Arial" w:cs="Arial" w:eastAsia="Arial" w:hAnsi="Arial"/>
          <w:sz w:val="38"/>
          <w:szCs w:val="38"/>
          <w:color w:val="840039"/>
        </w:rPr>
      </w:pPr>
      <w:r>
        <w:rPr>
          <w:rFonts w:ascii="Arial" w:cs="Arial" w:eastAsia="Arial" w:hAnsi="Arial"/>
          <w:sz w:val="31"/>
          <w:szCs w:val="31"/>
          <w:color w:val="C0C0C0"/>
        </w:rPr>
        <w:t xml:space="preserve">u </w:t>
      </w:r>
      <w:r>
        <w:rPr>
          <w:rFonts w:ascii="Arial" w:cs="Arial" w:eastAsia="Arial" w:hAnsi="Arial"/>
          <w:sz w:val="38"/>
          <w:szCs w:val="38"/>
          <w:color w:val="000000"/>
        </w:rPr>
        <w:t>8k Video Subscribers</w:t>
      </w:r>
    </w:p>
    <w:p>
      <w:pPr>
        <w:spacing w:after="0" w:line="223" w:lineRule="exact"/>
        <w:rPr>
          <w:rFonts w:ascii="Arial" w:cs="Arial" w:eastAsia="Arial" w:hAnsi="Arial"/>
          <w:sz w:val="38"/>
          <w:szCs w:val="38"/>
          <w:color w:val="840039"/>
        </w:rPr>
      </w:pPr>
    </w:p>
    <w:p>
      <w:pPr>
        <w:ind w:left="800" w:right="4120" w:hanging="499"/>
        <w:spacing w:after="0" w:line="359" w:lineRule="auto"/>
        <w:tabs>
          <w:tab w:leader="none" w:pos="632" w:val="left"/>
        </w:tabs>
        <w:numPr>
          <w:ilvl w:val="0"/>
          <w:numId w:val="13"/>
        </w:numPr>
        <w:rPr>
          <w:rFonts w:ascii="Arial" w:cs="Arial" w:eastAsia="Arial" w:hAnsi="Arial"/>
          <w:sz w:val="38"/>
          <w:szCs w:val="38"/>
          <w:color w:val="840039"/>
        </w:rPr>
      </w:pPr>
      <w:r>
        <w:rPr>
          <w:rFonts w:ascii="Arial" w:cs="Arial" w:eastAsia="Arial" w:hAnsi="Arial"/>
          <w:sz w:val="38"/>
          <w:szCs w:val="38"/>
          <w:color w:val="auto"/>
        </w:rPr>
        <w:t xml:space="preserve">Offensive positioning (Outside ILEC) </w:t>
      </w:r>
      <w:r>
        <w:rPr>
          <w:rFonts w:ascii="Arial" w:cs="Arial" w:eastAsia="Arial" w:hAnsi="Arial"/>
          <w:sz w:val="30"/>
          <w:szCs w:val="30"/>
          <w:color w:val="C0C0C0"/>
        </w:rPr>
        <w:t xml:space="preserve">u </w:t>
      </w:r>
      <w:r>
        <w:rPr>
          <w:rFonts w:ascii="Arial" w:cs="Arial" w:eastAsia="Arial" w:hAnsi="Arial"/>
          <w:sz w:val="38"/>
          <w:szCs w:val="38"/>
          <w:color w:val="000000"/>
        </w:rPr>
        <w:t>40k Homes Passed</w:t>
      </w:r>
    </w:p>
    <w:p>
      <w:pPr>
        <w:spacing w:after="0" w:line="2" w:lineRule="exact"/>
        <w:rPr>
          <w:rFonts w:ascii="Arial" w:cs="Arial" w:eastAsia="Arial" w:hAnsi="Arial"/>
          <w:sz w:val="38"/>
          <w:szCs w:val="38"/>
          <w:color w:val="840039"/>
        </w:rPr>
      </w:pPr>
    </w:p>
    <w:p>
      <w:pPr>
        <w:ind w:left="800" w:right="3580"/>
        <w:spacing w:after="0" w:line="390" w:lineRule="auto"/>
        <w:rPr>
          <w:rFonts w:ascii="Arial" w:cs="Arial" w:eastAsia="Arial" w:hAnsi="Arial"/>
          <w:sz w:val="38"/>
          <w:szCs w:val="38"/>
          <w:color w:val="840039"/>
        </w:rPr>
      </w:pPr>
      <w:r>
        <w:rPr>
          <w:rFonts w:ascii="Arial" w:cs="Arial" w:eastAsia="Arial" w:hAnsi="Arial"/>
          <w:sz w:val="28"/>
          <w:szCs w:val="28"/>
          <w:color w:val="C0C0C0"/>
        </w:rPr>
        <w:t xml:space="preserve">u </w:t>
      </w:r>
      <w:r>
        <w:rPr>
          <w:rFonts w:ascii="Arial" w:cs="Arial" w:eastAsia="Arial" w:hAnsi="Arial"/>
          <w:sz w:val="35"/>
          <w:szCs w:val="35"/>
          <w:color w:val="000000"/>
        </w:rPr>
        <w:t>15k Video and 3k Internet Subscribers</w:t>
      </w:r>
      <w:r>
        <w:rPr>
          <w:rFonts w:ascii="Arial" w:cs="Arial" w:eastAsia="Arial" w:hAnsi="Arial"/>
          <w:sz w:val="28"/>
          <w:szCs w:val="28"/>
          <w:color w:val="C0C0C0"/>
        </w:rPr>
        <w:t xml:space="preserve"> u </w:t>
      </w:r>
      <w:r>
        <w:rPr>
          <w:rFonts w:ascii="Arial" w:cs="Arial" w:eastAsia="Arial" w:hAnsi="Arial"/>
          <w:sz w:val="35"/>
          <w:szCs w:val="35"/>
          <w:color w:val="000000"/>
        </w:rPr>
        <w:t>Voice service initiated 3/31/10</w:t>
      </w:r>
    </w:p>
    <w:p>
      <w:pPr>
        <w:spacing w:after="0" w:line="1" w:lineRule="exact"/>
        <w:rPr>
          <w:rFonts w:ascii="Arial" w:cs="Arial" w:eastAsia="Arial" w:hAnsi="Arial"/>
          <w:sz w:val="38"/>
          <w:szCs w:val="38"/>
          <w:color w:val="840039"/>
        </w:rPr>
      </w:pPr>
    </w:p>
    <w:p>
      <w:pPr>
        <w:ind w:left="640" w:hanging="339"/>
        <w:spacing w:after="0"/>
        <w:tabs>
          <w:tab w:leader="none" w:pos="640" w:val="left"/>
        </w:tabs>
        <w:numPr>
          <w:ilvl w:val="0"/>
          <w:numId w:val="13"/>
        </w:numPr>
        <w:rPr>
          <w:rFonts w:ascii="Arial" w:cs="Arial" w:eastAsia="Arial" w:hAnsi="Arial"/>
          <w:sz w:val="38"/>
          <w:szCs w:val="38"/>
          <w:color w:val="840039"/>
        </w:rPr>
      </w:pPr>
      <w:r>
        <w:rPr>
          <w:rFonts w:ascii="Arial" w:cs="Arial" w:eastAsia="Arial" w:hAnsi="Arial"/>
          <w:sz w:val="38"/>
          <w:szCs w:val="38"/>
          <w:color w:val="auto"/>
        </w:rPr>
        <w:t>All upgraded by 9/30/10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396875</wp:posOffset>
            </wp:positionV>
            <wp:extent cx="7266940"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00"/>
          </w:cols>
          <w:pgMar w:left="680" w:top="994" w:right="61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6"/>
          <w:szCs w:val="26"/>
          <w:color w:val="auto"/>
        </w:rPr>
        <w:t>Internet</w:t>
      </w:r>
    </w:p>
    <w:p>
      <w:pPr>
        <w:spacing w:after="0" w:line="157" w:lineRule="exact"/>
        <w:rPr>
          <w:sz w:val="20"/>
          <w:szCs w:val="20"/>
          <w:color w:val="auto"/>
        </w:rPr>
      </w:pPr>
    </w:p>
    <w:p>
      <w:pPr>
        <w:spacing w:after="0"/>
        <w:rPr>
          <w:sz w:val="20"/>
          <w:szCs w:val="20"/>
          <w:color w:val="auto"/>
        </w:rPr>
      </w:pPr>
      <w:r>
        <w:rPr>
          <w:rFonts w:ascii="Arial" w:cs="Arial" w:eastAsia="Arial" w:hAnsi="Arial"/>
          <w:sz w:val="26"/>
          <w:szCs w:val="26"/>
          <w:color w:val="auto"/>
        </w:rPr>
        <w:t>Basic</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26"/>
          <w:szCs w:val="26"/>
          <w:color w:val="auto"/>
        </w:rPr>
        <w:t>Digital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396875</wp:posOffset>
            </wp:positionV>
            <wp:extent cx="726694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900"/>
          </w:cols>
          <w:pgMar w:left="1380" w:top="1440" w:right="619" w:bottom="1440" w:gutter="0" w:footer="0" w:header="0"/>
        </w:sectPr>
      </w:pPr>
    </w:p>
    <w:bookmarkStart w:id="22" w:name="page23"/>
    <w:bookmarkEnd w:id="22"/>
    <w:p>
      <w:pPr>
        <w:spacing w:after="0"/>
        <w:rPr>
          <w:sz w:val="20"/>
          <w:szCs w:val="20"/>
          <w:color w:val="auto"/>
        </w:rPr>
      </w:pPr>
      <w:r>
        <w:rPr>
          <w:rFonts w:ascii="Arial" w:cs="Arial" w:eastAsia="Arial" w:hAnsi="Arial"/>
          <w:sz w:val="51"/>
          <w:szCs w:val="51"/>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Cable TV</w:t>
      </w:r>
    </w:p>
    <w:p>
      <w:pPr>
        <w:spacing w:after="0" w:line="19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12 Months Ending</w:t>
      </w:r>
    </w:p>
    <w:p>
      <w:pPr>
        <w:spacing w:after="0" w:line="180" w:lineRule="exact"/>
        <w:rPr>
          <w:sz w:val="20"/>
          <w:szCs w:val="20"/>
          <w:color w:val="auto"/>
        </w:rPr>
      </w:pPr>
    </w:p>
    <w:p>
      <w:pPr>
        <w:ind w:left="1420"/>
        <w:spacing w:after="0"/>
        <w:tabs>
          <w:tab w:leader="none" w:pos="6800" w:val="left"/>
        </w:tabs>
        <w:rPr>
          <w:sz w:val="20"/>
          <w:szCs w:val="20"/>
          <w:color w:val="auto"/>
        </w:rPr>
      </w:pPr>
      <w:r>
        <w:rPr>
          <w:rFonts w:ascii="Arial" w:cs="Arial" w:eastAsia="Arial" w:hAnsi="Arial"/>
          <w:sz w:val="26"/>
          <w:szCs w:val="26"/>
          <w:b w:val="1"/>
          <w:bCs w:val="1"/>
          <w:color w:val="FFFFFF"/>
        </w:rPr>
        <w:t>Revenue ($ millions)</w:t>
      </w:r>
      <w:r>
        <w:rPr>
          <w:sz w:val="20"/>
          <w:szCs w:val="20"/>
          <w:color w:val="auto"/>
        </w:rPr>
        <w:tab/>
      </w:r>
      <w:r>
        <w:rPr>
          <w:rFonts w:ascii="Arial" w:cs="Arial" w:eastAsia="Arial" w:hAnsi="Arial"/>
          <w:sz w:val="23"/>
          <w:szCs w:val="23"/>
          <w:b w:val="1"/>
          <w:bCs w:val="1"/>
          <w:color w:val="FFFFFF"/>
        </w:rPr>
        <w:t>OIBDA ($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spacing w:after="0"/>
        <w:rPr>
          <w:sz w:val="20"/>
          <w:szCs w:val="20"/>
          <w:color w:val="auto"/>
        </w:rPr>
      </w:pPr>
      <w:r>
        <w:rPr>
          <w:rFonts w:ascii="Arial" w:cs="Arial" w:eastAsia="Arial" w:hAnsi="Arial"/>
          <w:sz w:val="19"/>
          <w:szCs w:val="19"/>
          <w:color w:val="auto"/>
        </w:rPr>
        <w:t>Includes Rapid Communications acquisition December 1,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396875</wp:posOffset>
            </wp:positionV>
            <wp:extent cx="7266940"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80"/>
          </w:cols>
          <w:pgMar w:left="700" w:top="982" w:right="619" w:bottom="1440" w:gutter="0" w:footer="0" w:header="0"/>
        </w:sectPr>
      </w:pPr>
    </w:p>
    <w:bookmarkStart w:id="23" w:name="page24"/>
    <w:bookmarkEnd w:id="23"/>
    <w:p>
      <w:pPr>
        <w:spacing w:after="0"/>
        <w:rPr>
          <w:sz w:val="20"/>
          <w:szCs w:val="20"/>
          <w:color w:val="auto"/>
        </w:rPr>
      </w:pPr>
      <w:r>
        <w:rPr>
          <w:rFonts w:ascii="Arial" w:cs="Arial" w:eastAsia="Arial" w:hAnsi="Arial"/>
          <w:sz w:val="34"/>
          <w:szCs w:val="34"/>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Deal Highlights - JetBroadband Acquisition</w:t>
      </w:r>
    </w:p>
    <w:p>
      <w:pPr>
        <w:sectPr>
          <w:pgSz w:w="11900" w:h="16838" w:orient="portrait"/>
          <w:cols w:equalWidth="0" w:num="1">
            <w:col w:w="10740"/>
          </w:cols>
          <w:pgMar w:left="540" w:top="1038" w:right="619" w:bottom="1440" w:gutter="0" w:footer="0" w:header="0"/>
        </w:sectPr>
      </w:pPr>
    </w:p>
    <w:p>
      <w:pPr>
        <w:spacing w:after="0" w:line="388" w:lineRule="exact"/>
        <w:rPr>
          <w:sz w:val="20"/>
          <w:szCs w:val="20"/>
          <w:color w:val="auto"/>
        </w:rPr>
      </w:pPr>
    </w:p>
    <w:p>
      <w:pPr>
        <w:ind w:left="840" w:right="718" w:hanging="435"/>
        <w:spacing w:after="0" w:line="254" w:lineRule="auto"/>
        <w:tabs>
          <w:tab w:leader="none" w:pos="744" w:val="left"/>
        </w:tabs>
        <w:numPr>
          <w:ilvl w:val="0"/>
          <w:numId w:val="14"/>
        </w:numPr>
        <w:rPr>
          <w:rFonts w:ascii="Arial" w:cs="Arial" w:eastAsia="Arial" w:hAnsi="Arial"/>
          <w:sz w:val="38"/>
          <w:szCs w:val="38"/>
          <w:color w:val="840039"/>
        </w:rPr>
      </w:pPr>
      <w:r>
        <w:rPr>
          <w:rFonts w:ascii="Arial" w:cs="Arial" w:eastAsia="Arial" w:hAnsi="Arial"/>
          <w:sz w:val="38"/>
          <w:szCs w:val="38"/>
          <w:color w:val="auto"/>
        </w:rPr>
        <w:t>Structured as an asset purchase</w:t>
      </w:r>
    </w:p>
    <w:p>
      <w:pPr>
        <w:spacing w:after="0" w:line="144" w:lineRule="exact"/>
        <w:rPr>
          <w:rFonts w:ascii="Arial" w:cs="Arial" w:eastAsia="Arial" w:hAnsi="Arial"/>
          <w:sz w:val="38"/>
          <w:szCs w:val="38"/>
          <w:color w:val="840039"/>
        </w:rPr>
      </w:pPr>
    </w:p>
    <w:p>
      <w:pPr>
        <w:ind w:left="740" w:hanging="335"/>
        <w:spacing w:after="0"/>
        <w:tabs>
          <w:tab w:leader="none" w:pos="740" w:val="left"/>
        </w:tabs>
        <w:numPr>
          <w:ilvl w:val="0"/>
          <w:numId w:val="14"/>
        </w:numPr>
        <w:rPr>
          <w:rFonts w:ascii="Arial" w:cs="Arial" w:eastAsia="Arial" w:hAnsi="Arial"/>
          <w:sz w:val="34"/>
          <w:szCs w:val="34"/>
          <w:color w:val="840039"/>
        </w:rPr>
      </w:pPr>
      <w:r>
        <w:rPr>
          <w:rFonts w:ascii="Arial" w:cs="Arial" w:eastAsia="Arial" w:hAnsi="Arial"/>
          <w:sz w:val="34"/>
          <w:szCs w:val="34"/>
          <w:color w:val="auto"/>
        </w:rPr>
        <w:t>Purchase Price = $148</w:t>
      </w:r>
    </w:p>
    <w:p>
      <w:pPr>
        <w:spacing w:after="0" w:line="257" w:lineRule="exact"/>
        <w:rPr>
          <w:rFonts w:ascii="Arial" w:cs="Arial" w:eastAsia="Arial" w:hAnsi="Arial"/>
          <w:sz w:val="34"/>
          <w:szCs w:val="34"/>
          <w:color w:val="840039"/>
        </w:rPr>
      </w:pPr>
    </w:p>
    <w:p>
      <w:pPr>
        <w:ind w:left="840" w:right="718" w:hanging="435"/>
        <w:spacing w:after="0" w:line="270" w:lineRule="auto"/>
        <w:tabs>
          <w:tab w:leader="none" w:pos="744" w:val="left"/>
        </w:tabs>
        <w:numPr>
          <w:ilvl w:val="0"/>
          <w:numId w:val="14"/>
        </w:numPr>
        <w:rPr>
          <w:rFonts w:ascii="Arial" w:cs="Arial" w:eastAsia="Arial" w:hAnsi="Arial"/>
          <w:sz w:val="35"/>
          <w:szCs w:val="35"/>
          <w:color w:val="840039"/>
        </w:rPr>
      </w:pPr>
      <w:r>
        <w:rPr>
          <w:rFonts w:ascii="Arial" w:cs="Arial" w:eastAsia="Arial" w:hAnsi="Arial"/>
          <w:sz w:val="35"/>
          <w:szCs w:val="35"/>
          <w:color w:val="auto"/>
        </w:rPr>
        <w:t>115 thousand homes passed and serves 67 thousand RGUs</w:t>
      </w:r>
    </w:p>
    <w:p>
      <w:pPr>
        <w:spacing w:after="0" w:line="131" w:lineRule="exact"/>
        <w:rPr>
          <w:sz w:val="20"/>
          <w:szCs w:val="20"/>
          <w:color w:val="auto"/>
        </w:rPr>
      </w:pPr>
    </w:p>
    <w:p>
      <w:pPr>
        <w:ind w:left="1340" w:right="738" w:hanging="431"/>
        <w:spacing w:after="0" w:line="268" w:lineRule="auto"/>
        <w:tabs>
          <w:tab w:leader="none" w:pos="1217" w:val="left"/>
        </w:tabs>
        <w:numPr>
          <w:ilvl w:val="0"/>
          <w:numId w:val="15"/>
        </w:numPr>
        <w:rPr>
          <w:rFonts w:ascii="Arial" w:cs="Arial" w:eastAsia="Arial" w:hAnsi="Arial"/>
          <w:sz w:val="30"/>
          <w:szCs w:val="30"/>
          <w:color w:val="C0C0C0"/>
        </w:rPr>
      </w:pPr>
      <w:r>
        <w:rPr>
          <w:rFonts w:ascii="Arial" w:cs="Arial" w:eastAsia="Arial" w:hAnsi="Arial"/>
          <w:sz w:val="37"/>
          <w:szCs w:val="37"/>
          <w:color w:val="auto"/>
        </w:rPr>
        <w:t>43 thousand video customers</w:t>
      </w:r>
    </w:p>
    <w:p>
      <w:pPr>
        <w:spacing w:after="0" w:line="118" w:lineRule="exact"/>
        <w:rPr>
          <w:rFonts w:ascii="Arial" w:cs="Arial" w:eastAsia="Arial" w:hAnsi="Arial"/>
          <w:sz w:val="30"/>
          <w:szCs w:val="30"/>
          <w:color w:val="C0C0C0"/>
        </w:rPr>
      </w:pPr>
    </w:p>
    <w:p>
      <w:pPr>
        <w:ind w:left="1340" w:right="958" w:hanging="431"/>
        <w:spacing w:after="0" w:line="282" w:lineRule="auto"/>
        <w:tabs>
          <w:tab w:leader="none" w:pos="1217" w:val="left"/>
        </w:tabs>
        <w:numPr>
          <w:ilvl w:val="0"/>
          <w:numId w:val="15"/>
        </w:numPr>
        <w:rPr>
          <w:rFonts w:ascii="Arial" w:cs="Arial" w:eastAsia="Arial" w:hAnsi="Arial"/>
          <w:sz w:val="29"/>
          <w:szCs w:val="29"/>
          <w:color w:val="C0C0C0"/>
        </w:rPr>
      </w:pPr>
      <w:r>
        <w:rPr>
          <w:rFonts w:ascii="Arial" w:cs="Arial" w:eastAsia="Arial" w:hAnsi="Arial"/>
          <w:sz w:val="36"/>
          <w:szCs w:val="36"/>
          <w:color w:val="auto"/>
        </w:rPr>
        <w:t>22 thousand data customers</w:t>
      </w:r>
    </w:p>
    <w:p>
      <w:pPr>
        <w:spacing w:after="0" w:line="96" w:lineRule="exact"/>
        <w:rPr>
          <w:rFonts w:ascii="Arial" w:cs="Arial" w:eastAsia="Arial" w:hAnsi="Arial"/>
          <w:sz w:val="29"/>
          <w:szCs w:val="29"/>
          <w:color w:val="C0C0C0"/>
        </w:rPr>
      </w:pPr>
    </w:p>
    <w:p>
      <w:pPr>
        <w:ind w:left="1340" w:right="958" w:hanging="431"/>
        <w:spacing w:after="0" w:line="313" w:lineRule="auto"/>
        <w:tabs>
          <w:tab w:leader="none" w:pos="1217" w:val="left"/>
        </w:tabs>
        <w:numPr>
          <w:ilvl w:val="0"/>
          <w:numId w:val="15"/>
        </w:numPr>
        <w:rPr>
          <w:rFonts w:ascii="Arial" w:cs="Arial" w:eastAsia="Arial" w:hAnsi="Arial"/>
          <w:sz w:val="28"/>
          <w:szCs w:val="28"/>
          <w:color w:val="C0C0C0"/>
        </w:rPr>
      </w:pPr>
      <w:r>
        <w:rPr>
          <w:rFonts w:ascii="Arial" w:cs="Arial" w:eastAsia="Arial" w:hAnsi="Arial"/>
          <w:sz w:val="34"/>
          <w:szCs w:val="34"/>
          <w:color w:val="auto"/>
        </w:rPr>
        <w:t>2 thousand voice customers</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left="342" w:hanging="342"/>
        <w:spacing w:after="0"/>
        <w:tabs>
          <w:tab w:leader="none" w:pos="342" w:val="left"/>
        </w:tabs>
        <w:numPr>
          <w:ilvl w:val="0"/>
          <w:numId w:val="16"/>
        </w:numPr>
        <w:rPr>
          <w:rFonts w:ascii="Arial" w:cs="Arial" w:eastAsia="Arial" w:hAnsi="Arial"/>
          <w:sz w:val="38"/>
          <w:szCs w:val="38"/>
          <w:color w:val="840039"/>
        </w:rPr>
      </w:pPr>
      <w:r>
        <w:rPr>
          <w:rFonts w:ascii="Arial" w:cs="Arial" w:eastAsia="Arial" w:hAnsi="Arial"/>
          <w:sz w:val="38"/>
          <w:szCs w:val="38"/>
          <w:color w:val="auto"/>
        </w:rPr>
        <w:t>Network</w:t>
      </w:r>
    </w:p>
    <w:p>
      <w:pPr>
        <w:spacing w:after="0" w:line="212" w:lineRule="exact"/>
        <w:rPr>
          <w:sz w:val="20"/>
          <w:szCs w:val="20"/>
          <w:color w:val="auto"/>
        </w:rPr>
      </w:pPr>
    </w:p>
    <w:p>
      <w:pPr>
        <w:ind w:left="822" w:hanging="317"/>
        <w:spacing w:after="0"/>
        <w:tabs>
          <w:tab w:leader="none" w:pos="822" w:val="left"/>
        </w:tabs>
        <w:numPr>
          <w:ilvl w:val="0"/>
          <w:numId w:val="17"/>
        </w:numPr>
        <w:rPr>
          <w:rFonts w:ascii="Arial" w:cs="Arial" w:eastAsia="Arial" w:hAnsi="Arial"/>
          <w:sz w:val="31"/>
          <w:szCs w:val="31"/>
          <w:color w:val="C0C0C0"/>
        </w:rPr>
      </w:pPr>
      <w:r>
        <w:rPr>
          <w:rFonts w:ascii="Arial" w:cs="Arial" w:eastAsia="Arial" w:hAnsi="Arial"/>
          <w:sz w:val="38"/>
          <w:szCs w:val="38"/>
          <w:color w:val="auto"/>
        </w:rPr>
        <w:t>3,200 miles</w:t>
      </w:r>
    </w:p>
    <w:p>
      <w:pPr>
        <w:spacing w:after="0" w:line="223" w:lineRule="exact"/>
        <w:rPr>
          <w:rFonts w:ascii="Arial" w:cs="Arial" w:eastAsia="Arial" w:hAnsi="Arial"/>
          <w:sz w:val="31"/>
          <w:szCs w:val="31"/>
          <w:color w:val="C0C0C0"/>
        </w:rPr>
      </w:pPr>
    </w:p>
    <w:p>
      <w:pPr>
        <w:ind w:left="822" w:hanging="317"/>
        <w:spacing w:after="0"/>
        <w:tabs>
          <w:tab w:leader="none" w:pos="822" w:val="left"/>
        </w:tabs>
        <w:numPr>
          <w:ilvl w:val="0"/>
          <w:numId w:val="17"/>
        </w:numPr>
        <w:rPr>
          <w:rFonts w:ascii="Arial" w:cs="Arial" w:eastAsia="Arial" w:hAnsi="Arial"/>
          <w:sz w:val="31"/>
          <w:szCs w:val="31"/>
          <w:color w:val="C0C0C0"/>
        </w:rPr>
      </w:pPr>
      <w:r>
        <w:rPr>
          <w:rFonts w:ascii="Arial" w:cs="Arial" w:eastAsia="Arial" w:hAnsi="Arial"/>
          <w:sz w:val="38"/>
          <w:szCs w:val="38"/>
          <w:color w:val="auto"/>
        </w:rPr>
        <w:t>900 miles of fiber</w:t>
      </w:r>
    </w:p>
    <w:p>
      <w:pPr>
        <w:spacing w:after="0" w:line="211" w:lineRule="exact"/>
        <w:rPr>
          <w:rFonts w:ascii="Arial" w:cs="Arial" w:eastAsia="Arial" w:hAnsi="Arial"/>
          <w:sz w:val="31"/>
          <w:szCs w:val="31"/>
          <w:color w:val="C0C0C0"/>
        </w:rPr>
      </w:pPr>
    </w:p>
    <w:p>
      <w:pPr>
        <w:ind w:left="822" w:hanging="317"/>
        <w:spacing w:after="0"/>
        <w:tabs>
          <w:tab w:leader="none" w:pos="822" w:val="left"/>
        </w:tabs>
        <w:numPr>
          <w:ilvl w:val="0"/>
          <w:numId w:val="17"/>
        </w:numPr>
        <w:rPr>
          <w:rFonts w:ascii="Arial" w:cs="Arial" w:eastAsia="Arial" w:hAnsi="Arial"/>
          <w:sz w:val="31"/>
          <w:szCs w:val="31"/>
          <w:color w:val="C0C0C0"/>
        </w:rPr>
      </w:pPr>
      <w:r>
        <w:rPr>
          <w:rFonts w:ascii="Arial" w:cs="Arial" w:eastAsia="Arial" w:hAnsi="Arial"/>
          <w:sz w:val="38"/>
          <w:szCs w:val="38"/>
          <w:color w:val="auto"/>
        </w:rPr>
        <w:t>84% two way</w:t>
      </w:r>
    </w:p>
    <w:p>
      <w:pPr>
        <w:spacing w:after="0" w:line="224" w:lineRule="exact"/>
        <w:rPr>
          <w:sz w:val="20"/>
          <w:szCs w:val="20"/>
          <w:color w:val="auto"/>
        </w:rPr>
      </w:pPr>
    </w:p>
    <w:p>
      <w:pPr>
        <w:ind w:left="342" w:hanging="342"/>
        <w:spacing w:after="0"/>
        <w:tabs>
          <w:tab w:leader="none" w:pos="342" w:val="left"/>
        </w:tabs>
        <w:numPr>
          <w:ilvl w:val="0"/>
          <w:numId w:val="18"/>
        </w:numPr>
        <w:rPr>
          <w:rFonts w:ascii="Arial" w:cs="Arial" w:eastAsia="Arial" w:hAnsi="Arial"/>
          <w:sz w:val="38"/>
          <w:szCs w:val="38"/>
          <w:color w:val="840039"/>
        </w:rPr>
      </w:pPr>
      <w:r>
        <w:rPr>
          <w:rFonts w:ascii="Arial" w:cs="Arial" w:eastAsia="Arial" w:hAnsi="Arial"/>
          <w:sz w:val="38"/>
          <w:szCs w:val="38"/>
          <w:color w:val="auto"/>
        </w:rPr>
        <w:t>Competition</w:t>
      </w:r>
    </w:p>
    <w:p>
      <w:pPr>
        <w:spacing w:after="0" w:line="212" w:lineRule="exact"/>
        <w:rPr>
          <w:sz w:val="20"/>
          <w:szCs w:val="20"/>
          <w:color w:val="auto"/>
        </w:rPr>
      </w:pPr>
    </w:p>
    <w:p>
      <w:pPr>
        <w:ind w:left="822" w:hanging="317"/>
        <w:spacing w:after="0"/>
        <w:tabs>
          <w:tab w:leader="none" w:pos="822" w:val="left"/>
        </w:tabs>
        <w:numPr>
          <w:ilvl w:val="0"/>
          <w:numId w:val="19"/>
        </w:numPr>
        <w:rPr>
          <w:rFonts w:ascii="Arial" w:cs="Arial" w:eastAsia="Arial" w:hAnsi="Arial"/>
          <w:sz w:val="29"/>
          <w:szCs w:val="29"/>
          <w:color w:val="C0C0C0"/>
        </w:rPr>
      </w:pPr>
      <w:r>
        <w:rPr>
          <w:rFonts w:ascii="Arial" w:cs="Arial" w:eastAsia="Arial" w:hAnsi="Arial"/>
          <w:sz w:val="36"/>
          <w:szCs w:val="36"/>
          <w:color w:val="auto"/>
        </w:rPr>
        <w:t>No fiber to the home</w:t>
      </w:r>
    </w:p>
    <w:p>
      <w:pPr>
        <w:spacing w:after="0" w:line="246" w:lineRule="exact"/>
        <w:rPr>
          <w:rFonts w:ascii="Arial" w:cs="Arial" w:eastAsia="Arial" w:hAnsi="Arial"/>
          <w:sz w:val="29"/>
          <w:szCs w:val="29"/>
          <w:color w:val="C0C0C0"/>
        </w:rPr>
      </w:pPr>
    </w:p>
    <w:p>
      <w:pPr>
        <w:ind w:left="942" w:right="1080" w:hanging="437"/>
        <w:spacing w:after="0" w:line="282" w:lineRule="auto"/>
        <w:tabs>
          <w:tab w:leader="none" w:pos="819" w:val="left"/>
        </w:tabs>
        <w:numPr>
          <w:ilvl w:val="0"/>
          <w:numId w:val="19"/>
        </w:numPr>
        <w:rPr>
          <w:rFonts w:ascii="Arial" w:cs="Arial" w:eastAsia="Arial" w:hAnsi="Arial"/>
          <w:sz w:val="29"/>
          <w:szCs w:val="29"/>
          <w:color w:val="C0C0C0"/>
        </w:rPr>
      </w:pPr>
      <w:r>
        <w:rPr>
          <w:rFonts w:ascii="Arial" w:cs="Arial" w:eastAsia="Arial" w:hAnsi="Arial"/>
          <w:sz w:val="36"/>
          <w:szCs w:val="36"/>
          <w:color w:val="auto"/>
        </w:rPr>
        <w:t>CenturyLink, Verizon and Frontier</w:t>
      </w:r>
    </w:p>
    <w:p>
      <w:pPr>
        <w:spacing w:after="0" w:line="96" w:lineRule="exact"/>
        <w:rPr>
          <w:rFonts w:ascii="Arial" w:cs="Arial" w:eastAsia="Arial" w:hAnsi="Arial"/>
          <w:sz w:val="29"/>
          <w:szCs w:val="29"/>
          <w:color w:val="C0C0C0"/>
        </w:rPr>
      </w:pPr>
    </w:p>
    <w:p>
      <w:pPr>
        <w:ind w:left="822" w:hanging="317"/>
        <w:spacing w:after="0"/>
        <w:tabs>
          <w:tab w:leader="none" w:pos="822" w:val="left"/>
        </w:tabs>
        <w:numPr>
          <w:ilvl w:val="0"/>
          <w:numId w:val="19"/>
        </w:numPr>
        <w:rPr>
          <w:rFonts w:ascii="Arial" w:cs="Arial" w:eastAsia="Arial" w:hAnsi="Arial"/>
          <w:sz w:val="31"/>
          <w:szCs w:val="31"/>
          <w:color w:val="C0C0C0"/>
        </w:rPr>
      </w:pPr>
      <w:r>
        <w:rPr>
          <w:rFonts w:ascii="Arial" w:cs="Arial" w:eastAsia="Arial" w:hAnsi="Arial"/>
          <w:sz w:val="38"/>
          <w:szCs w:val="38"/>
          <w:color w:val="auto"/>
        </w:rPr>
        <w:t>Satellite providers</w:t>
      </w:r>
    </w:p>
    <w:p>
      <w:pPr>
        <w:spacing w:after="0" w:line="1131" w:lineRule="exact"/>
        <w:rPr>
          <w:sz w:val="20"/>
          <w:szCs w:val="20"/>
          <w:color w:val="auto"/>
        </w:rPr>
      </w:pPr>
    </w:p>
    <w:p>
      <w:pPr>
        <w:sectPr>
          <w:pgSz w:w="11900" w:h="16838" w:orient="portrait"/>
          <w:cols w:equalWidth="0" w:num="2">
            <w:col w:w="4778" w:space="720"/>
            <w:col w:w="5242"/>
          </w:cols>
          <w:pgMar w:left="540" w:top="1038" w:right="619" w:bottom="1440" w:gutter="0" w:footer="0" w:header="0"/>
          <w:type w:val="continuous"/>
        </w:sectPr>
      </w:pPr>
    </w:p>
    <w:p>
      <w:pPr>
        <w:spacing w:after="0" w:line="51" w:lineRule="exact"/>
        <w:rPr>
          <w:sz w:val="20"/>
          <w:szCs w:val="20"/>
          <w:color w:val="auto"/>
        </w:rPr>
      </w:pPr>
    </w:p>
    <w:p>
      <w:pPr>
        <w:ind w:left="1056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419100</wp:posOffset>
            </wp:positionV>
            <wp:extent cx="7266940"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740"/>
          </w:cols>
          <w:pgMar w:left="540" w:top="1038" w:right="61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51"/>
          <w:szCs w:val="51"/>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JBB Acquisition - Rationale</w:t>
      </w:r>
    </w:p>
    <w:p>
      <w:pPr>
        <w:spacing w:after="0" w:line="284" w:lineRule="exact"/>
        <w:rPr>
          <w:sz w:val="20"/>
          <w:szCs w:val="20"/>
          <w:color w:val="auto"/>
        </w:rPr>
      </w:pPr>
    </w:p>
    <w:p>
      <w:pPr>
        <w:ind w:left="640" w:hanging="339"/>
        <w:spacing w:after="0"/>
        <w:tabs>
          <w:tab w:leader="none" w:pos="640" w:val="left"/>
        </w:tabs>
        <w:numPr>
          <w:ilvl w:val="0"/>
          <w:numId w:val="20"/>
        </w:numPr>
        <w:rPr>
          <w:rFonts w:ascii="Arial" w:cs="Arial" w:eastAsia="Arial" w:hAnsi="Arial"/>
          <w:sz w:val="38"/>
          <w:szCs w:val="38"/>
          <w:color w:val="840039"/>
        </w:rPr>
      </w:pPr>
      <w:r>
        <w:rPr>
          <w:rFonts w:ascii="Arial" w:cs="Arial" w:eastAsia="Arial" w:hAnsi="Arial"/>
          <w:sz w:val="38"/>
          <w:szCs w:val="38"/>
          <w:color w:val="auto"/>
        </w:rPr>
        <w:t>Diversification</w:t>
      </w:r>
    </w:p>
    <w:p>
      <w:pPr>
        <w:spacing w:after="0" w:line="211" w:lineRule="exact"/>
        <w:rPr>
          <w:rFonts w:ascii="Arial" w:cs="Arial" w:eastAsia="Arial" w:hAnsi="Arial"/>
          <w:sz w:val="38"/>
          <w:szCs w:val="38"/>
          <w:color w:val="840039"/>
        </w:rPr>
      </w:pPr>
    </w:p>
    <w:p>
      <w:pPr>
        <w:ind w:left="640" w:hanging="339"/>
        <w:spacing w:after="0"/>
        <w:tabs>
          <w:tab w:leader="none" w:pos="640" w:val="left"/>
        </w:tabs>
        <w:numPr>
          <w:ilvl w:val="0"/>
          <w:numId w:val="20"/>
        </w:numPr>
        <w:rPr>
          <w:rFonts w:ascii="Arial" w:cs="Arial" w:eastAsia="Arial" w:hAnsi="Arial"/>
          <w:sz w:val="38"/>
          <w:szCs w:val="38"/>
          <w:color w:val="840039"/>
        </w:rPr>
      </w:pPr>
      <w:r>
        <w:rPr>
          <w:rFonts w:ascii="Arial" w:cs="Arial" w:eastAsia="Arial" w:hAnsi="Arial"/>
          <w:sz w:val="38"/>
          <w:szCs w:val="38"/>
          <w:color w:val="auto"/>
        </w:rPr>
        <w:t>Scale</w:t>
      </w:r>
    </w:p>
    <w:p>
      <w:pPr>
        <w:spacing w:after="0" w:line="223" w:lineRule="exact"/>
        <w:rPr>
          <w:rFonts w:ascii="Arial" w:cs="Arial" w:eastAsia="Arial" w:hAnsi="Arial"/>
          <w:sz w:val="38"/>
          <w:szCs w:val="38"/>
          <w:color w:val="840039"/>
        </w:rPr>
      </w:pPr>
    </w:p>
    <w:p>
      <w:pPr>
        <w:ind w:left="640" w:hanging="339"/>
        <w:spacing w:after="0"/>
        <w:tabs>
          <w:tab w:leader="none" w:pos="640" w:val="left"/>
        </w:tabs>
        <w:numPr>
          <w:ilvl w:val="0"/>
          <w:numId w:val="20"/>
        </w:numPr>
        <w:rPr>
          <w:rFonts w:ascii="Arial" w:cs="Arial" w:eastAsia="Arial" w:hAnsi="Arial"/>
          <w:sz w:val="38"/>
          <w:szCs w:val="38"/>
          <w:color w:val="840039"/>
        </w:rPr>
      </w:pPr>
      <w:r>
        <w:rPr>
          <w:rFonts w:ascii="Arial" w:cs="Arial" w:eastAsia="Arial" w:hAnsi="Arial"/>
          <w:sz w:val="38"/>
          <w:szCs w:val="38"/>
          <w:color w:val="auto"/>
        </w:rPr>
        <w:t>Below Market Penetration</w:t>
      </w:r>
    </w:p>
    <w:p>
      <w:pPr>
        <w:spacing w:after="0" w:line="211" w:lineRule="exact"/>
        <w:rPr>
          <w:rFonts w:ascii="Arial" w:cs="Arial" w:eastAsia="Arial" w:hAnsi="Arial"/>
          <w:sz w:val="38"/>
          <w:szCs w:val="38"/>
          <w:color w:val="840039"/>
        </w:rPr>
      </w:pPr>
    </w:p>
    <w:p>
      <w:pPr>
        <w:ind w:left="640" w:hanging="339"/>
        <w:spacing w:after="0"/>
        <w:tabs>
          <w:tab w:leader="none" w:pos="640" w:val="left"/>
        </w:tabs>
        <w:numPr>
          <w:ilvl w:val="0"/>
          <w:numId w:val="20"/>
        </w:numPr>
        <w:rPr>
          <w:rFonts w:ascii="Arial" w:cs="Arial" w:eastAsia="Arial" w:hAnsi="Arial"/>
          <w:sz w:val="38"/>
          <w:szCs w:val="38"/>
          <w:color w:val="840039"/>
        </w:rPr>
      </w:pPr>
      <w:r>
        <w:rPr>
          <w:rFonts w:ascii="Arial" w:cs="Arial" w:eastAsia="Arial" w:hAnsi="Arial"/>
          <w:sz w:val="38"/>
          <w:szCs w:val="38"/>
          <w:color w:val="auto"/>
        </w:rPr>
        <w:t>Geographic Fit</w:t>
      </w:r>
    </w:p>
    <w:p>
      <w:pPr>
        <w:spacing w:after="0" w:line="223" w:lineRule="exact"/>
        <w:rPr>
          <w:rFonts w:ascii="Arial" w:cs="Arial" w:eastAsia="Arial" w:hAnsi="Arial"/>
          <w:sz w:val="38"/>
          <w:szCs w:val="38"/>
          <w:color w:val="840039"/>
        </w:rPr>
      </w:pPr>
    </w:p>
    <w:p>
      <w:pPr>
        <w:ind w:left="640" w:hanging="339"/>
        <w:spacing w:after="0"/>
        <w:tabs>
          <w:tab w:leader="none" w:pos="640" w:val="left"/>
        </w:tabs>
        <w:numPr>
          <w:ilvl w:val="0"/>
          <w:numId w:val="20"/>
        </w:numPr>
        <w:rPr>
          <w:rFonts w:ascii="Arial" w:cs="Arial" w:eastAsia="Arial" w:hAnsi="Arial"/>
          <w:sz w:val="38"/>
          <w:szCs w:val="38"/>
          <w:color w:val="840039"/>
        </w:rPr>
      </w:pPr>
      <w:r>
        <w:rPr>
          <w:rFonts w:ascii="Arial" w:cs="Arial" w:eastAsia="Arial" w:hAnsi="Arial"/>
          <w:sz w:val="38"/>
          <w:szCs w:val="38"/>
          <w:color w:val="auto"/>
        </w:rPr>
        <w:t>Synergies</w:t>
      </w:r>
    </w:p>
    <w:p>
      <w:pPr>
        <w:spacing w:after="0" w:line="211" w:lineRule="exact"/>
        <w:rPr>
          <w:rFonts w:ascii="Arial" w:cs="Arial" w:eastAsia="Arial" w:hAnsi="Arial"/>
          <w:sz w:val="38"/>
          <w:szCs w:val="38"/>
          <w:color w:val="840039"/>
        </w:rPr>
      </w:pPr>
    </w:p>
    <w:p>
      <w:pPr>
        <w:ind w:left="640" w:hanging="339"/>
        <w:spacing w:after="0"/>
        <w:tabs>
          <w:tab w:leader="none" w:pos="640" w:val="left"/>
        </w:tabs>
        <w:numPr>
          <w:ilvl w:val="0"/>
          <w:numId w:val="20"/>
        </w:numPr>
        <w:rPr>
          <w:rFonts w:ascii="Arial" w:cs="Arial" w:eastAsia="Arial" w:hAnsi="Arial"/>
          <w:sz w:val="38"/>
          <w:szCs w:val="38"/>
          <w:color w:val="840039"/>
        </w:rPr>
      </w:pPr>
      <w:r>
        <w:rPr>
          <w:rFonts w:ascii="Arial" w:cs="Arial" w:eastAsia="Arial" w:hAnsi="Arial"/>
          <w:sz w:val="38"/>
          <w:szCs w:val="38"/>
          <w:color w:val="auto"/>
        </w:rPr>
        <w:t>Leveraging Core Competencies</w:t>
      </w:r>
    </w:p>
    <w:p>
      <w:pPr>
        <w:spacing w:after="0" w:line="223" w:lineRule="exact"/>
        <w:rPr>
          <w:rFonts w:ascii="Arial" w:cs="Arial" w:eastAsia="Arial" w:hAnsi="Arial"/>
          <w:sz w:val="38"/>
          <w:szCs w:val="38"/>
          <w:color w:val="840039"/>
        </w:rPr>
      </w:pPr>
    </w:p>
    <w:p>
      <w:pPr>
        <w:ind w:left="640" w:hanging="339"/>
        <w:spacing w:after="0"/>
        <w:tabs>
          <w:tab w:leader="none" w:pos="640" w:val="left"/>
        </w:tabs>
        <w:numPr>
          <w:ilvl w:val="0"/>
          <w:numId w:val="20"/>
        </w:numPr>
        <w:rPr>
          <w:rFonts w:ascii="Arial" w:cs="Arial" w:eastAsia="Arial" w:hAnsi="Arial"/>
          <w:sz w:val="38"/>
          <w:szCs w:val="38"/>
          <w:color w:val="840039"/>
        </w:rPr>
      </w:pPr>
      <w:r>
        <w:rPr>
          <w:rFonts w:ascii="Arial" w:cs="Arial" w:eastAsia="Arial" w:hAnsi="Arial"/>
          <w:sz w:val="38"/>
          <w:szCs w:val="38"/>
          <w:color w:val="auto"/>
        </w:rPr>
        <w:t>Coaxial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396875</wp:posOffset>
            </wp:positionV>
            <wp:extent cx="726694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00"/>
          </w:cols>
          <w:pgMar w:left="680" w:top="994" w:right="619" w:bottom="1440" w:gutter="0" w:footer="0" w:header="0"/>
        </w:sectPr>
      </w:pPr>
    </w:p>
    <w:bookmarkStart w:id="25" w:name="page26"/>
    <w:bookmarkEnd w:id="25"/>
    <w:p>
      <w:pPr>
        <w:spacing w:after="0"/>
        <w:rPr>
          <w:sz w:val="20"/>
          <w:szCs w:val="20"/>
          <w:color w:val="auto"/>
        </w:rPr>
      </w:pPr>
      <w:r>
        <w:rPr>
          <w:rFonts w:ascii="Arial" w:cs="Arial" w:eastAsia="Arial" w:hAnsi="Arial"/>
          <w:sz w:val="51"/>
          <w:szCs w:val="51"/>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Percent of Homes Passed with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396875</wp:posOffset>
            </wp:positionV>
            <wp:extent cx="7266940"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826" w:right="619" w:bottom="1440" w:gutter="0" w:footer="0" w:header="0"/>
        </w:sectPr>
      </w:pPr>
    </w:p>
    <w:bookmarkStart w:id="26" w:name="page27"/>
    <w:bookmarkEnd w:id="26"/>
    <w:p>
      <w:pPr>
        <w:spacing w:after="0"/>
        <w:rPr>
          <w:sz w:val="20"/>
          <w:szCs w:val="20"/>
          <w:color w:val="auto"/>
        </w:rPr>
      </w:pPr>
      <w:r>
        <w:rPr>
          <w:rFonts w:ascii="Arial" w:cs="Arial" w:eastAsia="Arial" w:hAnsi="Arial"/>
          <w:sz w:val="51"/>
          <w:szCs w:val="51"/>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JBB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396875</wp:posOffset>
            </wp:positionV>
            <wp:extent cx="7266940"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00"/>
          </w:cols>
          <w:pgMar w:left="680" w:top="994" w:right="619" w:bottom="1440" w:gutter="0" w:footer="0" w:header="0"/>
        </w:sectPr>
      </w:pPr>
    </w:p>
    <w:bookmarkStart w:id="27" w:name="page28"/>
    <w:bookmarkEnd w:id="27"/>
    <w:p>
      <w:pPr>
        <w:spacing w:after="0"/>
        <w:rPr>
          <w:sz w:val="20"/>
          <w:szCs w:val="20"/>
          <w:color w:val="auto"/>
        </w:rPr>
      </w:pPr>
      <w:r>
        <w:rPr>
          <w:rFonts w:ascii="Arial" w:cs="Arial" w:eastAsia="Arial" w:hAnsi="Arial"/>
          <w:sz w:val="51"/>
          <w:szCs w:val="51"/>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Key Operational Metrics - With Acquisition</w:t>
      </w:r>
    </w:p>
    <w:p>
      <w:pPr>
        <w:spacing w:after="0" w:line="19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 Forma for Periods Ending March 31, 2010</w:t>
      </w:r>
    </w:p>
    <w:p>
      <w:pPr>
        <w:spacing w:after="0" w:line="252" w:lineRule="exact"/>
        <w:rPr>
          <w:sz w:val="20"/>
          <w:szCs w:val="20"/>
          <w:color w:val="auto"/>
        </w:rPr>
      </w:pPr>
    </w:p>
    <w:p>
      <w:pPr>
        <w:ind w:left="1000"/>
        <w:spacing w:after="0"/>
        <w:tabs>
          <w:tab w:leader="none" w:pos="7040" w:val="left"/>
        </w:tabs>
        <w:rPr>
          <w:sz w:val="20"/>
          <w:szCs w:val="20"/>
          <w:color w:val="auto"/>
        </w:rPr>
      </w:pPr>
      <w:r>
        <w:rPr>
          <w:rFonts w:ascii="Arial" w:cs="Arial" w:eastAsia="Arial" w:hAnsi="Arial"/>
          <w:sz w:val="26"/>
          <w:szCs w:val="26"/>
          <w:b w:val="1"/>
          <w:bCs w:val="1"/>
          <w:color w:val="FFFFFF"/>
        </w:rPr>
        <w:t>Cable Homes Passed (in 000’s)</w:t>
      </w:r>
      <w:r>
        <w:rPr>
          <w:sz w:val="20"/>
          <w:szCs w:val="20"/>
          <w:color w:val="auto"/>
        </w:rPr>
        <w:tab/>
      </w:r>
      <w:r>
        <w:rPr>
          <w:rFonts w:ascii="Arial" w:cs="Arial" w:eastAsia="Arial" w:hAnsi="Arial"/>
          <w:sz w:val="23"/>
          <w:szCs w:val="23"/>
          <w:b w:val="1"/>
          <w:bCs w:val="1"/>
          <w:color w:val="FFFFFF"/>
        </w:rPr>
        <w:t>RGUs (in 000’s)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460"/>
        <w:spacing w:after="0"/>
        <w:tabs>
          <w:tab w:leader="none" w:pos="6800" w:val="left"/>
        </w:tabs>
        <w:rPr>
          <w:sz w:val="20"/>
          <w:szCs w:val="20"/>
          <w:color w:val="auto"/>
        </w:rPr>
      </w:pPr>
      <w:r>
        <w:rPr>
          <w:rFonts w:ascii="Arial" w:cs="Arial" w:eastAsia="Arial" w:hAnsi="Arial"/>
          <w:sz w:val="26"/>
          <w:szCs w:val="26"/>
          <w:b w:val="1"/>
          <w:bCs w:val="1"/>
          <w:color w:val="FFFFFF"/>
        </w:rPr>
        <w:t>Revenues (in millions)</w:t>
      </w:r>
      <w:r>
        <w:rPr>
          <w:sz w:val="20"/>
          <w:szCs w:val="20"/>
          <w:color w:val="auto"/>
        </w:rPr>
        <w:tab/>
      </w:r>
      <w:r>
        <w:rPr>
          <w:rFonts w:ascii="Arial" w:cs="Arial" w:eastAsia="Arial" w:hAnsi="Arial"/>
          <w:sz w:val="23"/>
          <w:szCs w:val="23"/>
          <w:b w:val="1"/>
          <w:bCs w:val="1"/>
          <w:color w:val="FFFFFF"/>
        </w:rPr>
        <w:t>OIBDA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396875</wp:posOffset>
            </wp:positionV>
            <wp:extent cx="7266940"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80"/>
          </w:cols>
          <w:pgMar w:left="700" w:top="982" w:right="619" w:bottom="1440" w:gutter="0" w:footer="0" w:header="0"/>
        </w:sectPr>
      </w:pPr>
    </w:p>
    <w:bookmarkStart w:id="28" w:name="page29"/>
    <w:bookmarkEnd w:id="28"/>
    <w:p>
      <w:pPr>
        <w:spacing w:after="0"/>
        <w:rPr>
          <w:sz w:val="20"/>
          <w:szCs w:val="20"/>
          <w:color w:val="auto"/>
        </w:rPr>
      </w:pPr>
      <w:r>
        <w:rPr>
          <w:rFonts w:ascii="Arial" w:cs="Arial" w:eastAsia="Arial" w:hAnsi="Arial"/>
          <w:sz w:val="47"/>
          <w:szCs w:val="47"/>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Jet BB Deal - Financial Highlights</w:t>
      </w:r>
    </w:p>
    <w:p>
      <w:pPr>
        <w:sectPr>
          <w:pgSz w:w="11900" w:h="16838" w:orient="portrait"/>
          <w:cols w:equalWidth="0" w:num="1">
            <w:col w:w="10680"/>
          </w:cols>
          <w:pgMar w:left="600" w:top="874" w:right="619" w:bottom="1440" w:gutter="0" w:footer="0" w:header="0"/>
        </w:sectPr>
      </w:pPr>
    </w:p>
    <w:p>
      <w:pPr>
        <w:spacing w:after="0" w:line="342" w:lineRule="exact"/>
        <w:rPr>
          <w:sz w:val="20"/>
          <w:szCs w:val="20"/>
          <w:color w:val="auto"/>
        </w:rPr>
      </w:pPr>
    </w:p>
    <w:p>
      <w:pPr>
        <w:jc w:val="both"/>
        <w:ind w:left="840" w:right="80" w:hanging="435"/>
        <w:spacing w:after="0" w:line="313" w:lineRule="auto"/>
        <w:tabs>
          <w:tab w:leader="none" w:pos="744" w:val="left"/>
        </w:tabs>
        <w:numPr>
          <w:ilvl w:val="0"/>
          <w:numId w:val="21"/>
        </w:numPr>
        <w:rPr>
          <w:rFonts w:ascii="Arial" w:cs="Arial" w:eastAsia="Arial" w:hAnsi="Arial"/>
          <w:sz w:val="34"/>
          <w:szCs w:val="34"/>
          <w:color w:val="840039"/>
        </w:rPr>
      </w:pPr>
      <w:r>
        <w:rPr>
          <w:rFonts w:ascii="Arial" w:cs="Arial" w:eastAsia="Arial" w:hAnsi="Arial"/>
          <w:sz w:val="34"/>
          <w:szCs w:val="34"/>
          <w:color w:val="auto"/>
        </w:rPr>
        <w:t>Operating Income before Interest and Depreciation</w:t>
      </w:r>
    </w:p>
    <w:p>
      <w:pPr>
        <w:spacing w:after="0" w:line="61" w:lineRule="exact"/>
        <w:rPr>
          <w:sz w:val="20"/>
          <w:szCs w:val="20"/>
          <w:color w:val="auto"/>
        </w:rPr>
      </w:pPr>
    </w:p>
    <w:p>
      <w:pPr>
        <w:ind w:left="1340" w:hanging="431"/>
        <w:spacing w:after="0" w:line="297" w:lineRule="auto"/>
        <w:tabs>
          <w:tab w:leader="none" w:pos="1217" w:val="left"/>
        </w:tabs>
        <w:numPr>
          <w:ilvl w:val="0"/>
          <w:numId w:val="22"/>
        </w:numPr>
        <w:rPr>
          <w:rFonts w:ascii="Arial" w:cs="Arial" w:eastAsia="Arial" w:hAnsi="Arial"/>
          <w:sz w:val="28"/>
          <w:szCs w:val="28"/>
          <w:color w:val="C0C0C0"/>
        </w:rPr>
      </w:pPr>
      <w:r>
        <w:rPr>
          <w:rFonts w:ascii="Arial" w:cs="Arial" w:eastAsia="Arial" w:hAnsi="Arial"/>
          <w:sz w:val="35"/>
          <w:szCs w:val="35"/>
          <w:color w:val="auto"/>
        </w:rPr>
        <w:t>$16.2 before Corporate office costs</w:t>
      </w:r>
    </w:p>
    <w:p>
      <w:pPr>
        <w:spacing w:after="0" w:line="73" w:lineRule="exact"/>
        <w:rPr>
          <w:rFonts w:ascii="Arial" w:cs="Arial" w:eastAsia="Arial" w:hAnsi="Arial"/>
          <w:sz w:val="28"/>
          <w:szCs w:val="28"/>
          <w:color w:val="C0C0C0"/>
        </w:rPr>
      </w:pPr>
    </w:p>
    <w:p>
      <w:pPr>
        <w:ind w:left="1340" w:right="280" w:hanging="431"/>
        <w:spacing w:after="0" w:line="313" w:lineRule="auto"/>
        <w:tabs>
          <w:tab w:leader="none" w:pos="1217" w:val="left"/>
        </w:tabs>
        <w:numPr>
          <w:ilvl w:val="0"/>
          <w:numId w:val="22"/>
        </w:numPr>
        <w:rPr>
          <w:rFonts w:ascii="Arial" w:cs="Arial" w:eastAsia="Arial" w:hAnsi="Arial"/>
          <w:sz w:val="28"/>
          <w:szCs w:val="28"/>
          <w:color w:val="C0C0C0"/>
        </w:rPr>
      </w:pPr>
      <w:r>
        <w:rPr>
          <w:rFonts w:ascii="Arial" w:cs="Arial" w:eastAsia="Arial" w:hAnsi="Arial"/>
          <w:sz w:val="34"/>
          <w:szCs w:val="34"/>
          <w:color w:val="auto"/>
        </w:rPr>
        <w:t>$14.6 after Corporate office costs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342" w:hanging="342"/>
        <w:spacing w:after="0"/>
        <w:tabs>
          <w:tab w:leader="none" w:pos="342" w:val="left"/>
        </w:tabs>
        <w:numPr>
          <w:ilvl w:val="0"/>
          <w:numId w:val="23"/>
        </w:numPr>
        <w:rPr>
          <w:rFonts w:ascii="Arial" w:cs="Arial" w:eastAsia="Arial" w:hAnsi="Arial"/>
          <w:sz w:val="38"/>
          <w:szCs w:val="38"/>
          <w:color w:val="840039"/>
        </w:rPr>
      </w:pPr>
      <w:r>
        <w:rPr>
          <w:rFonts w:ascii="Arial" w:cs="Arial" w:eastAsia="Arial" w:hAnsi="Arial"/>
          <w:sz w:val="38"/>
          <w:szCs w:val="38"/>
          <w:color w:val="auto"/>
        </w:rPr>
        <w:t>Financing</w:t>
      </w:r>
    </w:p>
    <w:p>
      <w:pPr>
        <w:spacing w:after="0" w:line="224" w:lineRule="exact"/>
        <w:rPr>
          <w:sz w:val="20"/>
          <w:szCs w:val="20"/>
          <w:color w:val="auto"/>
        </w:rPr>
      </w:pPr>
    </w:p>
    <w:p>
      <w:pPr>
        <w:ind w:left="822" w:hanging="317"/>
        <w:spacing w:after="0"/>
        <w:tabs>
          <w:tab w:leader="none" w:pos="822" w:val="left"/>
        </w:tabs>
        <w:numPr>
          <w:ilvl w:val="0"/>
          <w:numId w:val="24"/>
        </w:numPr>
        <w:rPr>
          <w:rFonts w:ascii="Arial" w:cs="Arial" w:eastAsia="Arial" w:hAnsi="Arial"/>
          <w:sz w:val="28"/>
          <w:szCs w:val="28"/>
          <w:color w:val="C0C0C0"/>
        </w:rPr>
      </w:pPr>
      <w:r>
        <w:rPr>
          <w:rFonts w:ascii="Arial" w:cs="Arial" w:eastAsia="Arial" w:hAnsi="Arial"/>
          <w:sz w:val="34"/>
          <w:szCs w:val="34"/>
          <w:color w:val="auto"/>
        </w:rPr>
        <w:t>Syndicated debt deal</w:t>
      </w:r>
    </w:p>
    <w:p>
      <w:pPr>
        <w:spacing w:after="0" w:line="257" w:lineRule="exact"/>
        <w:rPr>
          <w:rFonts w:ascii="Arial" w:cs="Arial" w:eastAsia="Arial" w:hAnsi="Arial"/>
          <w:sz w:val="28"/>
          <w:szCs w:val="28"/>
          <w:color w:val="C0C0C0"/>
        </w:rPr>
      </w:pPr>
    </w:p>
    <w:p>
      <w:pPr>
        <w:ind w:left="822" w:hanging="317"/>
        <w:spacing w:after="0"/>
        <w:tabs>
          <w:tab w:leader="none" w:pos="822" w:val="left"/>
        </w:tabs>
        <w:numPr>
          <w:ilvl w:val="0"/>
          <w:numId w:val="24"/>
        </w:numPr>
        <w:rPr>
          <w:rFonts w:ascii="Arial" w:cs="Arial" w:eastAsia="Arial" w:hAnsi="Arial"/>
          <w:sz w:val="31"/>
          <w:szCs w:val="31"/>
          <w:color w:val="C0C0C0"/>
        </w:rPr>
      </w:pPr>
      <w:r>
        <w:rPr>
          <w:rFonts w:ascii="Arial" w:cs="Arial" w:eastAsia="Arial" w:hAnsi="Arial"/>
          <w:sz w:val="38"/>
          <w:szCs w:val="38"/>
          <w:color w:val="auto"/>
        </w:rPr>
        <w:t>$198m Term Loan</w:t>
      </w:r>
    </w:p>
    <w:p>
      <w:pPr>
        <w:spacing w:after="0" w:line="223" w:lineRule="exact"/>
        <w:rPr>
          <w:rFonts w:ascii="Arial" w:cs="Arial" w:eastAsia="Arial" w:hAnsi="Arial"/>
          <w:sz w:val="31"/>
          <w:szCs w:val="31"/>
          <w:color w:val="C0C0C0"/>
        </w:rPr>
      </w:pPr>
    </w:p>
    <w:p>
      <w:pPr>
        <w:ind w:left="942" w:right="1960" w:hanging="437"/>
        <w:spacing w:after="0" w:line="297" w:lineRule="auto"/>
        <w:tabs>
          <w:tab w:leader="none" w:pos="819" w:val="left"/>
        </w:tabs>
        <w:numPr>
          <w:ilvl w:val="0"/>
          <w:numId w:val="24"/>
        </w:numPr>
        <w:rPr>
          <w:rFonts w:ascii="Arial" w:cs="Arial" w:eastAsia="Arial" w:hAnsi="Arial"/>
          <w:sz w:val="28"/>
          <w:szCs w:val="28"/>
          <w:color w:val="C0C0C0"/>
        </w:rPr>
      </w:pPr>
      <w:r>
        <w:rPr>
          <w:rFonts w:ascii="Arial" w:cs="Arial" w:eastAsia="Arial" w:hAnsi="Arial"/>
          <w:sz w:val="35"/>
          <w:szCs w:val="35"/>
          <w:color w:val="auto"/>
        </w:rPr>
        <w:t>$50m Undrawn Revolver</w:t>
      </w:r>
    </w:p>
    <w:p>
      <w:pPr>
        <w:spacing w:after="0" w:line="73" w:lineRule="exact"/>
        <w:rPr>
          <w:rFonts w:ascii="Arial" w:cs="Arial" w:eastAsia="Arial" w:hAnsi="Arial"/>
          <w:sz w:val="28"/>
          <w:szCs w:val="28"/>
          <w:color w:val="C0C0C0"/>
        </w:rPr>
      </w:pPr>
    </w:p>
    <w:p>
      <w:pPr>
        <w:ind w:left="942" w:right="1280" w:hanging="437"/>
        <w:spacing w:after="0" w:line="239" w:lineRule="auto"/>
        <w:tabs>
          <w:tab w:leader="none" w:pos="819" w:val="left"/>
        </w:tabs>
        <w:numPr>
          <w:ilvl w:val="0"/>
          <w:numId w:val="24"/>
        </w:numPr>
        <w:rPr>
          <w:rFonts w:ascii="Arial" w:cs="Arial" w:eastAsia="Arial" w:hAnsi="Arial"/>
          <w:sz w:val="31"/>
          <w:szCs w:val="31"/>
          <w:color w:val="C0C0C0"/>
        </w:rPr>
      </w:pPr>
      <w:r>
        <w:rPr>
          <w:rFonts w:ascii="Arial" w:cs="Arial" w:eastAsia="Arial" w:hAnsi="Arial"/>
          <w:sz w:val="38"/>
          <w:szCs w:val="38"/>
          <w:color w:val="auto"/>
        </w:rPr>
        <w:t>Oversubscribed at more than 150% of needs</w:t>
      </w:r>
    </w:p>
    <w:p>
      <w:pPr>
        <w:spacing w:after="0" w:line="200" w:lineRule="exact"/>
        <w:rPr>
          <w:sz w:val="20"/>
          <w:szCs w:val="20"/>
          <w:color w:val="auto"/>
        </w:rPr>
      </w:pPr>
    </w:p>
    <w:p>
      <w:pPr>
        <w:sectPr>
          <w:pgSz w:w="11900" w:h="16838" w:orient="portrait"/>
          <w:cols w:equalWidth="0" w:num="2">
            <w:col w:w="4800" w:space="698"/>
            <w:col w:w="5182"/>
          </w:cols>
          <w:pgMar w:left="600" w:top="874" w:right="6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050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419100</wp:posOffset>
            </wp:positionV>
            <wp:extent cx="7266940"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80"/>
          </w:cols>
          <w:pgMar w:left="600" w:top="874" w:right="61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51"/>
          <w:szCs w:val="51"/>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Level of Debt - Acquisition Impact</w:t>
      </w:r>
    </w:p>
    <w:p>
      <w:pPr>
        <w:spacing w:after="0" w:line="19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 Forma for Periods Ending March 31, 2010</w:t>
      </w:r>
    </w:p>
    <w:p>
      <w:pPr>
        <w:spacing w:after="0" w:line="360" w:lineRule="exact"/>
        <w:rPr>
          <w:sz w:val="20"/>
          <w:szCs w:val="20"/>
          <w:color w:val="auto"/>
        </w:rPr>
      </w:pPr>
    </w:p>
    <w:p>
      <w:pPr>
        <w:ind w:left="1680"/>
        <w:spacing w:after="0"/>
        <w:tabs>
          <w:tab w:leader="none" w:pos="6820" w:val="left"/>
        </w:tabs>
        <w:rPr>
          <w:sz w:val="20"/>
          <w:szCs w:val="20"/>
          <w:color w:val="auto"/>
        </w:rPr>
      </w:pPr>
      <w:r>
        <w:rPr>
          <w:rFonts w:ascii="Arial" w:cs="Arial" w:eastAsia="Arial" w:hAnsi="Arial"/>
          <w:sz w:val="26"/>
          <w:szCs w:val="26"/>
          <w:b w:val="1"/>
          <w:bCs w:val="1"/>
          <w:color w:val="FFFFFF"/>
        </w:rPr>
        <w:t>Debt (in millions)</w:t>
      </w:r>
      <w:r>
        <w:rPr>
          <w:sz w:val="20"/>
          <w:szCs w:val="20"/>
          <w:color w:val="auto"/>
        </w:rPr>
        <w:tab/>
      </w:r>
      <w:r>
        <w:rPr>
          <w:rFonts w:ascii="Arial" w:cs="Arial" w:eastAsia="Arial" w:hAnsi="Arial"/>
          <w:sz w:val="23"/>
          <w:szCs w:val="23"/>
          <w:b w:val="1"/>
          <w:bCs w:val="1"/>
          <w:color w:val="FFFFFF"/>
        </w:rPr>
        <w:t>Debt to EBITDA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396875</wp:posOffset>
            </wp:positionV>
            <wp:extent cx="7266940"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60"/>
          </w:cols>
          <w:pgMar w:left="620" w:top="1066" w:right="61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26" w:lineRule="exact"/>
        <w:rPr>
          <w:sz w:val="20"/>
          <w:szCs w:val="20"/>
          <w:color w:val="auto"/>
        </w:rPr>
      </w:pPr>
    </w:p>
    <w:p>
      <w:pPr>
        <w:ind w:left="2220"/>
        <w:spacing w:after="0"/>
        <w:rPr>
          <w:sz w:val="20"/>
          <w:szCs w:val="20"/>
          <w:color w:val="auto"/>
        </w:rPr>
      </w:pPr>
      <w:r>
        <w:rPr>
          <w:rFonts w:ascii="Arial" w:cs="Arial" w:eastAsia="Arial" w:hAnsi="Arial"/>
          <w:sz w:val="26"/>
          <w:szCs w:val="26"/>
          <w:b w:val="1"/>
          <w:bCs w:val="1"/>
          <w:color w:val="FFFFFF"/>
        </w:rPr>
        <w:t>Capital Expenditures by Segment ($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396875</wp:posOffset>
            </wp:positionV>
            <wp:extent cx="7266940"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840"/>
          </w:cols>
          <w:pgMar w:left="1440" w:top="1440" w:right="619" w:bottom="1440" w:gutter="0" w:footer="0" w:header="0"/>
        </w:sectPr>
      </w:pPr>
    </w:p>
    <w:bookmarkStart w:id="31" w:name="page32"/>
    <w:bookmarkEnd w:id="31"/>
    <w:p>
      <w:pPr>
        <w:spacing w:after="0"/>
        <w:rPr>
          <w:sz w:val="20"/>
          <w:szCs w:val="20"/>
          <w:color w:val="auto"/>
        </w:rPr>
      </w:pPr>
      <w:r>
        <w:rPr>
          <w:rFonts w:ascii="Arial" w:cs="Arial" w:eastAsia="Arial" w:hAnsi="Arial"/>
          <w:sz w:val="51"/>
          <w:szCs w:val="51"/>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JBB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0" w:hanging="339"/>
        <w:spacing w:after="0"/>
        <w:tabs>
          <w:tab w:leader="none" w:pos="640" w:val="left"/>
        </w:tabs>
        <w:numPr>
          <w:ilvl w:val="0"/>
          <w:numId w:val="25"/>
        </w:numPr>
        <w:rPr>
          <w:rFonts w:ascii="Arial" w:cs="Arial" w:eastAsia="Arial" w:hAnsi="Arial"/>
          <w:sz w:val="38"/>
          <w:szCs w:val="38"/>
          <w:color w:val="840039"/>
        </w:rPr>
      </w:pPr>
      <w:r>
        <w:rPr>
          <w:rFonts w:ascii="Arial" w:cs="Arial" w:eastAsia="Arial" w:hAnsi="Arial"/>
          <w:sz w:val="38"/>
          <w:szCs w:val="38"/>
          <w:color w:val="auto"/>
        </w:rPr>
        <w:t>Success with Rapid Acquisition</w:t>
      </w:r>
    </w:p>
    <w:p>
      <w:pPr>
        <w:spacing w:after="0" w:line="223" w:lineRule="exact"/>
        <w:rPr>
          <w:rFonts w:ascii="Arial" w:cs="Arial" w:eastAsia="Arial" w:hAnsi="Arial"/>
          <w:sz w:val="38"/>
          <w:szCs w:val="38"/>
          <w:color w:val="840039"/>
        </w:rPr>
      </w:pPr>
    </w:p>
    <w:p>
      <w:pPr>
        <w:ind w:left="640" w:hanging="339"/>
        <w:spacing w:after="0"/>
        <w:tabs>
          <w:tab w:leader="none" w:pos="640" w:val="left"/>
        </w:tabs>
        <w:numPr>
          <w:ilvl w:val="0"/>
          <w:numId w:val="25"/>
        </w:numPr>
        <w:rPr>
          <w:rFonts w:ascii="Arial" w:cs="Arial" w:eastAsia="Arial" w:hAnsi="Arial"/>
          <w:sz w:val="38"/>
          <w:szCs w:val="38"/>
          <w:color w:val="840039"/>
        </w:rPr>
      </w:pPr>
      <w:r>
        <w:rPr>
          <w:rFonts w:ascii="Arial" w:cs="Arial" w:eastAsia="Arial" w:hAnsi="Arial"/>
          <w:sz w:val="38"/>
          <w:szCs w:val="38"/>
          <w:color w:val="auto"/>
        </w:rPr>
        <w:t>Network Interconnection</w:t>
      </w:r>
    </w:p>
    <w:p>
      <w:pPr>
        <w:spacing w:after="0" w:line="211" w:lineRule="exact"/>
        <w:rPr>
          <w:rFonts w:ascii="Arial" w:cs="Arial" w:eastAsia="Arial" w:hAnsi="Arial"/>
          <w:sz w:val="38"/>
          <w:szCs w:val="38"/>
          <w:color w:val="840039"/>
        </w:rPr>
      </w:pPr>
    </w:p>
    <w:p>
      <w:pPr>
        <w:ind w:left="640" w:hanging="339"/>
        <w:spacing w:after="0"/>
        <w:tabs>
          <w:tab w:leader="none" w:pos="640" w:val="left"/>
        </w:tabs>
        <w:numPr>
          <w:ilvl w:val="0"/>
          <w:numId w:val="25"/>
        </w:numPr>
        <w:rPr>
          <w:rFonts w:ascii="Arial" w:cs="Arial" w:eastAsia="Arial" w:hAnsi="Arial"/>
          <w:sz w:val="38"/>
          <w:szCs w:val="38"/>
          <w:color w:val="840039"/>
        </w:rPr>
      </w:pPr>
      <w:r>
        <w:rPr>
          <w:rFonts w:ascii="Arial" w:cs="Arial" w:eastAsia="Arial" w:hAnsi="Arial"/>
          <w:sz w:val="38"/>
          <w:szCs w:val="38"/>
          <w:color w:val="auto"/>
        </w:rPr>
        <w:t>Proven Technologies</w:t>
      </w:r>
    </w:p>
    <w:p>
      <w:pPr>
        <w:spacing w:after="0" w:line="223" w:lineRule="exact"/>
        <w:rPr>
          <w:rFonts w:ascii="Arial" w:cs="Arial" w:eastAsia="Arial" w:hAnsi="Arial"/>
          <w:sz w:val="38"/>
          <w:szCs w:val="38"/>
          <w:color w:val="840039"/>
        </w:rPr>
      </w:pPr>
    </w:p>
    <w:p>
      <w:pPr>
        <w:ind w:left="640" w:hanging="339"/>
        <w:spacing w:after="0"/>
        <w:tabs>
          <w:tab w:leader="none" w:pos="640" w:val="left"/>
        </w:tabs>
        <w:numPr>
          <w:ilvl w:val="0"/>
          <w:numId w:val="25"/>
        </w:numPr>
        <w:rPr>
          <w:rFonts w:ascii="Arial" w:cs="Arial" w:eastAsia="Arial" w:hAnsi="Arial"/>
          <w:sz w:val="38"/>
          <w:szCs w:val="38"/>
          <w:color w:val="840039"/>
        </w:rPr>
      </w:pPr>
      <w:r>
        <w:rPr>
          <w:rFonts w:ascii="Arial" w:cs="Arial" w:eastAsia="Arial" w:hAnsi="Arial"/>
          <w:sz w:val="38"/>
          <w:szCs w:val="38"/>
          <w:color w:val="auto"/>
        </w:rPr>
        <w:t>Similar Demographics</w:t>
      </w:r>
    </w:p>
    <w:p>
      <w:pPr>
        <w:spacing w:after="0" w:line="211" w:lineRule="exact"/>
        <w:rPr>
          <w:rFonts w:ascii="Arial" w:cs="Arial" w:eastAsia="Arial" w:hAnsi="Arial"/>
          <w:sz w:val="38"/>
          <w:szCs w:val="38"/>
          <w:color w:val="840039"/>
        </w:rPr>
      </w:pPr>
    </w:p>
    <w:p>
      <w:pPr>
        <w:ind w:left="640" w:hanging="339"/>
        <w:spacing w:after="0"/>
        <w:tabs>
          <w:tab w:leader="none" w:pos="640" w:val="left"/>
        </w:tabs>
        <w:numPr>
          <w:ilvl w:val="0"/>
          <w:numId w:val="25"/>
        </w:numPr>
        <w:rPr>
          <w:rFonts w:ascii="Arial" w:cs="Arial" w:eastAsia="Arial" w:hAnsi="Arial"/>
          <w:sz w:val="38"/>
          <w:szCs w:val="38"/>
          <w:color w:val="840039"/>
        </w:rPr>
      </w:pPr>
      <w:r>
        <w:rPr>
          <w:rFonts w:ascii="Arial" w:cs="Arial" w:eastAsia="Arial" w:hAnsi="Arial"/>
          <w:sz w:val="38"/>
          <w:szCs w:val="38"/>
          <w:color w:val="auto"/>
        </w:rPr>
        <w:t>Proximity</w:t>
      </w:r>
    </w:p>
    <w:p>
      <w:pPr>
        <w:spacing w:after="0" w:line="223" w:lineRule="exact"/>
        <w:rPr>
          <w:rFonts w:ascii="Arial" w:cs="Arial" w:eastAsia="Arial" w:hAnsi="Arial"/>
          <w:sz w:val="38"/>
          <w:szCs w:val="38"/>
          <w:color w:val="840039"/>
        </w:rPr>
      </w:pPr>
    </w:p>
    <w:p>
      <w:pPr>
        <w:ind w:left="640" w:hanging="339"/>
        <w:spacing w:after="0"/>
        <w:tabs>
          <w:tab w:leader="none" w:pos="640" w:val="left"/>
        </w:tabs>
        <w:numPr>
          <w:ilvl w:val="0"/>
          <w:numId w:val="25"/>
        </w:numPr>
        <w:rPr>
          <w:rFonts w:ascii="Arial" w:cs="Arial" w:eastAsia="Arial" w:hAnsi="Arial"/>
          <w:sz w:val="38"/>
          <w:szCs w:val="38"/>
          <w:color w:val="840039"/>
        </w:rPr>
      </w:pPr>
      <w:r>
        <w:rPr>
          <w:rFonts w:ascii="Arial" w:cs="Arial" w:eastAsia="Arial" w:hAnsi="Arial"/>
          <w:sz w:val="38"/>
          <w:szCs w:val="38"/>
          <w:color w:val="auto"/>
        </w:rPr>
        <w:t>Low Regulatory Risk</w:t>
      </w:r>
    </w:p>
    <w:p>
      <w:pPr>
        <w:spacing w:after="0" w:line="211" w:lineRule="exact"/>
        <w:rPr>
          <w:rFonts w:ascii="Arial" w:cs="Arial" w:eastAsia="Arial" w:hAnsi="Arial"/>
          <w:sz w:val="38"/>
          <w:szCs w:val="38"/>
          <w:color w:val="840039"/>
        </w:rPr>
      </w:pPr>
    </w:p>
    <w:p>
      <w:pPr>
        <w:ind w:left="640" w:hanging="339"/>
        <w:spacing w:after="0"/>
        <w:tabs>
          <w:tab w:leader="none" w:pos="640" w:val="left"/>
        </w:tabs>
        <w:numPr>
          <w:ilvl w:val="0"/>
          <w:numId w:val="25"/>
        </w:numPr>
        <w:rPr>
          <w:rFonts w:ascii="Arial" w:cs="Arial" w:eastAsia="Arial" w:hAnsi="Arial"/>
          <w:sz w:val="38"/>
          <w:szCs w:val="38"/>
          <w:color w:val="840039"/>
        </w:rPr>
      </w:pPr>
      <w:r>
        <w:rPr>
          <w:rFonts w:ascii="Arial" w:cs="Arial" w:eastAsia="Arial" w:hAnsi="Arial"/>
          <w:sz w:val="38"/>
          <w:szCs w:val="38"/>
          <w:color w:val="auto"/>
        </w:rPr>
        <w:t>Strategic Owner Appeal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396875</wp:posOffset>
            </wp:positionV>
            <wp:extent cx="7266940"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600"/>
          </w:cols>
          <w:pgMar w:left="680" w:top="994" w:right="619" w:bottom="1440" w:gutter="0" w:footer="0" w:header="0"/>
        </w:sectPr>
      </w:pPr>
    </w:p>
    <w:bookmarkStart w:id="32" w:name="page33"/>
    <w:bookmarkEnd w:id="32"/>
    <w:p>
      <w:pPr>
        <w:spacing w:after="0"/>
        <w:rPr>
          <w:sz w:val="20"/>
          <w:szCs w:val="20"/>
          <w:color w:val="auto"/>
        </w:rPr>
      </w:pPr>
      <w:r>
        <w:rPr>
          <w:rFonts w:ascii="Arial" w:cs="Arial" w:eastAsia="Arial" w:hAnsi="Arial"/>
          <w:sz w:val="51"/>
          <w:szCs w:val="51"/>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Agenda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00"/>
        <w:spacing w:after="0"/>
        <w:rPr>
          <w:sz w:val="20"/>
          <w:szCs w:val="20"/>
          <w:color w:val="auto"/>
        </w:rPr>
      </w:pPr>
      <w:r>
        <w:rPr>
          <w:rFonts w:ascii="Arial" w:cs="Arial" w:eastAsia="Arial" w:hAnsi="Arial"/>
          <w:sz w:val="35"/>
          <w:szCs w:val="35"/>
          <w:color w:val="auto"/>
        </w:rPr>
        <w:t>Introduction and Shentel Overview</w:t>
      </w:r>
    </w:p>
    <w:p>
      <w:pPr>
        <w:spacing w:after="0" w:line="200" w:lineRule="exact"/>
        <w:rPr>
          <w:sz w:val="20"/>
          <w:szCs w:val="20"/>
          <w:color w:val="auto"/>
        </w:rPr>
      </w:pPr>
    </w:p>
    <w:p>
      <w:pPr>
        <w:spacing w:after="0" w:line="238" w:lineRule="exact"/>
        <w:rPr>
          <w:sz w:val="20"/>
          <w:szCs w:val="20"/>
          <w:color w:val="auto"/>
        </w:rPr>
      </w:pPr>
    </w:p>
    <w:p>
      <w:pPr>
        <w:ind w:left="400"/>
        <w:spacing w:after="0"/>
        <w:rPr>
          <w:sz w:val="20"/>
          <w:szCs w:val="20"/>
          <w:color w:val="auto"/>
        </w:rPr>
      </w:pPr>
      <w:r>
        <w:rPr>
          <w:rFonts w:ascii="Arial" w:cs="Arial" w:eastAsia="Arial" w:hAnsi="Arial"/>
          <w:sz w:val="35"/>
          <w:szCs w:val="35"/>
          <w:color w:val="auto"/>
        </w:rPr>
        <w:t>Overview of PCS</w:t>
      </w:r>
    </w:p>
    <w:p>
      <w:pPr>
        <w:spacing w:after="0" w:line="200" w:lineRule="exact"/>
        <w:rPr>
          <w:sz w:val="20"/>
          <w:szCs w:val="20"/>
          <w:color w:val="auto"/>
        </w:rPr>
      </w:pPr>
    </w:p>
    <w:p>
      <w:pPr>
        <w:spacing w:after="0" w:line="250" w:lineRule="exact"/>
        <w:rPr>
          <w:sz w:val="20"/>
          <w:szCs w:val="20"/>
          <w:color w:val="auto"/>
        </w:rPr>
      </w:pPr>
    </w:p>
    <w:p>
      <w:pPr>
        <w:ind w:left="400"/>
        <w:spacing w:after="0"/>
        <w:rPr>
          <w:sz w:val="20"/>
          <w:szCs w:val="20"/>
          <w:color w:val="auto"/>
        </w:rPr>
      </w:pPr>
      <w:r>
        <w:rPr>
          <w:rFonts w:ascii="Arial" w:cs="Arial" w:eastAsia="Arial" w:hAnsi="Arial"/>
          <w:sz w:val="35"/>
          <w:szCs w:val="35"/>
          <w:color w:val="auto"/>
        </w:rPr>
        <w:t>Overview of Cable</w:t>
      </w:r>
    </w:p>
    <w:p>
      <w:pPr>
        <w:spacing w:after="0" w:line="200" w:lineRule="exact"/>
        <w:rPr>
          <w:sz w:val="20"/>
          <w:szCs w:val="20"/>
          <w:color w:val="auto"/>
        </w:rPr>
      </w:pPr>
    </w:p>
    <w:p>
      <w:pPr>
        <w:spacing w:after="0" w:line="238" w:lineRule="exact"/>
        <w:rPr>
          <w:sz w:val="20"/>
          <w:szCs w:val="20"/>
          <w:color w:val="auto"/>
        </w:rPr>
      </w:pPr>
    </w:p>
    <w:p>
      <w:pPr>
        <w:ind w:left="400"/>
        <w:spacing w:after="0"/>
        <w:rPr>
          <w:sz w:val="20"/>
          <w:szCs w:val="20"/>
          <w:color w:val="auto"/>
        </w:rPr>
      </w:pPr>
      <w:r>
        <w:rPr>
          <w:rFonts w:ascii="Arial" w:cs="Arial" w:eastAsia="Arial" w:hAnsi="Arial"/>
          <w:sz w:val="35"/>
          <w:szCs w:val="35"/>
          <w:color w:val="840039"/>
        </w:rPr>
        <w:t>Overview of Wireline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396875</wp:posOffset>
            </wp:positionV>
            <wp:extent cx="7266940"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80"/>
          </w:cols>
          <w:pgMar w:left="700" w:top="994" w:right="619" w:bottom="1440" w:gutter="0" w:footer="0" w:header="0"/>
        </w:sectPr>
      </w:pPr>
    </w:p>
    <w:bookmarkStart w:id="33" w:name="page34"/>
    <w:bookmarkEnd w:id="33"/>
    <w:p>
      <w:pPr>
        <w:spacing w:after="0"/>
        <w:rPr>
          <w:sz w:val="20"/>
          <w:szCs w:val="20"/>
          <w:color w:val="auto"/>
        </w:rPr>
      </w:pPr>
      <w:r>
        <w:rPr>
          <w:rFonts w:ascii="Arial" w:cs="Arial" w:eastAsia="Arial" w:hAnsi="Arial"/>
          <w:sz w:val="48"/>
          <w:szCs w:val="48"/>
          <w:b w:val="1"/>
          <w:bCs w:val="1"/>
          <w:color w:val="auto"/>
        </w:rPr>
        <w:t>Wireline Customers</w:t>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March 31, 2010</w:t>
      </w:r>
    </w:p>
    <w:p>
      <w:pPr>
        <w:spacing w:after="0" w:line="200" w:lineRule="exact"/>
        <w:rPr>
          <w:sz w:val="20"/>
          <w:szCs w:val="20"/>
          <w:color w:val="auto"/>
        </w:rPr>
      </w:pPr>
    </w:p>
    <w:p>
      <w:pPr>
        <w:spacing w:after="0" w:line="247" w:lineRule="exact"/>
        <w:rPr>
          <w:sz w:val="20"/>
          <w:szCs w:val="20"/>
          <w:color w:val="auto"/>
        </w:rPr>
      </w:pPr>
    </w:p>
    <w:p>
      <w:pPr>
        <w:ind w:left="640" w:hanging="359"/>
        <w:spacing w:after="0"/>
        <w:tabs>
          <w:tab w:leader="none" w:pos="640" w:val="left"/>
        </w:tabs>
        <w:numPr>
          <w:ilvl w:val="0"/>
          <w:numId w:val="26"/>
        </w:numPr>
        <w:rPr>
          <w:rFonts w:ascii="Arial" w:cs="Arial" w:eastAsia="Arial" w:hAnsi="Arial"/>
          <w:sz w:val="32"/>
          <w:szCs w:val="32"/>
          <w:color w:val="840039"/>
        </w:rPr>
      </w:pPr>
      <w:r>
        <w:rPr>
          <w:rFonts w:ascii="Arial" w:cs="Arial" w:eastAsia="Arial" w:hAnsi="Arial"/>
          <w:sz w:val="32"/>
          <w:szCs w:val="32"/>
          <w:color w:val="auto"/>
        </w:rPr>
        <w:t>24.2k LEC access lines</w:t>
      </w:r>
    </w:p>
    <w:p>
      <w:pPr>
        <w:spacing w:after="0" w:line="280" w:lineRule="exact"/>
        <w:rPr>
          <w:rFonts w:ascii="Arial" w:cs="Arial" w:eastAsia="Arial" w:hAnsi="Arial"/>
          <w:sz w:val="32"/>
          <w:szCs w:val="32"/>
          <w:color w:val="840039"/>
        </w:rPr>
      </w:pPr>
    </w:p>
    <w:p>
      <w:pPr>
        <w:ind w:left="720" w:right="394" w:hanging="439"/>
        <w:spacing w:after="0" w:line="261" w:lineRule="auto"/>
        <w:tabs>
          <w:tab w:leader="none" w:pos="640" w:val="left"/>
        </w:tabs>
        <w:numPr>
          <w:ilvl w:val="0"/>
          <w:numId w:val="26"/>
        </w:numPr>
        <w:rPr>
          <w:rFonts w:ascii="Arial" w:cs="Arial" w:eastAsia="Arial" w:hAnsi="Arial"/>
          <w:sz w:val="28"/>
          <w:szCs w:val="28"/>
          <w:color w:val="840039"/>
        </w:rPr>
      </w:pPr>
      <w:r>
        <w:rPr>
          <w:rFonts w:ascii="Arial" w:cs="Arial" w:eastAsia="Arial" w:hAnsi="Arial"/>
          <w:sz w:val="28"/>
          <w:szCs w:val="28"/>
          <w:color w:val="auto"/>
        </w:rPr>
        <w:t>Acquisition of North River Telephone closed November</w:t>
      </w:r>
    </w:p>
    <w:p>
      <w:pPr>
        <w:spacing w:after="0" w:line="1" w:lineRule="exact"/>
        <w:rPr>
          <w:rFonts w:ascii="Arial" w:cs="Arial" w:eastAsia="Arial" w:hAnsi="Arial"/>
          <w:sz w:val="28"/>
          <w:szCs w:val="28"/>
          <w:color w:val="840039"/>
        </w:rPr>
      </w:pPr>
    </w:p>
    <w:p>
      <w:pPr>
        <w:ind w:left="720"/>
        <w:spacing w:after="0" w:line="181" w:lineRule="auto"/>
        <w:rPr>
          <w:rFonts w:ascii="Arial" w:cs="Arial" w:eastAsia="Arial" w:hAnsi="Arial"/>
          <w:sz w:val="28"/>
          <w:szCs w:val="28"/>
          <w:color w:val="840039"/>
        </w:rPr>
      </w:pPr>
      <w:r>
        <w:rPr>
          <w:rFonts w:ascii="Arial" w:cs="Arial" w:eastAsia="Arial" w:hAnsi="Arial"/>
          <w:sz w:val="45"/>
          <w:szCs w:val="45"/>
          <w:color w:val="auto"/>
          <w:vertAlign w:val="subscript"/>
        </w:rPr>
        <w:t>2</w:t>
      </w:r>
      <w:r>
        <w:rPr>
          <w:rFonts w:ascii="Arial" w:cs="Arial" w:eastAsia="Arial" w:hAnsi="Arial"/>
          <w:sz w:val="19"/>
          <w:szCs w:val="19"/>
          <w:color w:val="auto"/>
        </w:rPr>
        <w:t>nd</w:t>
      </w:r>
    </w:p>
    <w:p>
      <w:pPr>
        <w:spacing w:after="0" w:line="109" w:lineRule="exact"/>
        <w:rPr>
          <w:sz w:val="20"/>
          <w:szCs w:val="20"/>
          <w:color w:val="auto"/>
        </w:rPr>
      </w:pPr>
    </w:p>
    <w:p>
      <w:pPr>
        <w:ind w:left="1120" w:hanging="335"/>
        <w:spacing w:after="0"/>
        <w:tabs>
          <w:tab w:leader="none" w:pos="1120" w:val="left"/>
        </w:tabs>
        <w:numPr>
          <w:ilvl w:val="0"/>
          <w:numId w:val="27"/>
        </w:numPr>
        <w:rPr>
          <w:rFonts w:ascii="Arial" w:cs="Arial" w:eastAsia="Arial" w:hAnsi="Arial"/>
          <w:sz w:val="26"/>
          <w:szCs w:val="26"/>
          <w:color w:val="C0C0C0"/>
        </w:rPr>
      </w:pPr>
      <w:r>
        <w:rPr>
          <w:rFonts w:ascii="Arial" w:cs="Arial" w:eastAsia="Arial" w:hAnsi="Arial"/>
          <w:sz w:val="32"/>
          <w:szCs w:val="32"/>
          <w:color w:val="auto"/>
        </w:rPr>
        <w:t>0.9k access lines</w:t>
      </w:r>
    </w:p>
    <w:p>
      <w:pPr>
        <w:spacing w:after="0" w:line="305" w:lineRule="exact"/>
        <w:rPr>
          <w:sz w:val="20"/>
          <w:szCs w:val="20"/>
          <w:color w:val="auto"/>
        </w:rPr>
      </w:pPr>
    </w:p>
    <w:p>
      <w:pPr>
        <w:ind w:left="640" w:hanging="359"/>
        <w:spacing w:after="0"/>
        <w:tabs>
          <w:tab w:leader="none" w:pos="640" w:val="left"/>
        </w:tabs>
        <w:numPr>
          <w:ilvl w:val="0"/>
          <w:numId w:val="28"/>
        </w:numPr>
        <w:rPr>
          <w:rFonts w:ascii="Arial" w:cs="Arial" w:eastAsia="Arial" w:hAnsi="Arial"/>
          <w:sz w:val="32"/>
          <w:szCs w:val="32"/>
          <w:color w:val="840039"/>
        </w:rPr>
      </w:pPr>
      <w:r>
        <w:rPr>
          <w:rFonts w:ascii="Arial" w:cs="Arial" w:eastAsia="Arial" w:hAnsi="Arial"/>
          <w:sz w:val="32"/>
          <w:szCs w:val="32"/>
          <w:color w:val="auto"/>
        </w:rPr>
        <w:t>11.5k DSL subscribers</w:t>
      </w:r>
    </w:p>
    <w:p>
      <w:pPr>
        <w:spacing w:after="0" w:line="137" w:lineRule="exact"/>
        <w:rPr>
          <w:sz w:val="20"/>
          <w:szCs w:val="20"/>
          <w:color w:val="auto"/>
        </w:rPr>
      </w:pPr>
    </w:p>
    <w:p>
      <w:pPr>
        <w:ind w:left="1220" w:right="194" w:hanging="435"/>
        <w:spacing w:after="0" w:line="246" w:lineRule="auto"/>
        <w:tabs>
          <w:tab w:leader="none" w:pos="1120" w:val="left"/>
        </w:tabs>
        <w:numPr>
          <w:ilvl w:val="0"/>
          <w:numId w:val="29"/>
        </w:numPr>
        <w:rPr>
          <w:rFonts w:ascii="Arial" w:cs="Arial" w:eastAsia="Arial" w:hAnsi="Arial"/>
          <w:sz w:val="26"/>
          <w:szCs w:val="26"/>
          <w:color w:val="C0C0C0"/>
        </w:rPr>
      </w:pPr>
      <w:r>
        <w:rPr>
          <w:rFonts w:ascii="Arial" w:cs="Arial" w:eastAsia="Arial" w:hAnsi="Arial"/>
          <w:sz w:val="32"/>
          <w:szCs w:val="32"/>
          <w:color w:val="auto"/>
        </w:rPr>
        <w:t>46% Penetration of Access Lines</w:t>
      </w:r>
    </w:p>
    <w:p>
      <w:pPr>
        <w:spacing w:after="0" w:line="255" w:lineRule="exact"/>
        <w:rPr>
          <w:sz w:val="20"/>
          <w:szCs w:val="20"/>
          <w:color w:val="auto"/>
        </w:rPr>
      </w:pPr>
    </w:p>
    <w:p>
      <w:pPr>
        <w:ind w:left="720" w:right="1514" w:hanging="439"/>
        <w:spacing w:after="0" w:line="296" w:lineRule="auto"/>
        <w:tabs>
          <w:tab w:leader="none" w:pos="640" w:val="left"/>
        </w:tabs>
        <w:numPr>
          <w:ilvl w:val="0"/>
          <w:numId w:val="30"/>
        </w:numPr>
        <w:rPr>
          <w:rFonts w:ascii="Arial" w:cs="Arial" w:eastAsia="Arial" w:hAnsi="Arial"/>
          <w:sz w:val="29"/>
          <w:szCs w:val="29"/>
          <w:color w:val="840039"/>
        </w:rPr>
      </w:pPr>
      <w:r>
        <w:rPr>
          <w:rFonts w:ascii="Arial" w:cs="Arial" w:eastAsia="Arial" w:hAnsi="Arial"/>
          <w:sz w:val="29"/>
          <w:szCs w:val="29"/>
          <w:color w:val="auto"/>
        </w:rPr>
        <w:t>3.0k dial-up Internet subscribers</w:t>
      </w:r>
    </w:p>
    <w:p>
      <w:pPr>
        <w:spacing w:after="0" w:line="186" w:lineRule="exact"/>
        <w:rPr>
          <w:rFonts w:ascii="Arial" w:cs="Arial" w:eastAsia="Arial" w:hAnsi="Arial"/>
          <w:sz w:val="29"/>
          <w:szCs w:val="29"/>
          <w:color w:val="840039"/>
        </w:rPr>
      </w:pPr>
    </w:p>
    <w:p>
      <w:pPr>
        <w:ind w:left="720" w:right="1634" w:hanging="439"/>
        <w:spacing w:after="0" w:line="296" w:lineRule="auto"/>
        <w:tabs>
          <w:tab w:leader="none" w:pos="640" w:val="left"/>
        </w:tabs>
        <w:numPr>
          <w:ilvl w:val="0"/>
          <w:numId w:val="30"/>
        </w:numPr>
        <w:rPr>
          <w:rFonts w:ascii="Arial" w:cs="Arial" w:eastAsia="Arial" w:hAnsi="Arial"/>
          <w:sz w:val="29"/>
          <w:szCs w:val="29"/>
          <w:color w:val="840039"/>
        </w:rPr>
      </w:pPr>
      <w:r>
        <w:rPr>
          <w:rFonts w:ascii="Arial" w:cs="Arial" w:eastAsia="Arial" w:hAnsi="Arial"/>
          <w:sz w:val="29"/>
          <w:szCs w:val="29"/>
          <w:color w:val="auto"/>
        </w:rPr>
        <w:t>10.9k long distance subscribers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26" w:right="1100" w:hanging="426"/>
        <w:spacing w:after="0" w:line="315" w:lineRule="auto"/>
        <w:tabs>
          <w:tab w:leader="none" w:pos="346" w:val="left"/>
        </w:tabs>
        <w:numPr>
          <w:ilvl w:val="0"/>
          <w:numId w:val="31"/>
        </w:numPr>
        <w:rPr>
          <w:rFonts w:ascii="Arial" w:cs="Arial" w:eastAsia="Arial" w:hAnsi="Arial"/>
          <w:sz w:val="28"/>
          <w:szCs w:val="28"/>
          <w:color w:val="840039"/>
        </w:rPr>
      </w:pPr>
      <w:r>
        <w:rPr>
          <w:rFonts w:ascii="Arial" w:cs="Arial" w:eastAsia="Arial" w:hAnsi="Arial"/>
          <w:sz w:val="28"/>
          <w:szCs w:val="28"/>
          <w:color w:val="auto"/>
        </w:rPr>
        <w:t>One FTTH community in service outside of LEC area</w:t>
      </w:r>
    </w:p>
    <w:p>
      <w:pPr>
        <w:spacing w:after="0" w:line="151" w:lineRule="exact"/>
        <w:rPr>
          <w:rFonts w:ascii="Arial" w:cs="Arial" w:eastAsia="Arial" w:hAnsi="Arial"/>
          <w:sz w:val="28"/>
          <w:szCs w:val="28"/>
          <w:color w:val="840039"/>
        </w:rPr>
      </w:pPr>
    </w:p>
    <w:p>
      <w:pPr>
        <w:ind w:left="346" w:hanging="346"/>
        <w:spacing w:after="0"/>
        <w:tabs>
          <w:tab w:leader="none" w:pos="346" w:val="left"/>
        </w:tabs>
        <w:numPr>
          <w:ilvl w:val="0"/>
          <w:numId w:val="31"/>
        </w:numPr>
        <w:rPr>
          <w:rFonts w:ascii="Arial" w:cs="Arial" w:eastAsia="Arial" w:hAnsi="Arial"/>
          <w:sz w:val="32"/>
          <w:szCs w:val="32"/>
          <w:color w:val="840039"/>
        </w:rPr>
      </w:pPr>
      <w:r>
        <w:rPr>
          <w:rFonts w:ascii="Arial" w:cs="Arial" w:eastAsia="Arial" w:hAnsi="Arial"/>
          <w:sz w:val="32"/>
          <w:szCs w:val="32"/>
          <w:color w:val="auto"/>
        </w:rPr>
        <w:t>Fiber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-3782695</wp:posOffset>
            </wp:positionH>
            <wp:positionV relativeFrom="paragraph">
              <wp:posOffset>-2306955</wp:posOffset>
            </wp:positionV>
            <wp:extent cx="7317740" cy="54921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129" w:lineRule="exact"/>
        <w:rPr>
          <w:sz w:val="20"/>
          <w:szCs w:val="20"/>
          <w:color w:val="auto"/>
        </w:rPr>
      </w:pPr>
    </w:p>
    <w:p>
      <w:pPr>
        <w:ind w:left="846" w:hanging="269"/>
        <w:spacing w:after="0"/>
        <w:tabs>
          <w:tab w:leader="none" w:pos="846" w:val="left"/>
        </w:tabs>
        <w:numPr>
          <w:ilvl w:val="0"/>
          <w:numId w:val="32"/>
        </w:numPr>
        <w:rPr>
          <w:rFonts w:ascii="Arial" w:cs="Arial" w:eastAsia="Arial" w:hAnsi="Arial"/>
          <w:sz w:val="26"/>
          <w:szCs w:val="26"/>
          <w:color w:val="C0C0C0"/>
        </w:rPr>
      </w:pPr>
      <w:r>
        <w:rPr>
          <w:rFonts w:ascii="Arial" w:cs="Arial" w:eastAsia="Arial" w:hAnsi="Arial"/>
          <w:sz w:val="32"/>
          <w:szCs w:val="32"/>
          <w:color w:val="auto"/>
        </w:rPr>
        <w:t>Route miles: 1,570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396875</wp:posOffset>
            </wp:positionV>
            <wp:extent cx="7266940"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2">
            <w:col w:w="4774" w:space="720"/>
            <w:col w:w="5086"/>
          </w:cols>
          <w:pgMar w:left="700" w:top="982" w:right="61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80"/>
        <w:spacing w:after="0"/>
        <w:rPr>
          <w:sz w:val="20"/>
          <w:szCs w:val="20"/>
          <w:color w:val="auto"/>
        </w:rPr>
      </w:pPr>
      <w:r>
        <w:rPr>
          <w:rFonts w:ascii="Arial" w:cs="Arial" w:eastAsia="Arial" w:hAnsi="Arial"/>
          <w:sz w:val="115"/>
          <w:szCs w:val="115"/>
          <w:b w:val="1"/>
          <w:bCs w:val="1"/>
          <w:color w:val="840039"/>
        </w:rPr>
        <w:t>Q&amp;A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396875</wp:posOffset>
            </wp:positionV>
            <wp:extent cx="7266940"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840"/>
          </w:cols>
          <w:pgMar w:left="1440" w:top="1440" w:right="61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20"/>
        <w:spacing w:after="0"/>
        <w:rPr>
          <w:sz w:val="20"/>
          <w:szCs w:val="20"/>
          <w:color w:val="auto"/>
        </w:rPr>
      </w:pPr>
      <w:r>
        <w:rPr>
          <w:rFonts w:ascii="Arial" w:cs="Arial" w:eastAsia="Arial" w:hAnsi="Arial"/>
          <w:sz w:val="115"/>
          <w:szCs w:val="115"/>
          <w:b w:val="1"/>
          <w:bCs w:val="1"/>
          <w:color w:val="840039"/>
        </w:rPr>
        <w:t>Appendix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396875</wp:posOffset>
            </wp:positionV>
            <wp:extent cx="7266940"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9840"/>
          </w:cols>
          <w:pgMar w:left="1440" w:top="1440" w:right="619" w:bottom="1440" w:gutter="0" w:footer="0" w:header="0"/>
        </w:sectPr>
      </w:pPr>
    </w:p>
    <w:bookmarkStart w:id="36" w:name="page37"/>
    <w:bookmarkEnd w:id="36"/>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Non-GAAP Financial Measure - Billed Revenue per Subscriber</w:t>
      </w:r>
    </w:p>
    <w:p>
      <w:pPr>
        <w:spacing w:after="0" w:line="26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Period 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396875</wp:posOffset>
            </wp:positionV>
            <wp:extent cx="7266940"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80"/>
          </w:cols>
          <w:pgMar w:left="700" w:top="1188" w:right="619" w:bottom="1440" w:gutter="0" w:footer="0" w:header="0"/>
        </w:sectPr>
      </w:pPr>
    </w:p>
    <w:bookmarkStart w:id="37" w:name="page38"/>
    <w:bookmarkEnd w:id="37"/>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Non-GAAP Financial Measure - OIBDA</w:t>
      </w:r>
    </w:p>
    <w:p>
      <w:pPr>
        <w:spacing w:after="0" w:line="26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12 Months Ended 3/31/2010</w:t>
      </w:r>
    </w:p>
    <w:p>
      <w:pPr>
        <w:spacing w:after="0" w:line="200" w:lineRule="exact"/>
        <w:rPr>
          <w:sz w:val="20"/>
          <w:szCs w:val="20"/>
          <w:color w:val="auto"/>
        </w:rPr>
      </w:pPr>
    </w:p>
    <w:p>
      <w:pPr>
        <w:spacing w:after="0" w:line="316" w:lineRule="exact"/>
        <w:rPr>
          <w:sz w:val="20"/>
          <w:szCs w:val="20"/>
          <w:color w:val="auto"/>
        </w:rPr>
      </w:pPr>
    </w:p>
    <w:tbl>
      <w:tblPr>
        <w:tblLayout w:type="fixed"/>
        <w:tblInd w:w="540" w:type="dxa"/>
        <w:tblCellMar>
          <w:top w:w="0" w:type="dxa"/>
          <w:left w:w="0" w:type="dxa"/>
          <w:bottom w:w="0" w:type="dxa"/>
          <w:right w:w="0" w:type="dxa"/>
        </w:tblCellMar>
      </w:tblPr>
      <w:tr>
        <w:trPr>
          <w:trHeight w:val="286"/>
        </w:trPr>
        <w:tc>
          <w:tcPr>
            <w:tcW w:w="3160" w:type="dxa"/>
            <w:vAlign w:val="bottom"/>
          </w:tcPr>
          <w:p>
            <w:pPr>
              <w:spacing w:after="0"/>
              <w:rPr>
                <w:sz w:val="20"/>
                <w:szCs w:val="20"/>
                <w:color w:val="auto"/>
              </w:rPr>
            </w:pPr>
            <w:r>
              <w:rPr>
                <w:rFonts w:ascii="Arial" w:cs="Arial" w:eastAsia="Arial" w:hAnsi="Arial"/>
                <w:sz w:val="22"/>
                <w:szCs w:val="22"/>
                <w:i w:val="1"/>
                <w:iCs w:val="1"/>
                <w:color w:val="auto"/>
              </w:rPr>
              <w:t>Dollars in thousands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715"/>
        </w:trPr>
        <w:tc>
          <w:tcPr>
            <w:tcW w:w="3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22"/>
                <w:szCs w:val="22"/>
                <w:color w:val="auto"/>
                <w:w w:val="90"/>
              </w:rPr>
              <w:t>Wireless</w:t>
            </w:r>
          </w:p>
        </w:tc>
        <w:tc>
          <w:tcPr>
            <w:tcW w:w="1080" w:type="dxa"/>
            <w:vAlign w:val="bottom"/>
            <w:gridSpan w:val="2"/>
          </w:tcPr>
          <w:p>
            <w:pPr>
              <w:jc w:val="right"/>
              <w:ind w:right="300"/>
              <w:spacing w:after="0"/>
              <w:rPr>
                <w:sz w:val="20"/>
                <w:szCs w:val="20"/>
                <w:color w:val="auto"/>
              </w:rPr>
            </w:pPr>
            <w:r>
              <w:rPr>
                <w:rFonts w:ascii="Arial" w:cs="Arial" w:eastAsia="Arial" w:hAnsi="Arial"/>
                <w:sz w:val="22"/>
                <w:szCs w:val="22"/>
                <w:color w:val="auto"/>
                <w:w w:val="95"/>
              </w:rPr>
              <w:t>Wireline</w:t>
            </w:r>
          </w:p>
        </w:tc>
        <w:tc>
          <w:tcPr>
            <w:tcW w:w="24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22"/>
                <w:szCs w:val="22"/>
                <w:color w:val="auto"/>
                <w:w w:val="86"/>
              </w:rPr>
              <w:t>Cable</w:t>
            </w:r>
          </w:p>
        </w:tc>
        <w:tc>
          <w:tcPr>
            <w:tcW w:w="1060" w:type="dxa"/>
            <w:vAlign w:val="bottom"/>
            <w:gridSpan w:val="3"/>
          </w:tcPr>
          <w:p>
            <w:pPr>
              <w:jc w:val="right"/>
              <w:ind w:right="300"/>
              <w:spacing w:after="0"/>
              <w:rPr>
                <w:sz w:val="20"/>
                <w:szCs w:val="20"/>
                <w:color w:val="auto"/>
              </w:rPr>
            </w:pPr>
            <w:r>
              <w:rPr>
                <w:rFonts w:ascii="Arial" w:cs="Arial" w:eastAsia="Arial" w:hAnsi="Arial"/>
                <w:sz w:val="22"/>
                <w:szCs w:val="22"/>
                <w:color w:val="auto"/>
              </w:rPr>
              <w:t>Other</w:t>
            </w:r>
          </w:p>
        </w:tc>
        <w:tc>
          <w:tcPr>
            <w:tcW w:w="1540" w:type="dxa"/>
            <w:vAlign w:val="bottom"/>
            <w:gridSpan w:val="3"/>
          </w:tcPr>
          <w:p>
            <w:pPr>
              <w:jc w:val="right"/>
              <w:ind w:right="200"/>
              <w:spacing w:after="0"/>
              <w:rPr>
                <w:sz w:val="20"/>
                <w:szCs w:val="20"/>
                <w:color w:val="auto"/>
              </w:rPr>
            </w:pPr>
            <w:r>
              <w:rPr>
                <w:rFonts w:ascii="Arial" w:cs="Arial" w:eastAsia="Arial" w:hAnsi="Arial"/>
                <w:sz w:val="22"/>
                <w:szCs w:val="22"/>
                <w:color w:val="auto"/>
              </w:rPr>
              <w:t>Consolidated</w:t>
            </w:r>
          </w:p>
        </w:tc>
      </w:tr>
      <w:tr>
        <w:trPr>
          <w:trHeight w:val="20"/>
        </w:trPr>
        <w:tc>
          <w:tcPr>
            <w:tcW w:w="3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8"/>
        </w:trPr>
        <w:tc>
          <w:tcPr>
            <w:tcW w:w="3160" w:type="dxa"/>
            <w:vAlign w:val="bottom"/>
          </w:tcPr>
          <w:p>
            <w:pPr>
              <w:spacing w:after="0"/>
              <w:rPr>
                <w:sz w:val="20"/>
                <w:szCs w:val="20"/>
                <w:color w:val="auto"/>
              </w:rPr>
            </w:pPr>
            <w:r>
              <w:rPr>
                <w:rFonts w:ascii="Arial" w:cs="Arial" w:eastAsia="Arial" w:hAnsi="Arial"/>
                <w:sz w:val="22"/>
                <w:szCs w:val="22"/>
                <w:color w:val="auto"/>
              </w:rPr>
              <w:t>Operating Income</w:t>
            </w:r>
          </w:p>
        </w:tc>
        <w:tc>
          <w:tcPr>
            <w:tcW w:w="14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22"/>
                <w:szCs w:val="22"/>
                <w:color w:val="auto"/>
              </w:rPr>
              <w:t>$40,459</w:t>
            </w:r>
          </w:p>
        </w:tc>
        <w:tc>
          <w:tcPr>
            <w:tcW w:w="1080" w:type="dxa"/>
            <w:vAlign w:val="bottom"/>
            <w:gridSpan w:val="2"/>
          </w:tcPr>
          <w:p>
            <w:pPr>
              <w:jc w:val="right"/>
              <w:ind w:right="160"/>
              <w:spacing w:after="0"/>
              <w:rPr>
                <w:sz w:val="20"/>
                <w:szCs w:val="20"/>
                <w:color w:val="auto"/>
              </w:rPr>
            </w:pPr>
            <w:r>
              <w:rPr>
                <w:rFonts w:ascii="Arial" w:cs="Arial" w:eastAsia="Arial" w:hAnsi="Arial"/>
                <w:sz w:val="22"/>
                <w:szCs w:val="22"/>
                <w:color w:val="auto"/>
              </w:rPr>
              <w:t>$12,711</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($7,172)</w:t>
            </w:r>
          </w:p>
        </w:tc>
        <w:tc>
          <w:tcPr>
            <w:tcW w:w="1060" w:type="dxa"/>
            <w:vAlign w:val="bottom"/>
            <w:gridSpan w:val="3"/>
          </w:tcPr>
          <w:p>
            <w:pPr>
              <w:jc w:val="right"/>
              <w:ind w:right="140"/>
              <w:spacing w:after="0"/>
              <w:rPr>
                <w:sz w:val="20"/>
                <w:szCs w:val="20"/>
                <w:color w:val="auto"/>
              </w:rPr>
            </w:pPr>
            <w:r>
              <w:rPr>
                <w:rFonts w:ascii="Arial" w:cs="Arial" w:eastAsia="Arial" w:hAnsi="Arial"/>
                <w:sz w:val="22"/>
                <w:szCs w:val="22"/>
                <w:color w:val="auto"/>
              </w:rPr>
              <w:t>($3,683)</w:t>
            </w:r>
          </w:p>
        </w:tc>
        <w:tc>
          <w:tcPr>
            <w:tcW w:w="1540" w:type="dxa"/>
            <w:vAlign w:val="bottom"/>
            <w:gridSpan w:val="3"/>
          </w:tcPr>
          <w:p>
            <w:pPr>
              <w:jc w:val="right"/>
              <w:ind w:right="140"/>
              <w:spacing w:after="0"/>
              <w:rPr>
                <w:sz w:val="20"/>
                <w:szCs w:val="20"/>
                <w:color w:val="auto"/>
              </w:rPr>
            </w:pPr>
            <w:r>
              <w:rPr>
                <w:rFonts w:ascii="Arial" w:cs="Arial" w:eastAsia="Arial" w:hAnsi="Arial"/>
                <w:sz w:val="22"/>
                <w:szCs w:val="22"/>
                <w:color w:val="auto"/>
              </w:rPr>
              <w:t>$42,315</w:t>
            </w:r>
          </w:p>
        </w:tc>
      </w:tr>
      <w:tr>
        <w:trPr>
          <w:trHeight w:val="384"/>
        </w:trPr>
        <w:tc>
          <w:tcPr>
            <w:tcW w:w="316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1320" w:type="dxa"/>
            <w:vAlign w:val="bottom"/>
            <w:gridSpan w:val="3"/>
          </w:tcPr>
          <w:p>
            <w:pPr>
              <w:jc w:val="right"/>
              <w:ind w:right="360"/>
              <w:spacing w:after="0"/>
              <w:rPr>
                <w:sz w:val="20"/>
                <w:szCs w:val="20"/>
                <w:color w:val="auto"/>
              </w:rPr>
            </w:pPr>
            <w:r>
              <w:rPr>
                <w:rFonts w:ascii="Arial" w:cs="Arial" w:eastAsia="Arial" w:hAnsi="Arial"/>
                <w:sz w:val="22"/>
                <w:szCs w:val="22"/>
                <w:color w:val="auto"/>
              </w:rPr>
              <w:t>20,660</w:t>
            </w:r>
          </w:p>
        </w:tc>
        <w:tc>
          <w:tcPr>
            <w:tcW w:w="1080" w:type="dxa"/>
            <w:vAlign w:val="bottom"/>
            <w:gridSpan w:val="2"/>
          </w:tcPr>
          <w:p>
            <w:pPr>
              <w:jc w:val="right"/>
              <w:ind w:right="160"/>
              <w:spacing w:after="0"/>
              <w:rPr>
                <w:sz w:val="20"/>
                <w:szCs w:val="20"/>
                <w:color w:val="auto"/>
              </w:rPr>
            </w:pPr>
            <w:r>
              <w:rPr>
                <w:rFonts w:ascii="Arial" w:cs="Arial" w:eastAsia="Arial" w:hAnsi="Arial"/>
                <w:sz w:val="22"/>
                <w:szCs w:val="22"/>
                <w:color w:val="auto"/>
              </w:rPr>
              <w:t>8,090</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4,045</w:t>
            </w:r>
          </w:p>
        </w:tc>
        <w:tc>
          <w:tcPr>
            <w:tcW w:w="1060" w:type="dxa"/>
            <w:vAlign w:val="bottom"/>
            <w:gridSpan w:val="3"/>
          </w:tcPr>
          <w:p>
            <w:pPr>
              <w:jc w:val="right"/>
              <w:ind w:right="140"/>
              <w:spacing w:after="0"/>
              <w:rPr>
                <w:sz w:val="20"/>
                <w:szCs w:val="20"/>
                <w:color w:val="auto"/>
              </w:rPr>
            </w:pPr>
            <w:r>
              <w:rPr>
                <w:rFonts w:ascii="Arial" w:cs="Arial" w:eastAsia="Arial" w:hAnsi="Arial"/>
                <w:sz w:val="22"/>
                <w:szCs w:val="22"/>
                <w:color w:val="auto"/>
              </w:rPr>
              <w:t>308</w:t>
            </w:r>
          </w:p>
        </w:tc>
        <w:tc>
          <w:tcPr>
            <w:tcW w:w="1540" w:type="dxa"/>
            <w:vAlign w:val="bottom"/>
            <w:gridSpan w:val="3"/>
          </w:tcPr>
          <w:p>
            <w:pPr>
              <w:jc w:val="right"/>
              <w:ind w:right="140"/>
              <w:spacing w:after="0"/>
              <w:rPr>
                <w:sz w:val="20"/>
                <w:szCs w:val="20"/>
                <w:color w:val="auto"/>
              </w:rPr>
            </w:pPr>
            <w:r>
              <w:rPr>
                <w:rFonts w:ascii="Arial" w:cs="Arial" w:eastAsia="Arial" w:hAnsi="Arial"/>
                <w:sz w:val="22"/>
                <w:szCs w:val="22"/>
                <w:color w:val="auto"/>
              </w:rPr>
              <w:t>33,103</w:t>
            </w:r>
          </w:p>
        </w:tc>
      </w:tr>
      <w:tr>
        <w:trPr>
          <w:trHeight w:val="102"/>
        </w:trPr>
        <w:tc>
          <w:tcPr>
            <w:tcW w:w="3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r>
      <w:tr>
        <w:trPr>
          <w:trHeight w:val="418"/>
        </w:trPr>
        <w:tc>
          <w:tcPr>
            <w:tcW w:w="3160" w:type="dxa"/>
            <w:vAlign w:val="bottom"/>
          </w:tcPr>
          <w:p>
            <w:pPr>
              <w:spacing w:after="0"/>
              <w:rPr>
                <w:sz w:val="20"/>
                <w:szCs w:val="20"/>
                <w:color w:val="auto"/>
              </w:rPr>
            </w:pPr>
            <w:r>
              <w:rPr>
                <w:rFonts w:ascii="Arial" w:cs="Arial" w:eastAsia="Arial" w:hAnsi="Arial"/>
                <w:sz w:val="22"/>
                <w:szCs w:val="22"/>
                <w:color w:val="auto"/>
              </w:rPr>
              <w:t>OIBDA</w:t>
            </w:r>
          </w:p>
        </w:tc>
        <w:tc>
          <w:tcPr>
            <w:tcW w:w="1320" w:type="dxa"/>
            <w:vAlign w:val="bottom"/>
            <w:gridSpan w:val="3"/>
          </w:tcPr>
          <w:p>
            <w:pPr>
              <w:jc w:val="right"/>
              <w:ind w:right="360"/>
              <w:spacing w:after="0"/>
              <w:rPr>
                <w:sz w:val="20"/>
                <w:szCs w:val="20"/>
                <w:color w:val="auto"/>
              </w:rPr>
            </w:pPr>
            <w:r>
              <w:rPr>
                <w:rFonts w:ascii="Arial" w:cs="Arial" w:eastAsia="Arial" w:hAnsi="Arial"/>
                <w:sz w:val="22"/>
                <w:szCs w:val="22"/>
                <w:color w:val="auto"/>
              </w:rPr>
              <w:t>$61,119</w:t>
            </w:r>
          </w:p>
        </w:tc>
        <w:tc>
          <w:tcPr>
            <w:tcW w:w="1080" w:type="dxa"/>
            <w:vAlign w:val="bottom"/>
            <w:gridSpan w:val="2"/>
          </w:tcPr>
          <w:p>
            <w:pPr>
              <w:jc w:val="right"/>
              <w:ind w:right="160"/>
              <w:spacing w:after="0"/>
              <w:rPr>
                <w:sz w:val="20"/>
                <w:szCs w:val="20"/>
                <w:color w:val="auto"/>
              </w:rPr>
            </w:pPr>
            <w:r>
              <w:rPr>
                <w:rFonts w:ascii="Arial" w:cs="Arial" w:eastAsia="Arial" w:hAnsi="Arial"/>
                <w:sz w:val="22"/>
                <w:szCs w:val="22"/>
                <w:color w:val="auto"/>
              </w:rPr>
              <w:t>$20,801</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($3,127)</w:t>
            </w:r>
          </w:p>
        </w:tc>
        <w:tc>
          <w:tcPr>
            <w:tcW w:w="1060" w:type="dxa"/>
            <w:vAlign w:val="bottom"/>
            <w:gridSpan w:val="3"/>
          </w:tcPr>
          <w:p>
            <w:pPr>
              <w:jc w:val="right"/>
              <w:ind w:right="140"/>
              <w:spacing w:after="0"/>
              <w:rPr>
                <w:sz w:val="20"/>
                <w:szCs w:val="20"/>
                <w:color w:val="auto"/>
              </w:rPr>
            </w:pPr>
            <w:r>
              <w:rPr>
                <w:rFonts w:ascii="Arial" w:cs="Arial" w:eastAsia="Arial" w:hAnsi="Arial"/>
                <w:sz w:val="22"/>
                <w:szCs w:val="22"/>
                <w:color w:val="auto"/>
              </w:rPr>
              <w:t>($3,375)</w:t>
            </w:r>
          </w:p>
        </w:tc>
        <w:tc>
          <w:tcPr>
            <w:tcW w:w="1540" w:type="dxa"/>
            <w:vAlign w:val="bottom"/>
            <w:gridSpan w:val="3"/>
          </w:tcPr>
          <w:p>
            <w:pPr>
              <w:jc w:val="right"/>
              <w:ind w:right="140"/>
              <w:spacing w:after="0"/>
              <w:rPr>
                <w:sz w:val="20"/>
                <w:szCs w:val="20"/>
                <w:color w:val="auto"/>
              </w:rPr>
            </w:pPr>
            <w:r>
              <w:rPr>
                <w:rFonts w:ascii="Arial" w:cs="Arial" w:eastAsia="Arial" w:hAnsi="Arial"/>
                <w:sz w:val="22"/>
                <w:szCs w:val="22"/>
                <w:color w:val="auto"/>
              </w:rPr>
              <w:t>$75,418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396875</wp:posOffset>
            </wp:positionV>
            <wp:extent cx="7266940" cy="20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80"/>
          </w:cols>
          <w:pgMar w:left="700" w:top="1188" w:right="619" w:bottom="1440" w:gutter="0" w:footer="0" w:header="0"/>
        </w:sectPr>
      </w:pPr>
    </w:p>
    <w:bookmarkStart w:id="38" w:name="page39"/>
    <w:bookmarkEnd w:id="38"/>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Non-GAAP Financial Measure - OIBDA</w:t>
      </w:r>
    </w:p>
    <w:p>
      <w:pPr>
        <w:spacing w:after="0" w:line="26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12 Months Ended 3/31/2009</w:t>
      </w:r>
    </w:p>
    <w:p>
      <w:pPr>
        <w:spacing w:after="0" w:line="200" w:lineRule="exact"/>
        <w:rPr>
          <w:sz w:val="20"/>
          <w:szCs w:val="20"/>
          <w:color w:val="auto"/>
        </w:rPr>
      </w:pPr>
    </w:p>
    <w:p>
      <w:pPr>
        <w:spacing w:after="0" w:line="316" w:lineRule="exact"/>
        <w:rPr>
          <w:sz w:val="20"/>
          <w:szCs w:val="20"/>
          <w:color w:val="auto"/>
        </w:rPr>
      </w:pPr>
    </w:p>
    <w:tbl>
      <w:tblPr>
        <w:tblLayout w:type="fixed"/>
        <w:tblInd w:w="540" w:type="dxa"/>
        <w:tblCellMar>
          <w:top w:w="0" w:type="dxa"/>
          <w:left w:w="0" w:type="dxa"/>
          <w:bottom w:w="0" w:type="dxa"/>
          <w:right w:w="0" w:type="dxa"/>
        </w:tblCellMar>
      </w:tblPr>
      <w:tr>
        <w:trPr>
          <w:trHeight w:val="286"/>
        </w:trPr>
        <w:tc>
          <w:tcPr>
            <w:tcW w:w="3160" w:type="dxa"/>
            <w:vAlign w:val="bottom"/>
          </w:tcPr>
          <w:p>
            <w:pPr>
              <w:spacing w:after="0"/>
              <w:rPr>
                <w:sz w:val="20"/>
                <w:szCs w:val="20"/>
                <w:color w:val="auto"/>
              </w:rPr>
            </w:pPr>
            <w:r>
              <w:rPr>
                <w:rFonts w:ascii="Arial" w:cs="Arial" w:eastAsia="Arial" w:hAnsi="Arial"/>
                <w:sz w:val="22"/>
                <w:szCs w:val="22"/>
                <w:i w:val="1"/>
                <w:iCs w:val="1"/>
                <w:color w:val="auto"/>
              </w:rPr>
              <w:t>Dollars in thousands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715"/>
        </w:trPr>
        <w:tc>
          <w:tcPr>
            <w:tcW w:w="3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22"/>
                <w:szCs w:val="22"/>
                <w:color w:val="auto"/>
                <w:w w:val="90"/>
              </w:rPr>
              <w:t>Wireless</w:t>
            </w:r>
          </w:p>
        </w:tc>
        <w:tc>
          <w:tcPr>
            <w:tcW w:w="1080" w:type="dxa"/>
            <w:vAlign w:val="bottom"/>
            <w:gridSpan w:val="2"/>
          </w:tcPr>
          <w:p>
            <w:pPr>
              <w:jc w:val="right"/>
              <w:ind w:right="300"/>
              <w:spacing w:after="0"/>
              <w:rPr>
                <w:sz w:val="20"/>
                <w:szCs w:val="20"/>
                <w:color w:val="auto"/>
              </w:rPr>
            </w:pPr>
            <w:r>
              <w:rPr>
                <w:rFonts w:ascii="Arial" w:cs="Arial" w:eastAsia="Arial" w:hAnsi="Arial"/>
                <w:sz w:val="22"/>
                <w:szCs w:val="22"/>
                <w:color w:val="auto"/>
                <w:w w:val="95"/>
              </w:rPr>
              <w:t>Wireline</w:t>
            </w:r>
          </w:p>
        </w:tc>
        <w:tc>
          <w:tcPr>
            <w:tcW w:w="24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22"/>
                <w:szCs w:val="22"/>
                <w:color w:val="auto"/>
                <w:w w:val="86"/>
              </w:rPr>
              <w:t>Cable</w:t>
            </w:r>
          </w:p>
        </w:tc>
        <w:tc>
          <w:tcPr>
            <w:tcW w:w="1060" w:type="dxa"/>
            <w:vAlign w:val="bottom"/>
            <w:gridSpan w:val="3"/>
          </w:tcPr>
          <w:p>
            <w:pPr>
              <w:jc w:val="right"/>
              <w:ind w:right="300"/>
              <w:spacing w:after="0"/>
              <w:rPr>
                <w:sz w:val="20"/>
                <w:szCs w:val="20"/>
                <w:color w:val="auto"/>
              </w:rPr>
            </w:pPr>
            <w:r>
              <w:rPr>
                <w:rFonts w:ascii="Arial" w:cs="Arial" w:eastAsia="Arial" w:hAnsi="Arial"/>
                <w:sz w:val="22"/>
                <w:szCs w:val="22"/>
                <w:color w:val="auto"/>
              </w:rPr>
              <w:t>Other</w:t>
            </w:r>
          </w:p>
        </w:tc>
        <w:tc>
          <w:tcPr>
            <w:tcW w:w="1540" w:type="dxa"/>
            <w:vAlign w:val="bottom"/>
            <w:gridSpan w:val="3"/>
          </w:tcPr>
          <w:p>
            <w:pPr>
              <w:jc w:val="right"/>
              <w:ind w:right="200"/>
              <w:spacing w:after="0"/>
              <w:rPr>
                <w:sz w:val="20"/>
                <w:szCs w:val="20"/>
                <w:color w:val="auto"/>
              </w:rPr>
            </w:pPr>
            <w:r>
              <w:rPr>
                <w:rFonts w:ascii="Arial" w:cs="Arial" w:eastAsia="Arial" w:hAnsi="Arial"/>
                <w:sz w:val="22"/>
                <w:szCs w:val="22"/>
                <w:color w:val="auto"/>
              </w:rPr>
              <w:t>Consolidated</w:t>
            </w:r>
          </w:p>
        </w:tc>
      </w:tr>
      <w:tr>
        <w:trPr>
          <w:trHeight w:val="20"/>
        </w:trPr>
        <w:tc>
          <w:tcPr>
            <w:tcW w:w="3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8"/>
        </w:trPr>
        <w:tc>
          <w:tcPr>
            <w:tcW w:w="3160" w:type="dxa"/>
            <w:vAlign w:val="bottom"/>
          </w:tcPr>
          <w:p>
            <w:pPr>
              <w:spacing w:after="0"/>
              <w:rPr>
                <w:sz w:val="20"/>
                <w:szCs w:val="20"/>
                <w:color w:val="auto"/>
              </w:rPr>
            </w:pPr>
            <w:r>
              <w:rPr>
                <w:rFonts w:ascii="Arial" w:cs="Arial" w:eastAsia="Arial" w:hAnsi="Arial"/>
                <w:sz w:val="22"/>
                <w:szCs w:val="22"/>
                <w:color w:val="auto"/>
              </w:rPr>
              <w:t>Operating Income</w:t>
            </w:r>
          </w:p>
        </w:tc>
        <w:tc>
          <w:tcPr>
            <w:tcW w:w="14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22"/>
                <w:szCs w:val="22"/>
                <w:color w:val="auto"/>
              </w:rPr>
              <w:t>$40,082</w:t>
            </w:r>
          </w:p>
        </w:tc>
        <w:tc>
          <w:tcPr>
            <w:tcW w:w="1080" w:type="dxa"/>
            <w:vAlign w:val="bottom"/>
            <w:gridSpan w:val="2"/>
          </w:tcPr>
          <w:p>
            <w:pPr>
              <w:jc w:val="right"/>
              <w:ind w:right="160"/>
              <w:spacing w:after="0"/>
              <w:rPr>
                <w:sz w:val="20"/>
                <w:szCs w:val="20"/>
                <w:color w:val="auto"/>
              </w:rPr>
            </w:pPr>
            <w:r>
              <w:rPr>
                <w:rFonts w:ascii="Arial" w:cs="Arial" w:eastAsia="Arial" w:hAnsi="Arial"/>
                <w:sz w:val="22"/>
                <w:szCs w:val="22"/>
                <w:color w:val="auto"/>
              </w:rPr>
              <w:t>$13,926</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($1,684)</w:t>
            </w:r>
          </w:p>
        </w:tc>
        <w:tc>
          <w:tcPr>
            <w:tcW w:w="1060" w:type="dxa"/>
            <w:vAlign w:val="bottom"/>
            <w:gridSpan w:val="3"/>
          </w:tcPr>
          <w:p>
            <w:pPr>
              <w:jc w:val="right"/>
              <w:ind w:right="140"/>
              <w:spacing w:after="0"/>
              <w:rPr>
                <w:sz w:val="20"/>
                <w:szCs w:val="20"/>
                <w:color w:val="auto"/>
              </w:rPr>
            </w:pPr>
            <w:r>
              <w:rPr>
                <w:rFonts w:ascii="Arial" w:cs="Arial" w:eastAsia="Arial" w:hAnsi="Arial"/>
                <w:sz w:val="22"/>
                <w:szCs w:val="22"/>
                <w:color w:val="auto"/>
              </w:rPr>
              <w:t>($4,589)</w:t>
            </w:r>
          </w:p>
        </w:tc>
        <w:tc>
          <w:tcPr>
            <w:tcW w:w="1540" w:type="dxa"/>
            <w:vAlign w:val="bottom"/>
            <w:gridSpan w:val="3"/>
          </w:tcPr>
          <w:p>
            <w:pPr>
              <w:jc w:val="right"/>
              <w:ind w:right="140"/>
              <w:spacing w:after="0"/>
              <w:rPr>
                <w:sz w:val="20"/>
                <w:szCs w:val="20"/>
                <w:color w:val="auto"/>
              </w:rPr>
            </w:pPr>
            <w:r>
              <w:rPr>
                <w:rFonts w:ascii="Arial" w:cs="Arial" w:eastAsia="Arial" w:hAnsi="Arial"/>
                <w:sz w:val="22"/>
                <w:szCs w:val="22"/>
                <w:color w:val="auto"/>
              </w:rPr>
              <w:t>$47,735</w:t>
            </w:r>
          </w:p>
        </w:tc>
      </w:tr>
      <w:tr>
        <w:trPr>
          <w:trHeight w:val="384"/>
        </w:trPr>
        <w:tc>
          <w:tcPr>
            <w:tcW w:w="316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1320" w:type="dxa"/>
            <w:vAlign w:val="bottom"/>
            <w:gridSpan w:val="3"/>
          </w:tcPr>
          <w:p>
            <w:pPr>
              <w:jc w:val="right"/>
              <w:ind w:right="360"/>
              <w:spacing w:after="0"/>
              <w:rPr>
                <w:sz w:val="20"/>
                <w:szCs w:val="20"/>
                <w:color w:val="auto"/>
              </w:rPr>
            </w:pPr>
            <w:r>
              <w:rPr>
                <w:rFonts w:ascii="Arial" w:cs="Arial" w:eastAsia="Arial" w:hAnsi="Arial"/>
                <w:sz w:val="22"/>
                <w:szCs w:val="22"/>
                <w:color w:val="auto"/>
              </w:rPr>
              <w:t>18,039</w:t>
            </w:r>
          </w:p>
        </w:tc>
        <w:tc>
          <w:tcPr>
            <w:tcW w:w="1080" w:type="dxa"/>
            <w:vAlign w:val="bottom"/>
            <w:gridSpan w:val="2"/>
          </w:tcPr>
          <w:p>
            <w:pPr>
              <w:jc w:val="right"/>
              <w:ind w:right="160"/>
              <w:spacing w:after="0"/>
              <w:rPr>
                <w:sz w:val="20"/>
                <w:szCs w:val="20"/>
                <w:color w:val="auto"/>
              </w:rPr>
            </w:pPr>
            <w:r>
              <w:rPr>
                <w:rFonts w:ascii="Arial" w:cs="Arial" w:eastAsia="Arial" w:hAnsi="Arial"/>
                <w:sz w:val="22"/>
                <w:szCs w:val="22"/>
                <w:color w:val="auto"/>
              </w:rPr>
              <w:t>8,071</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1,738</w:t>
            </w:r>
          </w:p>
        </w:tc>
        <w:tc>
          <w:tcPr>
            <w:tcW w:w="1060" w:type="dxa"/>
            <w:vAlign w:val="bottom"/>
            <w:gridSpan w:val="3"/>
          </w:tcPr>
          <w:p>
            <w:pPr>
              <w:jc w:val="right"/>
              <w:ind w:right="140"/>
              <w:spacing w:after="0"/>
              <w:rPr>
                <w:sz w:val="20"/>
                <w:szCs w:val="20"/>
                <w:color w:val="auto"/>
              </w:rPr>
            </w:pPr>
            <w:r>
              <w:rPr>
                <w:rFonts w:ascii="Arial" w:cs="Arial" w:eastAsia="Arial" w:hAnsi="Arial"/>
                <w:sz w:val="22"/>
                <w:szCs w:val="22"/>
                <w:color w:val="auto"/>
              </w:rPr>
              <w:t>315</w:t>
            </w:r>
          </w:p>
        </w:tc>
        <w:tc>
          <w:tcPr>
            <w:tcW w:w="1540" w:type="dxa"/>
            <w:vAlign w:val="bottom"/>
            <w:gridSpan w:val="3"/>
          </w:tcPr>
          <w:p>
            <w:pPr>
              <w:jc w:val="right"/>
              <w:ind w:right="140"/>
              <w:spacing w:after="0"/>
              <w:rPr>
                <w:sz w:val="20"/>
                <w:szCs w:val="20"/>
                <w:color w:val="auto"/>
              </w:rPr>
            </w:pPr>
            <w:r>
              <w:rPr>
                <w:rFonts w:ascii="Arial" w:cs="Arial" w:eastAsia="Arial" w:hAnsi="Arial"/>
                <w:sz w:val="22"/>
                <w:szCs w:val="22"/>
                <w:color w:val="auto"/>
              </w:rPr>
              <w:t>28,163</w:t>
            </w:r>
          </w:p>
        </w:tc>
      </w:tr>
      <w:tr>
        <w:trPr>
          <w:trHeight w:val="102"/>
        </w:trPr>
        <w:tc>
          <w:tcPr>
            <w:tcW w:w="3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r>
      <w:tr>
        <w:trPr>
          <w:trHeight w:val="418"/>
        </w:trPr>
        <w:tc>
          <w:tcPr>
            <w:tcW w:w="3160" w:type="dxa"/>
            <w:vAlign w:val="bottom"/>
          </w:tcPr>
          <w:p>
            <w:pPr>
              <w:spacing w:after="0"/>
              <w:rPr>
                <w:sz w:val="20"/>
                <w:szCs w:val="20"/>
                <w:color w:val="auto"/>
              </w:rPr>
            </w:pPr>
            <w:r>
              <w:rPr>
                <w:rFonts w:ascii="Arial" w:cs="Arial" w:eastAsia="Arial" w:hAnsi="Arial"/>
                <w:sz w:val="22"/>
                <w:szCs w:val="22"/>
                <w:color w:val="auto"/>
              </w:rPr>
              <w:t>OIBDA</w:t>
            </w:r>
          </w:p>
        </w:tc>
        <w:tc>
          <w:tcPr>
            <w:tcW w:w="1320" w:type="dxa"/>
            <w:vAlign w:val="bottom"/>
            <w:gridSpan w:val="3"/>
          </w:tcPr>
          <w:p>
            <w:pPr>
              <w:jc w:val="right"/>
              <w:ind w:right="360"/>
              <w:spacing w:after="0"/>
              <w:rPr>
                <w:sz w:val="20"/>
                <w:szCs w:val="20"/>
                <w:color w:val="auto"/>
              </w:rPr>
            </w:pPr>
            <w:r>
              <w:rPr>
                <w:rFonts w:ascii="Arial" w:cs="Arial" w:eastAsia="Arial" w:hAnsi="Arial"/>
                <w:sz w:val="22"/>
                <w:szCs w:val="22"/>
                <w:color w:val="auto"/>
              </w:rPr>
              <w:t>$58,121</w:t>
            </w:r>
          </w:p>
        </w:tc>
        <w:tc>
          <w:tcPr>
            <w:tcW w:w="1080" w:type="dxa"/>
            <w:vAlign w:val="bottom"/>
            <w:gridSpan w:val="2"/>
          </w:tcPr>
          <w:p>
            <w:pPr>
              <w:jc w:val="right"/>
              <w:ind w:right="160"/>
              <w:spacing w:after="0"/>
              <w:rPr>
                <w:sz w:val="20"/>
                <w:szCs w:val="20"/>
                <w:color w:val="auto"/>
              </w:rPr>
            </w:pPr>
            <w:r>
              <w:rPr>
                <w:rFonts w:ascii="Arial" w:cs="Arial" w:eastAsia="Arial" w:hAnsi="Arial"/>
                <w:sz w:val="22"/>
                <w:szCs w:val="22"/>
                <w:color w:val="auto"/>
              </w:rPr>
              <w:t>$21,997</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$54</w:t>
            </w:r>
          </w:p>
        </w:tc>
        <w:tc>
          <w:tcPr>
            <w:tcW w:w="1060" w:type="dxa"/>
            <w:vAlign w:val="bottom"/>
            <w:gridSpan w:val="3"/>
          </w:tcPr>
          <w:p>
            <w:pPr>
              <w:jc w:val="right"/>
              <w:ind w:right="140"/>
              <w:spacing w:after="0"/>
              <w:rPr>
                <w:sz w:val="20"/>
                <w:szCs w:val="20"/>
                <w:color w:val="auto"/>
              </w:rPr>
            </w:pPr>
            <w:r>
              <w:rPr>
                <w:rFonts w:ascii="Arial" w:cs="Arial" w:eastAsia="Arial" w:hAnsi="Arial"/>
                <w:sz w:val="22"/>
                <w:szCs w:val="22"/>
                <w:color w:val="auto"/>
              </w:rPr>
              <w:t>($4,274)</w:t>
            </w:r>
          </w:p>
        </w:tc>
        <w:tc>
          <w:tcPr>
            <w:tcW w:w="1540" w:type="dxa"/>
            <w:vAlign w:val="bottom"/>
            <w:gridSpan w:val="3"/>
          </w:tcPr>
          <w:p>
            <w:pPr>
              <w:jc w:val="right"/>
              <w:ind w:right="140"/>
              <w:spacing w:after="0"/>
              <w:rPr>
                <w:sz w:val="20"/>
                <w:szCs w:val="20"/>
                <w:color w:val="auto"/>
              </w:rPr>
            </w:pPr>
            <w:r>
              <w:rPr>
                <w:rFonts w:ascii="Arial" w:cs="Arial" w:eastAsia="Arial" w:hAnsi="Arial"/>
                <w:sz w:val="22"/>
                <w:szCs w:val="22"/>
                <w:color w:val="auto"/>
              </w:rPr>
              <w:t>$75,898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396875</wp:posOffset>
            </wp:positionV>
            <wp:extent cx="7266940"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80"/>
          </w:cols>
          <w:pgMar w:left="700" w:top="1188" w:right="619" w:bottom="1440" w:gutter="0" w:footer="0" w:header="0"/>
        </w:sectPr>
      </w:pPr>
    </w:p>
    <w:bookmarkStart w:id="39" w:name="page40"/>
    <w:bookmarkEnd w:id="39"/>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Non-GAAP Financial Measure - OIBDA</w:t>
      </w:r>
    </w:p>
    <w:p>
      <w:pPr>
        <w:spacing w:after="0" w:line="26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12 Months Ended 3/31/2008</w:t>
      </w:r>
    </w:p>
    <w:p>
      <w:pPr>
        <w:spacing w:after="0" w:line="200" w:lineRule="exact"/>
        <w:rPr>
          <w:sz w:val="20"/>
          <w:szCs w:val="20"/>
          <w:color w:val="auto"/>
        </w:rPr>
      </w:pPr>
    </w:p>
    <w:p>
      <w:pPr>
        <w:spacing w:after="0" w:line="316" w:lineRule="exact"/>
        <w:rPr>
          <w:sz w:val="20"/>
          <w:szCs w:val="20"/>
          <w:color w:val="auto"/>
        </w:rPr>
      </w:pPr>
    </w:p>
    <w:tbl>
      <w:tblPr>
        <w:tblLayout w:type="fixed"/>
        <w:tblInd w:w="540" w:type="dxa"/>
        <w:tblCellMar>
          <w:top w:w="0" w:type="dxa"/>
          <w:left w:w="0" w:type="dxa"/>
          <w:bottom w:w="0" w:type="dxa"/>
          <w:right w:w="0" w:type="dxa"/>
        </w:tblCellMar>
      </w:tblPr>
      <w:tr>
        <w:trPr>
          <w:trHeight w:val="286"/>
        </w:trPr>
        <w:tc>
          <w:tcPr>
            <w:tcW w:w="3160" w:type="dxa"/>
            <w:vAlign w:val="bottom"/>
          </w:tcPr>
          <w:p>
            <w:pPr>
              <w:spacing w:after="0"/>
              <w:rPr>
                <w:sz w:val="20"/>
                <w:szCs w:val="20"/>
                <w:color w:val="auto"/>
              </w:rPr>
            </w:pPr>
            <w:r>
              <w:rPr>
                <w:rFonts w:ascii="Arial" w:cs="Arial" w:eastAsia="Arial" w:hAnsi="Arial"/>
                <w:sz w:val="22"/>
                <w:szCs w:val="22"/>
                <w:i w:val="1"/>
                <w:iCs w:val="1"/>
                <w:color w:val="auto"/>
              </w:rPr>
              <w:t>Dollars in thousands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715"/>
        </w:trPr>
        <w:tc>
          <w:tcPr>
            <w:tcW w:w="3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22"/>
                <w:szCs w:val="22"/>
                <w:color w:val="auto"/>
                <w:w w:val="90"/>
              </w:rPr>
              <w:t>Wireless</w:t>
            </w:r>
          </w:p>
        </w:tc>
        <w:tc>
          <w:tcPr>
            <w:tcW w:w="1080" w:type="dxa"/>
            <w:vAlign w:val="bottom"/>
            <w:gridSpan w:val="2"/>
          </w:tcPr>
          <w:p>
            <w:pPr>
              <w:jc w:val="right"/>
              <w:ind w:right="300"/>
              <w:spacing w:after="0"/>
              <w:rPr>
                <w:sz w:val="20"/>
                <w:szCs w:val="20"/>
                <w:color w:val="auto"/>
              </w:rPr>
            </w:pPr>
            <w:r>
              <w:rPr>
                <w:rFonts w:ascii="Arial" w:cs="Arial" w:eastAsia="Arial" w:hAnsi="Arial"/>
                <w:sz w:val="22"/>
                <w:szCs w:val="22"/>
                <w:color w:val="auto"/>
                <w:w w:val="95"/>
              </w:rPr>
              <w:t>Wireline</w:t>
            </w:r>
          </w:p>
        </w:tc>
        <w:tc>
          <w:tcPr>
            <w:tcW w:w="24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22"/>
                <w:szCs w:val="22"/>
                <w:color w:val="auto"/>
                <w:w w:val="86"/>
              </w:rPr>
              <w:t>Cable</w:t>
            </w:r>
          </w:p>
        </w:tc>
        <w:tc>
          <w:tcPr>
            <w:tcW w:w="1060" w:type="dxa"/>
            <w:vAlign w:val="bottom"/>
            <w:gridSpan w:val="3"/>
          </w:tcPr>
          <w:p>
            <w:pPr>
              <w:jc w:val="right"/>
              <w:ind w:right="300"/>
              <w:spacing w:after="0"/>
              <w:rPr>
                <w:sz w:val="20"/>
                <w:szCs w:val="20"/>
                <w:color w:val="auto"/>
              </w:rPr>
            </w:pPr>
            <w:r>
              <w:rPr>
                <w:rFonts w:ascii="Arial" w:cs="Arial" w:eastAsia="Arial" w:hAnsi="Arial"/>
                <w:sz w:val="22"/>
                <w:szCs w:val="22"/>
                <w:color w:val="auto"/>
              </w:rPr>
              <w:t>Other</w:t>
            </w:r>
          </w:p>
        </w:tc>
        <w:tc>
          <w:tcPr>
            <w:tcW w:w="1540" w:type="dxa"/>
            <w:vAlign w:val="bottom"/>
            <w:gridSpan w:val="3"/>
          </w:tcPr>
          <w:p>
            <w:pPr>
              <w:jc w:val="right"/>
              <w:ind w:right="200"/>
              <w:spacing w:after="0"/>
              <w:rPr>
                <w:sz w:val="20"/>
                <w:szCs w:val="20"/>
                <w:color w:val="auto"/>
              </w:rPr>
            </w:pPr>
            <w:r>
              <w:rPr>
                <w:rFonts w:ascii="Arial" w:cs="Arial" w:eastAsia="Arial" w:hAnsi="Arial"/>
                <w:sz w:val="22"/>
                <w:szCs w:val="22"/>
                <w:color w:val="auto"/>
              </w:rPr>
              <w:t>Consolidated</w:t>
            </w:r>
          </w:p>
        </w:tc>
      </w:tr>
      <w:tr>
        <w:trPr>
          <w:trHeight w:val="20"/>
        </w:trPr>
        <w:tc>
          <w:tcPr>
            <w:tcW w:w="3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8"/>
        </w:trPr>
        <w:tc>
          <w:tcPr>
            <w:tcW w:w="3160" w:type="dxa"/>
            <w:vAlign w:val="bottom"/>
          </w:tcPr>
          <w:p>
            <w:pPr>
              <w:spacing w:after="0"/>
              <w:rPr>
                <w:sz w:val="20"/>
                <w:szCs w:val="20"/>
                <w:color w:val="auto"/>
              </w:rPr>
            </w:pPr>
            <w:r>
              <w:rPr>
                <w:rFonts w:ascii="Arial" w:cs="Arial" w:eastAsia="Arial" w:hAnsi="Arial"/>
                <w:sz w:val="22"/>
                <w:szCs w:val="22"/>
                <w:color w:val="auto"/>
              </w:rPr>
              <w:t>Operating Income</w:t>
            </w:r>
          </w:p>
        </w:tc>
        <w:tc>
          <w:tcPr>
            <w:tcW w:w="14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22"/>
                <w:szCs w:val="22"/>
                <w:color w:val="auto"/>
              </w:rPr>
              <w:t>$29,739</w:t>
            </w:r>
          </w:p>
        </w:tc>
        <w:tc>
          <w:tcPr>
            <w:tcW w:w="1080" w:type="dxa"/>
            <w:vAlign w:val="bottom"/>
            <w:gridSpan w:val="2"/>
          </w:tcPr>
          <w:p>
            <w:pPr>
              <w:jc w:val="right"/>
              <w:ind w:right="160"/>
              <w:spacing w:after="0"/>
              <w:rPr>
                <w:sz w:val="20"/>
                <w:szCs w:val="20"/>
                <w:color w:val="auto"/>
              </w:rPr>
            </w:pPr>
            <w:r>
              <w:rPr>
                <w:rFonts w:ascii="Arial" w:cs="Arial" w:eastAsia="Arial" w:hAnsi="Arial"/>
                <w:sz w:val="22"/>
                <w:szCs w:val="22"/>
                <w:color w:val="auto"/>
              </w:rPr>
              <w:t>$14,199</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($1,336)</w:t>
            </w:r>
          </w:p>
        </w:tc>
        <w:tc>
          <w:tcPr>
            <w:tcW w:w="1060" w:type="dxa"/>
            <w:vAlign w:val="bottom"/>
            <w:gridSpan w:val="3"/>
          </w:tcPr>
          <w:p>
            <w:pPr>
              <w:jc w:val="right"/>
              <w:ind w:right="140"/>
              <w:spacing w:after="0"/>
              <w:rPr>
                <w:sz w:val="20"/>
                <w:szCs w:val="20"/>
                <w:color w:val="auto"/>
              </w:rPr>
            </w:pPr>
            <w:r>
              <w:rPr>
                <w:rFonts w:ascii="Arial" w:cs="Arial" w:eastAsia="Arial" w:hAnsi="Arial"/>
                <w:sz w:val="22"/>
                <w:szCs w:val="22"/>
                <w:color w:val="auto"/>
              </w:rPr>
              <w:t>($5,082)</w:t>
            </w:r>
          </w:p>
        </w:tc>
        <w:tc>
          <w:tcPr>
            <w:tcW w:w="1540" w:type="dxa"/>
            <w:vAlign w:val="bottom"/>
            <w:gridSpan w:val="3"/>
          </w:tcPr>
          <w:p>
            <w:pPr>
              <w:jc w:val="right"/>
              <w:ind w:right="140"/>
              <w:spacing w:after="0"/>
              <w:rPr>
                <w:sz w:val="20"/>
                <w:szCs w:val="20"/>
                <w:color w:val="auto"/>
              </w:rPr>
            </w:pPr>
            <w:r>
              <w:rPr>
                <w:rFonts w:ascii="Arial" w:cs="Arial" w:eastAsia="Arial" w:hAnsi="Arial"/>
                <w:sz w:val="22"/>
                <w:szCs w:val="22"/>
                <w:color w:val="auto"/>
              </w:rPr>
              <w:t>$37,520</w:t>
            </w:r>
          </w:p>
        </w:tc>
      </w:tr>
      <w:tr>
        <w:trPr>
          <w:trHeight w:val="384"/>
        </w:trPr>
        <w:tc>
          <w:tcPr>
            <w:tcW w:w="316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1320" w:type="dxa"/>
            <w:vAlign w:val="bottom"/>
            <w:gridSpan w:val="3"/>
          </w:tcPr>
          <w:p>
            <w:pPr>
              <w:jc w:val="right"/>
              <w:ind w:right="360"/>
              <w:spacing w:after="0"/>
              <w:rPr>
                <w:sz w:val="20"/>
                <w:szCs w:val="20"/>
                <w:color w:val="auto"/>
              </w:rPr>
            </w:pPr>
            <w:r>
              <w:rPr>
                <w:rFonts w:ascii="Arial" w:cs="Arial" w:eastAsia="Arial" w:hAnsi="Arial"/>
                <w:sz w:val="22"/>
                <w:szCs w:val="22"/>
                <w:color w:val="auto"/>
              </w:rPr>
              <w:t>16,629</w:t>
            </w:r>
          </w:p>
        </w:tc>
        <w:tc>
          <w:tcPr>
            <w:tcW w:w="1080" w:type="dxa"/>
            <w:vAlign w:val="bottom"/>
            <w:gridSpan w:val="2"/>
          </w:tcPr>
          <w:p>
            <w:pPr>
              <w:jc w:val="right"/>
              <w:ind w:right="160"/>
              <w:spacing w:after="0"/>
              <w:rPr>
                <w:sz w:val="20"/>
                <w:szCs w:val="20"/>
                <w:color w:val="auto"/>
              </w:rPr>
            </w:pPr>
            <w:r>
              <w:rPr>
                <w:rFonts w:ascii="Arial" w:cs="Arial" w:eastAsia="Arial" w:hAnsi="Arial"/>
                <w:sz w:val="22"/>
                <w:szCs w:val="22"/>
                <w:color w:val="auto"/>
              </w:rPr>
              <w:t>6,468</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1,035</w:t>
            </w:r>
          </w:p>
        </w:tc>
        <w:tc>
          <w:tcPr>
            <w:tcW w:w="1060" w:type="dxa"/>
            <w:vAlign w:val="bottom"/>
            <w:gridSpan w:val="3"/>
          </w:tcPr>
          <w:p>
            <w:pPr>
              <w:jc w:val="right"/>
              <w:ind w:right="140"/>
              <w:spacing w:after="0"/>
              <w:rPr>
                <w:sz w:val="20"/>
                <w:szCs w:val="20"/>
                <w:color w:val="auto"/>
              </w:rPr>
            </w:pPr>
            <w:r>
              <w:rPr>
                <w:rFonts w:ascii="Arial" w:cs="Arial" w:eastAsia="Arial" w:hAnsi="Arial"/>
                <w:sz w:val="22"/>
                <w:szCs w:val="22"/>
                <w:color w:val="auto"/>
              </w:rPr>
              <w:t>263</w:t>
            </w:r>
          </w:p>
        </w:tc>
        <w:tc>
          <w:tcPr>
            <w:tcW w:w="1540" w:type="dxa"/>
            <w:vAlign w:val="bottom"/>
            <w:gridSpan w:val="3"/>
          </w:tcPr>
          <w:p>
            <w:pPr>
              <w:jc w:val="right"/>
              <w:ind w:right="140"/>
              <w:spacing w:after="0"/>
              <w:rPr>
                <w:sz w:val="20"/>
                <w:szCs w:val="20"/>
                <w:color w:val="auto"/>
              </w:rPr>
            </w:pPr>
            <w:r>
              <w:rPr>
                <w:rFonts w:ascii="Arial" w:cs="Arial" w:eastAsia="Arial" w:hAnsi="Arial"/>
                <w:sz w:val="22"/>
                <w:szCs w:val="22"/>
                <w:color w:val="auto"/>
              </w:rPr>
              <w:t>24,395</w:t>
            </w:r>
          </w:p>
        </w:tc>
      </w:tr>
      <w:tr>
        <w:trPr>
          <w:trHeight w:val="102"/>
        </w:trPr>
        <w:tc>
          <w:tcPr>
            <w:tcW w:w="3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r>
      <w:tr>
        <w:trPr>
          <w:trHeight w:val="418"/>
        </w:trPr>
        <w:tc>
          <w:tcPr>
            <w:tcW w:w="3160" w:type="dxa"/>
            <w:vAlign w:val="bottom"/>
          </w:tcPr>
          <w:p>
            <w:pPr>
              <w:spacing w:after="0"/>
              <w:rPr>
                <w:sz w:val="20"/>
                <w:szCs w:val="20"/>
                <w:color w:val="auto"/>
              </w:rPr>
            </w:pPr>
            <w:r>
              <w:rPr>
                <w:rFonts w:ascii="Arial" w:cs="Arial" w:eastAsia="Arial" w:hAnsi="Arial"/>
                <w:sz w:val="22"/>
                <w:szCs w:val="22"/>
                <w:color w:val="auto"/>
              </w:rPr>
              <w:t>OIBDA</w:t>
            </w:r>
          </w:p>
        </w:tc>
        <w:tc>
          <w:tcPr>
            <w:tcW w:w="1320" w:type="dxa"/>
            <w:vAlign w:val="bottom"/>
            <w:gridSpan w:val="3"/>
          </w:tcPr>
          <w:p>
            <w:pPr>
              <w:jc w:val="right"/>
              <w:ind w:right="360"/>
              <w:spacing w:after="0"/>
              <w:rPr>
                <w:sz w:val="20"/>
                <w:szCs w:val="20"/>
                <w:color w:val="auto"/>
              </w:rPr>
            </w:pPr>
            <w:r>
              <w:rPr>
                <w:rFonts w:ascii="Arial" w:cs="Arial" w:eastAsia="Arial" w:hAnsi="Arial"/>
                <w:sz w:val="22"/>
                <w:szCs w:val="22"/>
                <w:color w:val="auto"/>
              </w:rPr>
              <w:t>$46,368</w:t>
            </w:r>
          </w:p>
        </w:tc>
        <w:tc>
          <w:tcPr>
            <w:tcW w:w="1080" w:type="dxa"/>
            <w:vAlign w:val="bottom"/>
            <w:gridSpan w:val="2"/>
          </w:tcPr>
          <w:p>
            <w:pPr>
              <w:jc w:val="right"/>
              <w:ind w:right="160"/>
              <w:spacing w:after="0"/>
              <w:rPr>
                <w:sz w:val="20"/>
                <w:szCs w:val="20"/>
                <w:color w:val="auto"/>
              </w:rPr>
            </w:pPr>
            <w:r>
              <w:rPr>
                <w:rFonts w:ascii="Arial" w:cs="Arial" w:eastAsia="Arial" w:hAnsi="Arial"/>
                <w:sz w:val="22"/>
                <w:szCs w:val="22"/>
                <w:color w:val="auto"/>
              </w:rPr>
              <w:t>$20,667</w:t>
            </w:r>
          </w:p>
        </w:tc>
        <w:tc>
          <w:tcPr>
            <w:tcW w:w="1060" w:type="dxa"/>
            <w:vAlign w:val="bottom"/>
            <w:gridSpan w:val="3"/>
          </w:tcPr>
          <w:p>
            <w:pPr>
              <w:jc w:val="right"/>
              <w:ind w:right="160"/>
              <w:spacing w:after="0"/>
              <w:rPr>
                <w:sz w:val="20"/>
                <w:szCs w:val="20"/>
                <w:color w:val="auto"/>
              </w:rPr>
            </w:pPr>
            <w:r>
              <w:rPr>
                <w:rFonts w:ascii="Arial" w:cs="Arial" w:eastAsia="Arial" w:hAnsi="Arial"/>
                <w:sz w:val="22"/>
                <w:szCs w:val="22"/>
                <w:color w:val="auto"/>
              </w:rPr>
              <w:t>($301)</w:t>
            </w:r>
          </w:p>
        </w:tc>
        <w:tc>
          <w:tcPr>
            <w:tcW w:w="1060" w:type="dxa"/>
            <w:vAlign w:val="bottom"/>
            <w:gridSpan w:val="3"/>
          </w:tcPr>
          <w:p>
            <w:pPr>
              <w:jc w:val="right"/>
              <w:ind w:right="140"/>
              <w:spacing w:after="0"/>
              <w:rPr>
                <w:sz w:val="20"/>
                <w:szCs w:val="20"/>
                <w:color w:val="auto"/>
              </w:rPr>
            </w:pPr>
            <w:r>
              <w:rPr>
                <w:rFonts w:ascii="Arial" w:cs="Arial" w:eastAsia="Arial" w:hAnsi="Arial"/>
                <w:sz w:val="22"/>
                <w:szCs w:val="22"/>
                <w:color w:val="auto"/>
              </w:rPr>
              <w:t>($4,819)</w:t>
            </w:r>
          </w:p>
        </w:tc>
        <w:tc>
          <w:tcPr>
            <w:tcW w:w="1540" w:type="dxa"/>
            <w:vAlign w:val="bottom"/>
            <w:gridSpan w:val="3"/>
          </w:tcPr>
          <w:p>
            <w:pPr>
              <w:jc w:val="right"/>
              <w:ind w:right="140"/>
              <w:spacing w:after="0"/>
              <w:rPr>
                <w:sz w:val="20"/>
                <w:szCs w:val="20"/>
                <w:color w:val="auto"/>
              </w:rPr>
            </w:pPr>
            <w:r>
              <w:rPr>
                <w:rFonts w:ascii="Arial" w:cs="Arial" w:eastAsia="Arial" w:hAnsi="Arial"/>
                <w:sz w:val="22"/>
                <w:szCs w:val="22"/>
                <w:color w:val="auto"/>
              </w:rPr>
              <w:t>$61,915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396875</wp:posOffset>
            </wp:positionV>
            <wp:extent cx="7266940" cy="2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80"/>
          </w:cols>
          <w:pgMar w:left="700" w:top="1188" w:right="619" w:bottom="1440" w:gutter="0" w:footer="0" w:header="0"/>
        </w:sectPr>
      </w:pPr>
    </w:p>
    <w:bookmarkStart w:id="40" w:name="page41"/>
    <w:bookmarkEnd w:id="40"/>
    <w:p>
      <w:pPr>
        <w:spacing w:after="0"/>
        <w:rPr>
          <w:sz w:val="20"/>
          <w:szCs w:val="20"/>
          <w:color w:val="auto"/>
        </w:rPr>
      </w:pPr>
      <w:r>
        <w:rPr>
          <w:rFonts w:ascii="Arial" w:cs="Arial" w:eastAsia="Arial" w:hAnsi="Arial"/>
          <w:sz w:val="64"/>
          <w:szCs w:val="64"/>
          <w:b w:val="1"/>
          <w:bCs w:val="1"/>
          <w:color w:val="840039"/>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RBC</w:t>
      </w:r>
    </w:p>
    <w:p>
      <w:pPr>
        <w:spacing w:after="0" w:line="12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Technology, Media &amp; Communications Conference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43"/>
          <w:szCs w:val="43"/>
          <w:b w:val="1"/>
          <w:bCs w:val="1"/>
          <w:color w:val="auto"/>
        </w:rPr>
        <w:t>June 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1005205</wp:posOffset>
            </wp:positionV>
            <wp:extent cx="7282180"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2180" cy="20320"/>
                    </a:xfrm>
                    <a:prstGeom prst="rect">
                      <a:avLst/>
                    </a:prstGeom>
                    <a:noFill/>
                  </pic:spPr>
                </pic:pic>
              </a:graphicData>
            </a:graphic>
          </wp:anchor>
        </w:drawing>
      </w:r>
    </w:p>
    <w:sectPr>
      <w:pgSz w:w="11900" w:h="16838" w:orient="portrait"/>
      <w:cols w:equalWidth="0" w:num="1">
        <w:col w:w="10460"/>
      </w:cols>
      <w:pgMar w:left="820" w:top="1044"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o"/>
      <w:numFmt w:val="bullet"/>
      <w:start w:val="1"/>
    </w:lvl>
  </w:abstractNum>
  <w:abstractNum w:abstractNumId="1">
    <w:nsid w:val="25E45D32"/>
    <w:multiLevelType w:val="hybridMultilevel"/>
    <w:lvl w:ilvl="0">
      <w:lvlJc w:val="left"/>
      <w:lvlText w:val="n"/>
      <w:numFmt w:val="bullet"/>
      <w:start w:val="1"/>
    </w:lvl>
  </w:abstractNum>
  <w:abstractNum w:abstractNumId="2">
    <w:nsid w:val="519B500D"/>
    <w:multiLevelType w:val="hybridMultilevel"/>
    <w:lvl w:ilvl="0">
      <w:lvlJc w:val="left"/>
      <w:lvlText w:val="u"/>
      <w:numFmt w:val="bullet"/>
      <w:start w:val="1"/>
    </w:lvl>
  </w:abstractNum>
  <w:abstractNum w:abstractNumId="3">
    <w:nsid w:val="431BD7B7"/>
    <w:multiLevelType w:val="hybridMultilevel"/>
    <w:lvl w:ilvl="0">
      <w:lvlJc w:val="left"/>
      <w:lvlText w:val="n"/>
      <w:numFmt w:val="bullet"/>
      <w:start w:val="1"/>
    </w:lvl>
  </w:abstractNum>
  <w:abstractNum w:abstractNumId="4">
    <w:nsid w:val="3F2DBA31"/>
    <w:multiLevelType w:val="hybridMultilevel"/>
    <w:lvl w:ilvl="0">
      <w:lvlJc w:val="left"/>
      <w:lvlText w:val="u"/>
      <w:numFmt w:val="bullet"/>
      <w:start w:val="1"/>
    </w:lvl>
  </w:abstractNum>
  <w:abstractNum w:abstractNumId="5">
    <w:nsid w:val="7C83E458"/>
    <w:multiLevelType w:val="hybridMultilevel"/>
    <w:lvl w:ilvl="0">
      <w:lvlJc w:val="left"/>
      <w:lvlText w:val="n"/>
      <w:numFmt w:val="bullet"/>
      <w:start w:val="1"/>
    </w:lvl>
  </w:abstractNum>
  <w:abstractNum w:abstractNumId="6">
    <w:nsid w:val="257130A3"/>
    <w:multiLevelType w:val="hybridMultilevel"/>
    <w:lvl w:ilvl="0">
      <w:lvlJc w:val="left"/>
      <w:lvlText w:val="u"/>
      <w:numFmt w:val="bullet"/>
      <w:start w:val="1"/>
    </w:lvl>
  </w:abstractNum>
  <w:abstractNum w:abstractNumId="7">
    <w:nsid w:val="62BBD95A"/>
    <w:multiLevelType w:val="hybridMultilevel"/>
    <w:lvl w:ilvl="0">
      <w:lvlJc w:val="left"/>
      <w:lvlText w:val="1"/>
      <w:numFmt w:val="bullet"/>
      <w:start w:val="1"/>
    </w:lvl>
  </w:abstractNum>
  <w:abstractNum w:abstractNumId="8">
    <w:nsid w:val="436C6125"/>
    <w:multiLevelType w:val="hybridMultilevel"/>
    <w:lvl w:ilvl="0">
      <w:lvlJc w:val="left"/>
      <w:lvlText w:val="1"/>
      <w:numFmt w:val="bullet"/>
      <w:start w:val="1"/>
    </w:lvl>
  </w:abstractNum>
  <w:abstractNum w:abstractNumId="9">
    <w:nsid w:val="628C895D"/>
    <w:multiLevelType w:val="hybridMultilevel"/>
    <w:lvl w:ilvl="0">
      <w:lvlJc w:val="left"/>
      <w:lvlText w:val="•"/>
      <w:numFmt w:val="bullet"/>
      <w:start w:val="1"/>
    </w:lvl>
    <w:lvl w:ilvl="1">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bullet"/>
      <w:start w:val="1"/>
    </w:lvl>
  </w:abstractNum>
  <w:abstractNum w:abstractNumId="12">
    <w:nsid w:val="2443A858"/>
    <w:multiLevelType w:val="hybridMultilevel"/>
    <w:lvl w:ilvl="0">
      <w:lvlJc w:val="left"/>
      <w:lvlText w:val="n"/>
      <w:numFmt w:val="bullet"/>
      <w:start w:val="1"/>
    </w:lvl>
  </w:abstractNum>
  <w:abstractNum w:abstractNumId="13">
    <w:nsid w:val="2D1D5AE9"/>
    <w:multiLevelType w:val="hybridMultilevel"/>
    <w:lvl w:ilvl="0">
      <w:lvlJc w:val="left"/>
      <w:lvlText w:val="n"/>
      <w:numFmt w:val="bullet"/>
      <w:start w:val="1"/>
    </w:lvl>
  </w:abstractNum>
  <w:abstractNum w:abstractNumId="14">
    <w:nsid w:val="6763845E"/>
    <w:multiLevelType w:val="hybridMultilevel"/>
    <w:lvl w:ilvl="0">
      <w:lvlJc w:val="left"/>
      <w:lvlText w:val="u"/>
      <w:numFmt w:val="bullet"/>
      <w:start w:val="1"/>
    </w:lvl>
  </w:abstractNum>
  <w:abstractNum w:abstractNumId="15">
    <w:nsid w:val="75A2A8D4"/>
    <w:multiLevelType w:val="hybridMultilevel"/>
    <w:lvl w:ilvl="0">
      <w:lvlJc w:val="left"/>
      <w:lvlText w:val="n"/>
      <w:numFmt w:val="bullet"/>
      <w:start w:val="1"/>
    </w:lvl>
  </w:abstractNum>
  <w:abstractNum w:abstractNumId="16">
    <w:nsid w:val="8EDBDAB"/>
    <w:multiLevelType w:val="hybridMultilevel"/>
    <w:lvl w:ilvl="0">
      <w:lvlJc w:val="left"/>
      <w:lvlText w:val="u"/>
      <w:numFmt w:val="bullet"/>
      <w:start w:val="1"/>
    </w:lvl>
  </w:abstractNum>
  <w:abstractNum w:abstractNumId="17">
    <w:nsid w:val="79838CB2"/>
    <w:multiLevelType w:val="hybridMultilevel"/>
    <w:lvl w:ilvl="0">
      <w:lvlJc w:val="left"/>
      <w:lvlText w:val="n"/>
      <w:numFmt w:val="bullet"/>
      <w:start w:val="1"/>
    </w:lvl>
  </w:abstractNum>
  <w:abstractNum w:abstractNumId="18">
    <w:nsid w:val="4353D0CD"/>
    <w:multiLevelType w:val="hybridMultilevel"/>
    <w:lvl w:ilvl="0">
      <w:lvlJc w:val="left"/>
      <w:lvlText w:val="u"/>
      <w:numFmt w:val="bullet"/>
      <w:start w:val="1"/>
    </w:lvl>
  </w:abstractNum>
  <w:abstractNum w:abstractNumId="19">
    <w:nsid w:val="B03E0C6"/>
    <w:multiLevelType w:val="hybridMultilevel"/>
    <w:lvl w:ilvl="0">
      <w:lvlJc w:val="left"/>
      <w:lvlText w:val="n"/>
      <w:numFmt w:val="bullet"/>
      <w:start w:val="1"/>
    </w:lvl>
  </w:abstractNum>
  <w:abstractNum w:abstractNumId="20">
    <w:nsid w:val="189A769B"/>
    <w:multiLevelType w:val="hybridMultilevel"/>
    <w:lvl w:ilvl="0">
      <w:lvlJc w:val="left"/>
      <w:lvlText w:val="n"/>
      <w:numFmt w:val="bullet"/>
      <w:start w:val="1"/>
    </w:lvl>
  </w:abstractNum>
  <w:abstractNum w:abstractNumId="21">
    <w:nsid w:val="54E49EB4"/>
    <w:multiLevelType w:val="hybridMultilevel"/>
    <w:lvl w:ilvl="0">
      <w:lvlJc w:val="left"/>
      <w:lvlText w:val="u"/>
      <w:numFmt w:val="bullet"/>
      <w:start w:val="1"/>
    </w:lvl>
  </w:abstractNum>
  <w:abstractNum w:abstractNumId="22">
    <w:nsid w:val="71F32454"/>
    <w:multiLevelType w:val="hybridMultilevel"/>
    <w:lvl w:ilvl="0">
      <w:lvlJc w:val="left"/>
      <w:lvlText w:val="n"/>
      <w:numFmt w:val="bullet"/>
      <w:start w:val="1"/>
    </w:lvl>
  </w:abstractNum>
  <w:abstractNum w:abstractNumId="23">
    <w:nsid w:val="2CA88611"/>
    <w:multiLevelType w:val="hybridMultilevel"/>
    <w:lvl w:ilvl="0">
      <w:lvlJc w:val="left"/>
      <w:lvlText w:val="u"/>
      <w:numFmt w:val="bullet"/>
      <w:start w:val="1"/>
    </w:lvl>
  </w:abstractNum>
  <w:abstractNum w:abstractNumId="24">
    <w:nsid w:val="836C40E"/>
    <w:multiLevelType w:val="hybridMultilevel"/>
    <w:lvl w:ilvl="0">
      <w:lvlJc w:val="left"/>
      <w:lvlText w:val="n"/>
      <w:numFmt w:val="bullet"/>
      <w:start w:val="1"/>
    </w:lvl>
  </w:abstractNum>
  <w:abstractNum w:abstractNumId="25">
    <w:nsid w:val="2901D82"/>
    <w:multiLevelType w:val="hybridMultilevel"/>
    <w:lvl w:ilvl="0">
      <w:lvlJc w:val="left"/>
      <w:lvlText w:val="n"/>
      <w:numFmt w:val="bullet"/>
      <w:start w:val="1"/>
    </w:lvl>
  </w:abstractNum>
  <w:abstractNum w:abstractNumId="26">
    <w:nsid w:val="3A95F874"/>
    <w:multiLevelType w:val="hybridMultilevel"/>
    <w:lvl w:ilvl="0">
      <w:lvlJc w:val="left"/>
      <w:lvlText w:val="u"/>
      <w:numFmt w:val="bullet"/>
      <w:start w:val="1"/>
    </w:lvl>
  </w:abstractNum>
  <w:abstractNum w:abstractNumId="27">
    <w:nsid w:val="8138641"/>
    <w:multiLevelType w:val="hybridMultilevel"/>
    <w:lvl w:ilvl="0">
      <w:lvlJc w:val="left"/>
      <w:lvlText w:val="n"/>
      <w:numFmt w:val="bullet"/>
      <w:start w:val="1"/>
    </w:lvl>
  </w:abstractNum>
  <w:abstractNum w:abstractNumId="28">
    <w:nsid w:val="1E7FF521"/>
    <w:multiLevelType w:val="hybridMultilevel"/>
    <w:lvl w:ilvl="0">
      <w:lvlJc w:val="left"/>
      <w:lvlText w:val="u"/>
      <w:numFmt w:val="bullet"/>
      <w:start w:val="1"/>
    </w:lvl>
  </w:abstractNum>
  <w:abstractNum w:abstractNumId="29">
    <w:nsid w:val="7C3DBD3D"/>
    <w:multiLevelType w:val="hybridMultilevel"/>
    <w:lvl w:ilvl="0">
      <w:lvlJc w:val="left"/>
      <w:lvlText w:val="n"/>
      <w:numFmt w:val="bullet"/>
      <w:start w:val="1"/>
    </w:lvl>
  </w:abstractNum>
  <w:abstractNum w:abstractNumId="30">
    <w:nsid w:val="737B8DDC"/>
    <w:multiLevelType w:val="hybridMultilevel"/>
    <w:lvl w:ilvl="0">
      <w:lvlJc w:val="left"/>
      <w:lvlText w:val="n"/>
      <w:numFmt w:val="bullet"/>
      <w:start w:val="1"/>
    </w:lvl>
  </w:abstractNum>
  <w:abstractNum w:abstractNumId="31">
    <w:nsid w:val="6CEAF087"/>
    <w:multiLevelType w:val="hybridMultilevel"/>
    <w:lvl w:ilvl="0">
      <w:lvlJc w:val="left"/>
      <w:lvlText w:val="u"/>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2019-12-10T04:34:00Z</dcterms:created>
  <dcterms:modified xsi:type="dcterms:W3CDTF">2019-12-10T04:34:00Z</dcterms:modified>
</cp:coreProperties>
</file>