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For the quarterly period ended June 30, 2019</w:t>
      </w:r>
    </w:p>
    <w:p>
      <w:pPr>
        <w:spacing w:after="0" w:line="198"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transition period from__________ to __________</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5800" w:type="dxa"/>
            <w:vAlign w:val="bottom"/>
            <w:gridSpan w:val="5"/>
          </w:tcPr>
          <w:p>
            <w:pPr>
              <w:jc w:val="center"/>
              <w:ind w:left="717"/>
              <w:spacing w:after="0"/>
              <w:rPr>
                <w:sz w:val="20"/>
                <w:szCs w:val="20"/>
                <w:color w:val="auto"/>
              </w:rPr>
            </w:pPr>
            <w:r>
              <w:rPr>
                <w:rFonts w:ascii="Arial" w:cs="Arial" w:eastAsia="Arial" w:hAnsi="Arial"/>
                <w:sz w:val="18"/>
                <w:szCs w:val="18"/>
                <w:color w:val="auto"/>
                <w:w w:val="90"/>
              </w:rPr>
              <w:t>(Exact name of registrant as specified in its charter)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84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Virginia</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jc w:val="right"/>
              <w:ind w:right="2082"/>
              <w:spacing w:after="0"/>
              <w:rPr>
                <w:sz w:val="20"/>
                <w:szCs w:val="20"/>
                <w:color w:val="auto"/>
              </w:rPr>
            </w:pPr>
            <w:r>
              <w:rPr>
                <w:rFonts w:ascii="Arial" w:cs="Arial" w:eastAsia="Arial" w:hAnsi="Arial"/>
                <w:sz w:val="18"/>
                <w:szCs w:val="18"/>
                <w:b w:val="1"/>
                <w:bCs w:val="1"/>
                <w:color w:val="auto"/>
                <w:w w:val="91"/>
              </w:rPr>
              <w:t>54-1162807</w:t>
            </w:r>
          </w:p>
        </w:tc>
        <w:tc>
          <w:tcPr>
            <w:tcW w:w="0" w:type="dxa"/>
            <w:vAlign w:val="bottom"/>
          </w:tcPr>
          <w:p>
            <w:pPr>
              <w:spacing w:after="0"/>
              <w:rPr>
                <w:sz w:val="1"/>
                <w:szCs w:val="1"/>
                <w:color w:val="auto"/>
              </w:rPr>
            </w:pPr>
          </w:p>
        </w:tc>
      </w:tr>
      <w:tr>
        <w:trPr>
          <w:trHeight w:val="270"/>
        </w:trPr>
        <w:tc>
          <w:tcPr>
            <w:tcW w:w="6200" w:type="dxa"/>
            <w:vAlign w:val="bottom"/>
            <w:gridSpan w:val="4"/>
          </w:tcPr>
          <w:p>
            <w:pPr>
              <w:ind w:left="20"/>
              <w:spacing w:after="0"/>
              <w:rPr>
                <w:sz w:val="20"/>
                <w:szCs w:val="20"/>
                <w:color w:val="auto"/>
              </w:rPr>
            </w:pPr>
            <w:r>
              <w:rPr>
                <w:rFonts w:ascii="Arial" w:cs="Arial" w:eastAsia="Arial" w:hAnsi="Arial"/>
                <w:sz w:val="18"/>
                <w:szCs w:val="18"/>
                <w:color w:val="auto"/>
              </w:rPr>
              <w:t>(State or other jurisdiction of incorporation or organization)</w:t>
            </w:r>
          </w:p>
        </w:tc>
        <w:tc>
          <w:tcPr>
            <w:tcW w:w="440" w:type="dxa"/>
            <w:vAlign w:val="bottom"/>
          </w:tcPr>
          <w:p>
            <w:pPr>
              <w:spacing w:after="0"/>
              <w:rPr>
                <w:sz w:val="23"/>
                <w:szCs w:val="23"/>
                <w:color w:val="auto"/>
              </w:rPr>
            </w:pPr>
          </w:p>
        </w:tc>
        <w:tc>
          <w:tcPr>
            <w:tcW w:w="4060" w:type="dxa"/>
            <w:vAlign w:val="bottom"/>
            <w:gridSpan w:val="2"/>
          </w:tcPr>
          <w:p>
            <w:pPr>
              <w:jc w:val="center"/>
              <w:ind w:right="1042"/>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4360" w:type="dxa"/>
            <w:vAlign w:val="bottom"/>
            <w:gridSpan w:val="3"/>
          </w:tcPr>
          <w:p>
            <w:pPr>
              <w:ind w:left="1660"/>
              <w:spacing w:after="0"/>
              <w:rPr>
                <w:sz w:val="20"/>
                <w:szCs w:val="20"/>
                <w:color w:val="auto"/>
              </w:rPr>
            </w:pPr>
            <w:r>
              <w:rPr>
                <w:rFonts w:ascii="Arial" w:cs="Arial" w:eastAsia="Arial" w:hAnsi="Arial"/>
                <w:sz w:val="18"/>
                <w:szCs w:val="18"/>
                <w:color w:val="auto"/>
                <w:w w:val="92"/>
              </w:rPr>
              <w:t>500 Shentel Way, Edinburg, Virginia</w:t>
            </w:r>
          </w:p>
        </w:tc>
        <w:tc>
          <w:tcPr>
            <w:tcW w:w="1440" w:type="dxa"/>
            <w:vAlign w:val="bottom"/>
            <w:gridSpan w:val="2"/>
          </w:tcPr>
          <w:p>
            <w:pPr>
              <w:jc w:val="right"/>
              <w:ind w:right="779"/>
              <w:spacing w:after="0"/>
              <w:rPr>
                <w:sz w:val="20"/>
                <w:szCs w:val="20"/>
                <w:color w:val="auto"/>
              </w:rPr>
            </w:pPr>
            <w:r>
              <w:rPr>
                <w:rFonts w:ascii="Arial" w:cs="Arial" w:eastAsia="Arial" w:hAnsi="Arial"/>
                <w:sz w:val="18"/>
                <w:szCs w:val="18"/>
                <w:color w:val="auto"/>
              </w:rPr>
              <w:t>22824</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360" w:type="dxa"/>
            <w:vAlign w:val="bottom"/>
            <w:gridSpan w:val="3"/>
          </w:tcPr>
          <w:p>
            <w:pPr>
              <w:ind w:left="1420"/>
              <w:spacing w:after="0"/>
              <w:rPr>
                <w:sz w:val="20"/>
                <w:szCs w:val="20"/>
                <w:color w:val="auto"/>
              </w:rPr>
            </w:pPr>
            <w:r>
              <w:rPr>
                <w:rFonts w:ascii="Arial" w:cs="Arial" w:eastAsia="Arial" w:hAnsi="Arial"/>
                <w:sz w:val="18"/>
                <w:szCs w:val="18"/>
                <w:color w:val="auto"/>
                <w:w w:val="94"/>
              </w:rPr>
              <w:t>(Address of principal executive offices)</w:t>
            </w:r>
          </w:p>
        </w:tc>
        <w:tc>
          <w:tcPr>
            <w:tcW w:w="1440" w:type="dxa"/>
            <w:vAlign w:val="bottom"/>
            <w:gridSpan w:val="2"/>
          </w:tcPr>
          <w:p>
            <w:pPr>
              <w:jc w:val="right"/>
              <w:ind w:right="559"/>
              <w:spacing w:after="0"/>
              <w:rPr>
                <w:sz w:val="20"/>
                <w:szCs w:val="20"/>
                <w:color w:val="auto"/>
              </w:rPr>
            </w:pPr>
            <w:r>
              <w:rPr>
                <w:rFonts w:ascii="Arial" w:cs="Arial" w:eastAsia="Arial" w:hAnsi="Arial"/>
                <w:sz w:val="18"/>
                <w:szCs w:val="18"/>
                <w:color w:val="auto"/>
                <w:w w:val="91"/>
              </w:rPr>
              <w:t>(Zip Code)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40" w:type="dxa"/>
            <w:vAlign w:val="bottom"/>
            <w:gridSpan w:val="2"/>
          </w:tcPr>
          <w:p>
            <w:pPr>
              <w:jc w:val="center"/>
              <w:ind w:left="139"/>
              <w:spacing w:after="0"/>
              <w:rPr>
                <w:sz w:val="20"/>
                <w:szCs w:val="20"/>
                <w:color w:val="auto"/>
              </w:rPr>
            </w:pPr>
            <w:r>
              <w:rPr>
                <w:rFonts w:ascii="Arial" w:cs="Arial" w:eastAsia="Arial" w:hAnsi="Arial"/>
                <w:sz w:val="18"/>
                <w:szCs w:val="18"/>
                <w:color w:val="auto"/>
                <w:w w:val="90"/>
              </w:rPr>
              <w:t>(540) 984-4141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800" w:type="dxa"/>
            <w:vAlign w:val="bottom"/>
            <w:gridSpan w:val="5"/>
          </w:tcPr>
          <w:p>
            <w:pPr>
              <w:jc w:val="center"/>
              <w:ind w:left="717"/>
              <w:spacing w:after="0"/>
              <w:rPr>
                <w:sz w:val="20"/>
                <w:szCs w:val="20"/>
                <w:color w:val="auto"/>
              </w:rPr>
            </w:pPr>
            <w:r>
              <w:rPr>
                <w:rFonts w:ascii="Arial" w:cs="Arial" w:eastAsia="Arial" w:hAnsi="Arial"/>
                <w:sz w:val="18"/>
                <w:szCs w:val="18"/>
                <w:color w:val="auto"/>
                <w:w w:val="89"/>
              </w:rPr>
              <w:t>(Registrant's telephone number, including area code)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40" w:type="dxa"/>
            <w:vAlign w:val="bottom"/>
            <w:gridSpan w:val="2"/>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440" w:type="dxa"/>
            <w:vAlign w:val="bottom"/>
            <w:gridSpan w:val="2"/>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5800" w:type="dxa"/>
            <w:vAlign w:val="bottom"/>
            <w:gridSpan w:val="5"/>
          </w:tcPr>
          <w:p>
            <w:pPr>
              <w:jc w:val="center"/>
              <w:ind w:left="717"/>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0"/>
                <w:szCs w:val="20"/>
                <w:color w:val="auto"/>
              </w:rPr>
            </w:pPr>
            <w:r>
              <w:rPr>
                <w:rFonts w:ascii="Arial" w:cs="Arial" w:eastAsia="Arial" w:hAnsi="Arial"/>
                <w:sz w:val="14"/>
                <w:szCs w:val="14"/>
                <w:color w:val="auto"/>
                <w:w w:val="94"/>
              </w:rPr>
              <w:t>Common Stock (No Par Value)</w:t>
            </w:r>
          </w:p>
        </w:tc>
        <w:tc>
          <w:tcPr>
            <w:tcW w:w="2020" w:type="dxa"/>
            <w:vAlign w:val="bottom"/>
          </w:tcPr>
          <w:p>
            <w:pPr>
              <w:jc w:val="center"/>
              <w:ind w:left="457"/>
              <w:spacing w:after="0"/>
              <w:rPr>
                <w:sz w:val="20"/>
                <w:szCs w:val="20"/>
                <w:color w:val="auto"/>
              </w:rPr>
            </w:pPr>
            <w:r>
              <w:rPr>
                <w:rFonts w:ascii="Arial" w:cs="Arial" w:eastAsia="Arial" w:hAnsi="Arial"/>
                <w:sz w:val="14"/>
                <w:szCs w:val="14"/>
                <w:color w:val="auto"/>
                <w:w w:val="92"/>
              </w:rPr>
              <w:t>SHEN</w:t>
            </w:r>
          </w:p>
        </w:tc>
        <w:tc>
          <w:tcPr>
            <w:tcW w:w="220" w:type="dxa"/>
            <w:vAlign w:val="bottom"/>
          </w:tcPr>
          <w:p>
            <w:pPr>
              <w:spacing w:after="0"/>
              <w:rPr>
                <w:sz w:val="24"/>
                <w:szCs w:val="24"/>
                <w:color w:val="auto"/>
              </w:rPr>
            </w:pPr>
          </w:p>
        </w:tc>
        <w:tc>
          <w:tcPr>
            <w:tcW w:w="2120" w:type="dxa"/>
            <w:vAlign w:val="bottom"/>
          </w:tcPr>
          <w:p>
            <w:pPr>
              <w:jc w:val="center"/>
              <w:ind w:left="188"/>
              <w:spacing w:after="0"/>
              <w:rPr>
                <w:sz w:val="20"/>
                <w:szCs w:val="20"/>
                <w:color w:val="auto"/>
              </w:rPr>
            </w:pPr>
            <w:r>
              <w:rPr>
                <w:rFonts w:ascii="Arial" w:cs="Arial" w:eastAsia="Arial" w:hAnsi="Arial"/>
                <w:sz w:val="14"/>
                <w:szCs w:val="14"/>
                <w:color w:val="auto"/>
                <w:w w:val="96"/>
              </w:rPr>
              <w:t>NASDAQ Global Select Market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jc w:val="center"/>
              <w:ind w:right="802"/>
              <w:spacing w:after="0"/>
              <w:rPr>
                <w:sz w:val="20"/>
                <w:szCs w:val="20"/>
                <w:color w:val="auto"/>
              </w:rPr>
            </w:pPr>
            <w:r>
              <w:rPr>
                <w:rFonts w:ascii="Arial" w:cs="Arial" w:eastAsia="Arial" w:hAnsi="Arial"/>
                <w:sz w:val="14"/>
                <w:szCs w:val="14"/>
                <w:color w:val="auto"/>
                <w:w w:val="94"/>
              </w:rPr>
              <w:t>49,856,914</w:t>
            </w:r>
          </w:p>
        </w:tc>
        <w:tc>
          <w:tcPr>
            <w:tcW w:w="0" w:type="dxa"/>
            <w:vAlign w:val="bottom"/>
          </w:tcPr>
          <w:p>
            <w:pPr>
              <w:spacing w:after="0"/>
              <w:rPr>
                <w:sz w:val="1"/>
                <w:szCs w:val="1"/>
                <w:color w:val="auto"/>
              </w:rPr>
            </w:pPr>
          </w:p>
        </w:tc>
      </w:tr>
      <w:tr>
        <w:trPr>
          <w:trHeight w:val="169"/>
        </w:trPr>
        <w:tc>
          <w:tcPr>
            <w:tcW w:w="1840" w:type="dxa"/>
            <w:vAlign w:val="bottom"/>
            <w:vMerge w:val="restart"/>
          </w:tcPr>
          <w:p>
            <w:pPr>
              <w:ind w:left="480"/>
              <w:spacing w:after="0"/>
              <w:rPr>
                <w:sz w:val="20"/>
                <w:szCs w:val="20"/>
                <w:color w:val="auto"/>
              </w:rPr>
            </w:pPr>
            <w:r>
              <w:rPr>
                <w:rFonts w:ascii="Arial" w:cs="Arial" w:eastAsia="Arial" w:hAnsi="Arial"/>
                <w:sz w:val="14"/>
                <w:szCs w:val="14"/>
                <w:color w:val="auto"/>
              </w:rPr>
              <w:t>(Title of Class)</w:t>
            </w:r>
          </w:p>
        </w:tc>
        <w:tc>
          <w:tcPr>
            <w:tcW w:w="2020" w:type="dxa"/>
            <w:vAlign w:val="bottom"/>
            <w:vMerge w:val="restart"/>
          </w:tcPr>
          <w:p>
            <w:pPr>
              <w:jc w:val="center"/>
              <w:ind w:left="457"/>
              <w:spacing w:after="0"/>
              <w:rPr>
                <w:sz w:val="20"/>
                <w:szCs w:val="20"/>
                <w:color w:val="auto"/>
              </w:rPr>
            </w:pPr>
            <w:r>
              <w:rPr>
                <w:rFonts w:ascii="Arial" w:cs="Arial" w:eastAsia="Arial" w:hAnsi="Arial"/>
                <w:sz w:val="14"/>
                <w:szCs w:val="14"/>
                <w:color w:val="auto"/>
                <w:w w:val="96"/>
              </w:rPr>
              <w:t>(Trading Symbol)</w:t>
            </w:r>
          </w:p>
        </w:tc>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w w:val="93"/>
              </w:rPr>
              <w:t>(Name of Exchange on which Registered)</w:t>
            </w:r>
          </w:p>
        </w:tc>
        <w:tc>
          <w:tcPr>
            <w:tcW w:w="4060" w:type="dxa"/>
            <w:vAlign w:val="bottom"/>
            <w:gridSpan w:val="2"/>
          </w:tcPr>
          <w:p>
            <w:pPr>
              <w:jc w:val="center"/>
              <w:ind w:left="59"/>
              <w:spacing w:after="0"/>
              <w:rPr>
                <w:sz w:val="20"/>
                <w:szCs w:val="20"/>
                <w:color w:val="auto"/>
              </w:rPr>
            </w:pPr>
            <w:r>
              <w:rPr>
                <w:rFonts w:ascii="Arial" w:cs="Arial" w:eastAsia="Arial" w:hAnsi="Arial"/>
                <w:sz w:val="14"/>
                <w:szCs w:val="14"/>
                <w:color w:val="auto"/>
                <w:w w:val="92"/>
              </w:rPr>
              <w:t>(The number of shares of the registrant's common stock outstanding</w:t>
            </w: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278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3060" w:type="dxa"/>
            <w:vAlign w:val="bottom"/>
            <w:vMerge w:val="restart"/>
          </w:tcPr>
          <w:p>
            <w:pPr>
              <w:jc w:val="center"/>
              <w:ind w:right="802"/>
              <w:spacing w:after="0"/>
              <w:rPr>
                <w:sz w:val="20"/>
                <w:szCs w:val="20"/>
                <w:color w:val="auto"/>
              </w:rPr>
            </w:pPr>
            <w:r>
              <w:rPr>
                <w:rFonts w:ascii="Arial" w:cs="Arial" w:eastAsia="Arial" w:hAnsi="Arial"/>
                <w:sz w:val="14"/>
                <w:szCs w:val="14"/>
                <w:color w:val="auto"/>
                <w:w w:val="94"/>
              </w:rPr>
              <w:t>on July 31, 2019)</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0"/>
        <w:spacing w:after="0" w:line="181" w:lineRule="exact"/>
        <w:tabs>
          <w:tab w:leader="none" w:pos="1580" w:val="left"/>
          <w:tab w:leader="none" w:pos="2000" w:val="left"/>
          <w:tab w:leader="none" w:pos="3260" w:val="left"/>
          <w:tab w:leader="none" w:pos="3680" w:val="left"/>
          <w:tab w:leader="none" w:pos="5240" w:val="left"/>
          <w:tab w:leader="none" w:pos="5660" w:val="left"/>
          <w:tab w:leader="none" w:pos="7640" w:val="left"/>
          <w:tab w:leader="none" w:pos="8060" w:val="left"/>
          <w:tab w:leader="none" w:pos="10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03"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28" w:right="29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40" w:type="dxa"/>
            <w:vAlign w:val="bottom"/>
            <w:gridSpan w:val="3"/>
          </w:tcPr>
          <w:p>
            <w:pPr>
              <w:jc w:val="center"/>
              <w:ind w:left="1510"/>
              <w:spacing w:after="0"/>
              <w:rPr>
                <w:sz w:val="20"/>
                <w:szCs w:val="20"/>
                <w:color w:val="auto"/>
              </w:rPr>
            </w:pPr>
            <w:r>
              <w:rPr>
                <w:rFonts w:ascii="Arial" w:cs="Arial" w:eastAsia="Arial" w:hAnsi="Arial"/>
                <w:sz w:val="18"/>
                <w:szCs w:val="18"/>
                <w:color w:val="auto"/>
                <w:w w:val="85"/>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gridSpan w:val="3"/>
          </w:tcPr>
          <w:p>
            <w:pPr>
              <w:jc w:val="center"/>
              <w:ind w:left="1490"/>
              <w:spacing w:after="0"/>
              <w:rPr>
                <w:sz w:val="20"/>
                <w:szCs w:val="20"/>
                <w:color w:val="auto"/>
              </w:rPr>
            </w:pPr>
            <w:r>
              <w:rPr>
                <w:rFonts w:ascii="Arial" w:cs="Arial" w:eastAsia="Arial" w:hAnsi="Arial"/>
                <w:sz w:val="18"/>
                <w:szCs w:val="18"/>
                <w:color w:val="auto"/>
                <w:w w:val="90"/>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8100" w:type="dxa"/>
            <w:vAlign w:val="bottom"/>
            <w:gridSpan w:val="12"/>
          </w:tcPr>
          <w:p>
            <w:pPr>
              <w:spacing w:after="0"/>
              <w:rPr>
                <w:sz w:val="20"/>
                <w:szCs w:val="20"/>
                <w:color w:val="auto"/>
              </w:rPr>
            </w:pPr>
            <w:r>
              <w:rPr>
                <w:rFonts w:ascii="Arial" w:cs="Arial" w:eastAsia="Arial" w:hAnsi="Arial"/>
                <w:sz w:val="18"/>
                <w:szCs w:val="18"/>
                <w:color w:val="auto"/>
              </w:rPr>
              <w:t>FINANCIAL INFORMATION</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374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w:t>
              </w:r>
            </w:hyperlink>
          </w:p>
        </w:tc>
        <w:tc>
          <w:tcPr>
            <w:tcW w:w="4360" w:type="dxa"/>
            <w:vAlign w:val="bottom"/>
            <w:gridSpan w:val="7"/>
          </w:tcPr>
          <w:p>
            <w:pPr>
              <w:spacing w:after="0"/>
              <w:rPr>
                <w:sz w:val="24"/>
                <w:szCs w:val="24"/>
                <w:color w:val="auto"/>
              </w:rPr>
            </w:pPr>
          </w:p>
        </w:tc>
        <w:tc>
          <w:tcPr>
            <w:tcW w:w="1960" w:type="dxa"/>
            <w:vAlign w:val="bottom"/>
            <w:gridSpan w:val="2"/>
          </w:tcPr>
          <w:p>
            <w:pPr>
              <w:jc w:val="center"/>
              <w:ind w:left="17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and Comprehensive Income</w:t>
              </w:r>
            </w:hyperlink>
          </w:p>
        </w:tc>
        <w:tc>
          <w:tcPr>
            <w:tcW w:w="1960" w:type="dxa"/>
            <w:vAlign w:val="bottom"/>
            <w:gridSpan w:val="2"/>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5200" w:type="dxa"/>
            <w:vAlign w:val="bottom"/>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Shareholders’ Equity</w:t>
              </w:r>
            </w:hyperlink>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gridSpan w:val="2"/>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520" w:type="dxa"/>
            <w:vAlign w:val="bottom"/>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w:t>
              </w:r>
            </w:hyperlink>
          </w:p>
        </w:tc>
        <w:tc>
          <w:tcPr>
            <w:tcW w:w="680" w:type="dxa"/>
            <w:vAlign w:val="bottom"/>
            <w:gridSpan w:val="2"/>
          </w:tcPr>
          <w:p>
            <w:pPr>
              <w:spacing w:after="0"/>
              <w:rPr>
                <w:sz w:val="24"/>
                <w:szCs w:val="24"/>
                <w:color w:val="auto"/>
              </w:rPr>
            </w:pPr>
          </w:p>
        </w:tc>
        <w:tc>
          <w:tcPr>
            <w:tcW w:w="2900" w:type="dxa"/>
            <w:vAlign w:val="bottom"/>
            <w:gridSpan w:val="2"/>
          </w:tcPr>
          <w:p>
            <w:pPr>
              <w:spacing w:after="0"/>
              <w:rPr>
                <w:sz w:val="24"/>
                <w:szCs w:val="24"/>
                <w:color w:val="auto"/>
              </w:rPr>
            </w:pPr>
          </w:p>
        </w:tc>
        <w:tc>
          <w:tcPr>
            <w:tcW w:w="1960" w:type="dxa"/>
            <w:vAlign w:val="bottom"/>
            <w:gridSpan w:val="2"/>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800" w:type="dxa"/>
            <w:vAlign w:val="bottom"/>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300" w:type="dxa"/>
            <w:vAlign w:val="bottom"/>
            <w:gridSpan w:val="3"/>
          </w:tcPr>
          <w:p>
            <w:pPr>
              <w:spacing w:after="0"/>
              <w:rPr>
                <w:sz w:val="24"/>
                <w:szCs w:val="24"/>
                <w:color w:val="auto"/>
              </w:rPr>
            </w:pPr>
          </w:p>
        </w:tc>
        <w:tc>
          <w:tcPr>
            <w:tcW w:w="1960" w:type="dxa"/>
            <w:vAlign w:val="bottom"/>
            <w:gridSpan w:val="2"/>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240" w:type="dxa"/>
            <w:vAlign w:val="bottom"/>
            <w:gridSpan w:val="3"/>
          </w:tcPr>
          <w:p>
            <w:pPr>
              <w:jc w:val="center"/>
              <w:ind w:left="149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6"/>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214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gridSpan w:val="2"/>
          </w:tcPr>
          <w:p>
            <w:pPr>
              <w:jc w:val="center"/>
              <w:ind w:right="2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34</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2540" w:type="dxa"/>
            <w:vAlign w:val="bottom"/>
            <w:gridSpan w:val="2"/>
          </w:tcPr>
          <w:p>
            <w:pPr>
              <w:spacing w:after="0"/>
              <w:rPr>
                <w:sz w:val="24"/>
                <w:szCs w:val="24"/>
                <w:color w:val="auto"/>
              </w:rPr>
            </w:pPr>
          </w:p>
        </w:tc>
        <w:tc>
          <w:tcPr>
            <w:tcW w:w="3780" w:type="dxa"/>
            <w:vAlign w:val="bottom"/>
            <w:gridSpan w:val="6"/>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gridSpan w:val="2"/>
          </w:tcPr>
          <w:p>
            <w:pPr>
              <w:jc w:val="center"/>
              <w:ind w:right="2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35</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gridSpan w:val="12"/>
          </w:tcPr>
          <w:p>
            <w:pPr>
              <w:spacing w:after="0"/>
              <w:rPr>
                <w:sz w:val="20"/>
                <w:szCs w:val="20"/>
                <w:color w:val="auto"/>
              </w:rPr>
            </w:pPr>
            <w:r>
              <w:rPr>
                <w:rFonts w:ascii="Arial" w:cs="Arial" w:eastAsia="Arial" w:hAnsi="Arial"/>
                <w:sz w:val="18"/>
                <w:szCs w:val="18"/>
                <w:color w:val="auto"/>
              </w:rPr>
              <w:t>OTHER INFORMATION</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7180" w:type="dxa"/>
            <w:vAlign w:val="bottom"/>
            <w:gridSpan w:val="9"/>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gridSpan w:val="2"/>
          </w:tcPr>
          <w:p>
            <w:pPr>
              <w:jc w:val="center"/>
              <w:ind w:right="240"/>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36</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3740" w:type="dxa"/>
            <w:vAlign w:val="bottom"/>
            <w:gridSpan w:val="5"/>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gridSpan w:val="2"/>
          </w:tcPr>
          <w:p>
            <w:pPr>
              <w:jc w:val="center"/>
              <w:ind w:right="240"/>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36</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3740" w:type="dxa"/>
            <w:vAlign w:val="bottom"/>
            <w:gridSpan w:val="5"/>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gridSpan w:val="2"/>
          </w:tcPr>
          <w:p>
            <w:pPr>
              <w:jc w:val="center"/>
              <w:ind w:right="240"/>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240" w:type="dxa"/>
            <w:vAlign w:val="bottom"/>
            <w:gridSpan w:val="3"/>
          </w:tcPr>
          <w:p>
            <w:pPr>
              <w:jc w:val="center"/>
              <w:ind w:left="149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2018</w:t>
            </w:r>
          </w:p>
        </w:tc>
        <w:tc>
          <w:tcPr>
            <w:tcW w:w="0" w:type="dxa"/>
            <w:vAlign w:val="bottom"/>
          </w:tcPr>
          <w:p>
            <w:pPr>
              <w:spacing w:after="0"/>
              <w:rPr>
                <w:sz w:val="1"/>
                <w:szCs w:val="1"/>
                <w:color w:val="auto"/>
              </w:rPr>
            </w:pPr>
          </w:p>
        </w:tc>
      </w:tr>
      <w:tr>
        <w:trPr>
          <w:trHeight w:val="33"/>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98,091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85,086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doubtful accounts of $516 and $534, respectively</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59,561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54,407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Inventory, net of allowances of $69 and $113, respectively</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6,566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5,265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Prepaid expenses and other</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53,786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60,162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222,148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210,202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695,725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701,359</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324,890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366,029</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149,070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146,497</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369,715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Deferred charges and other assets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48,929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49,891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1,822,040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1,484,766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Current maturities of long-term debt, net of unamortized loan fees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27,939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20,618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27,657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35,987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Advanced billings and customer deposits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7,914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6,817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Current operating lease liabilities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42,941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Accrued liabilities and other</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14,513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14,563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88,539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spacing w:after="0"/>
              <w:rPr>
                <w:sz w:val="20"/>
                <w:szCs w:val="20"/>
                <w:color w:val="auto"/>
              </w:rPr>
            </w:pPr>
            <w:r>
              <w:rPr>
                <w:rFonts w:ascii="Arial" w:cs="Arial" w:eastAsia="Arial" w:hAnsi="Arial"/>
                <w:sz w:val="16"/>
                <w:szCs w:val="16"/>
                <w:color w:val="auto"/>
              </w:rPr>
              <w:t>Long-term debt, less current maturities, net of unamortized loan fees</w:t>
            </w:r>
          </w:p>
        </w:tc>
        <w:tc>
          <w:tcPr>
            <w:tcW w:w="3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719,067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749,624</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128,582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127,453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Deferred lease</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22,436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30,779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28,584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Retirement plan obligations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11,519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Noncurrent operating lease liabilities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327,868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15,559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Arial" w:cs="Arial" w:eastAsia="Arial" w:hAnsi="Arial"/>
                <w:sz w:val="16"/>
                <w:szCs w:val="16"/>
                <w:color w:val="auto"/>
              </w:rPr>
              <w:t>Total other long-term liabilities</w:t>
            </w:r>
          </w:p>
        </w:tc>
        <w:tc>
          <w:tcPr>
            <w:tcW w:w="3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513,143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204,356</w:t>
            </w:r>
          </w:p>
        </w:tc>
        <w:tc>
          <w:tcPr>
            <w:tcW w:w="0" w:type="dxa"/>
            <w:vAlign w:val="bottom"/>
          </w:tcPr>
          <w:p>
            <w:pPr>
              <w:spacing w:after="0"/>
              <w:rPr>
                <w:sz w:val="1"/>
                <w:szCs w:val="1"/>
                <w:color w:val="auto"/>
              </w:rPr>
            </w:pPr>
          </w:p>
        </w:tc>
      </w:tr>
      <w:tr>
        <w:trPr>
          <w:trHeight w:val="33"/>
        </w:trPr>
        <w:tc>
          <w:tcPr>
            <w:tcW w:w="7860" w:type="dxa"/>
            <w:vAlign w:val="bottom"/>
            <w:vMerge w:val="restart"/>
          </w:tcPr>
          <w:p>
            <w:pPr>
              <w:spacing w:after="0"/>
              <w:rPr>
                <w:sz w:val="20"/>
                <w:szCs w:val="20"/>
                <w:color w:val="auto"/>
              </w:rPr>
            </w:pPr>
            <w:r>
              <w:rPr>
                <w:rFonts w:ascii="Arial" w:cs="Arial" w:eastAsia="Arial" w:hAnsi="Arial"/>
                <w:sz w:val="16"/>
                <w:szCs w:val="16"/>
                <w:color w:val="auto"/>
              </w:rPr>
              <w:t>Shareholders’ equity:</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140"/>
              <w:spacing w:after="0"/>
              <w:rPr>
                <w:sz w:val="20"/>
                <w:szCs w:val="20"/>
                <w:color w:val="auto"/>
              </w:rPr>
            </w:pPr>
            <w:r>
              <w:rPr>
                <w:rFonts w:ascii="Arial" w:cs="Arial" w:eastAsia="Arial" w:hAnsi="Arial"/>
                <w:sz w:val="16"/>
                <w:szCs w:val="16"/>
                <w:color w:val="auto"/>
                <w:w w:val="95"/>
              </w:rPr>
              <w:t>Common stock, no par value, authorized 96,000; 49,857 and 49,630 issued and outstanding at June 30, 2019 and</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140"/>
              <w:spacing w:after="0"/>
              <w:rPr>
                <w:sz w:val="20"/>
                <w:szCs w:val="20"/>
                <w:color w:val="auto"/>
              </w:rPr>
            </w:pPr>
            <w:r>
              <w:rPr>
                <w:rFonts w:ascii="Arial" w:cs="Arial" w:eastAsia="Arial" w:hAnsi="Arial"/>
                <w:sz w:val="16"/>
                <w:szCs w:val="16"/>
                <w:color w:val="auto"/>
              </w:rPr>
              <w:t>December 31, 2018, respectively</w:t>
            </w:r>
          </w:p>
        </w:tc>
        <w:tc>
          <w:tcPr>
            <w:tcW w:w="34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Additional paid in capital</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47,456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413,571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386,511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net of taxes</w:t>
            </w:r>
          </w:p>
        </w:tc>
        <w:tc>
          <w:tcPr>
            <w:tcW w:w="3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3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462,049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442,247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Pr>
          <w:p>
            <w:pPr>
              <w:ind w:left="340"/>
              <w:spacing w:after="0"/>
              <w:rPr>
                <w:sz w:val="20"/>
                <w:szCs w:val="20"/>
                <w:color w:val="auto"/>
              </w:rPr>
            </w:pPr>
            <w:r>
              <w:rPr>
                <w:rFonts w:ascii="Arial" w:cs="Arial" w:eastAsia="Arial" w:hAnsi="Arial"/>
                <w:sz w:val="16"/>
                <w:szCs w:val="16"/>
                <w:color w:val="auto"/>
              </w:rPr>
              <w:t>Total liabilities and shareholders’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1,822,040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1,484,766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SHENANDOAH TELECOMMUNICATIONS COMPANY AND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34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6"/>
                <w:szCs w:val="16"/>
                <w:color w:val="auto"/>
              </w:rPr>
              <w:t>Operating revenue:</w:t>
            </w: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140"/>
              <w:spacing w:after="0"/>
              <w:rPr>
                <w:sz w:val="20"/>
                <w:szCs w:val="20"/>
                <w:color w:val="auto"/>
              </w:rPr>
            </w:pPr>
            <w:r>
              <w:rPr>
                <w:rFonts w:ascii="Arial" w:cs="Arial" w:eastAsia="Arial" w:hAnsi="Arial"/>
                <w:sz w:val="16"/>
                <w:szCs w:val="16"/>
                <w:color w:val="auto"/>
              </w:rPr>
              <w:t>Service revenue and other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142,059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140,492</w:t>
            </w:r>
          </w:p>
        </w:tc>
        <w:tc>
          <w:tcPr>
            <w:tcW w:w="3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285,290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277,051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16,855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16,009</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32,467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33,588</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revenue</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158,914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156,501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317,757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310,639</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49,497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49,134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99,015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98,476</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15,874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15,166</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30,511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30,971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27,170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29,915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55,892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58,665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42,353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41,117</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83,532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84,604</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134,894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135,332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268,950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272,716</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21,169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37,923</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(8,851)</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(18,183)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839</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13,157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21,568</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3,531</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5,359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13,150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9,626</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27,060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16,209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Unrealized gain (loss) on interest rate hedge, net of tax</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3,895</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8,938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10,459</w:t>
            </w:r>
          </w:p>
        </w:tc>
        <w:tc>
          <w:tcPr>
            <w:tcW w:w="34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20,104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Net income per share, basic and 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5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40" w:type="dxa"/>
            <w:vAlign w:val="bottom"/>
          </w:tcPr>
          <w:p>
            <w:pPr>
              <w:ind w:left="140"/>
              <w:spacing w:after="0"/>
              <w:rPr>
                <w:sz w:val="20"/>
                <w:szCs w:val="20"/>
                <w:color w:val="auto"/>
              </w:rPr>
            </w:pPr>
            <w:r>
              <w:rPr>
                <w:rFonts w:ascii="Arial" w:cs="Arial" w:eastAsia="Arial" w:hAnsi="Arial"/>
                <w:sz w:val="16"/>
                <w:szCs w:val="16"/>
                <w:color w:val="auto"/>
              </w:rPr>
              <w:t>Basic net income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0.19</w:t>
            </w:r>
          </w:p>
        </w:tc>
        <w:tc>
          <w:tcPr>
            <w:tcW w:w="34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Diluted net income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0.19</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Weighted average shares outstanding, basic</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49,848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49,547</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49,812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49,511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Weighted average shares outstanding, diluted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50,142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50,070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50,118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50,029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5"/>
        </w:trPr>
        <w:tc>
          <w:tcPr>
            <w:tcW w:w="42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4"/>
        </w:trPr>
        <w:tc>
          <w:tcPr>
            <w:tcW w:w="42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(Loss)</w:t>
            </w: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March 31, 2019</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49,844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46,641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400,421</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452,614</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13,150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13,150</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(4,212)</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695</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w:t>
            </w:r>
          </w:p>
        </w:tc>
      </w:tr>
      <w:tr>
        <w:trPr>
          <w:trHeight w:val="169"/>
        </w:trPr>
        <w:tc>
          <w:tcPr>
            <w:tcW w:w="4200" w:type="dxa"/>
            <w:vAlign w:val="bottom"/>
          </w:tcPr>
          <w:p>
            <w:pPr>
              <w:ind w:left="14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8"/>
        </w:trPr>
        <w:tc>
          <w:tcPr>
            <w:tcW w:w="420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37"/>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47,138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413,571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462,049</w:t>
            </w:r>
          </w:p>
        </w:tc>
      </w:tr>
      <w:tr>
        <w:trPr>
          <w:trHeight w:val="20"/>
        </w:trPr>
        <w:tc>
          <w:tcPr>
            <w:tcW w:w="4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6"/>
        </w:trPr>
        <w:tc>
          <w:tcPr>
            <w:tcW w:w="4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5"/>
        </w:trPr>
        <w:tc>
          <w:tcPr>
            <w:tcW w:w="42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4"/>
        </w:trPr>
        <w:tc>
          <w:tcPr>
            <w:tcW w:w="42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(Loss)</w:t>
            </w: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December 31, 2018</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49,630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47,456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386,511</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8,280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442,247</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27,060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27,060</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(6,940)</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2,497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2,497</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81</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169"/>
        </w:trPr>
        <w:tc>
          <w:tcPr>
            <w:tcW w:w="4200" w:type="dxa"/>
            <w:vAlign w:val="bottom"/>
          </w:tcPr>
          <w:p>
            <w:pPr>
              <w:ind w:left="14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2"/>
        </w:trPr>
        <w:tc>
          <w:tcPr>
            <w:tcW w:w="420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(2,912)</w:t>
            </w:r>
          </w:p>
        </w:tc>
      </w:tr>
      <w:tr>
        <w:trPr>
          <w:trHeight w:val="276"/>
        </w:trPr>
        <w:tc>
          <w:tcPr>
            <w:tcW w:w="4200" w:type="dxa"/>
            <w:vAlign w:val="bottom"/>
          </w:tcPr>
          <w:p>
            <w:pPr>
              <w:ind w:left="140"/>
              <w:spacing w:after="0"/>
              <w:rPr>
                <w:sz w:val="20"/>
                <w:szCs w:val="20"/>
                <w:color w:val="auto"/>
              </w:rPr>
            </w:pPr>
            <w:r>
              <w:rPr>
                <w:rFonts w:ascii="Arial" w:cs="Arial" w:eastAsia="Arial" w:hAnsi="Arial"/>
                <w:sz w:val="14"/>
                <w:szCs w:val="14"/>
                <w:color w:val="auto"/>
                <w:w w:val="98"/>
              </w:rPr>
              <w:t>Common stock issued to acquire non-controlling interest in nTelos</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47,138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413,571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462,049</w:t>
            </w:r>
          </w:p>
        </w:tc>
      </w:tr>
      <w:tr>
        <w:trPr>
          <w:trHeight w:val="20"/>
        </w:trPr>
        <w:tc>
          <w:tcPr>
            <w:tcW w:w="4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6"/>
        </w:trPr>
        <w:tc>
          <w:tcPr>
            <w:tcW w:w="42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4"/>
        </w:trPr>
        <w:tc>
          <w:tcPr>
            <w:tcW w:w="42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 Earnings</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March 31, 2018</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49,539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45,075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359,885</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11,292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416,252</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9,626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9,626</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gain, net of tax</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833</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1,370</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w:t>
            </w:r>
          </w:p>
        </w:tc>
      </w:tr>
      <w:tr>
        <w:trPr>
          <w:trHeight w:val="169"/>
        </w:trPr>
        <w:tc>
          <w:tcPr>
            <w:tcW w:w="4200" w:type="dxa"/>
            <w:vAlign w:val="bottom"/>
          </w:tcPr>
          <w:p>
            <w:pPr>
              <w:ind w:left="14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8"/>
        </w:trPr>
        <w:tc>
          <w:tcPr>
            <w:tcW w:w="420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37"/>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30, 2018</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49,558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46,172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369,511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12,125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427,808</w:t>
            </w:r>
          </w:p>
        </w:tc>
      </w:tr>
      <w:tr>
        <w:trPr>
          <w:trHeight w:val="20"/>
        </w:trPr>
        <w:tc>
          <w:tcPr>
            <w:tcW w:w="4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6"/>
        </w:trPr>
        <w:tc>
          <w:tcPr>
            <w:tcW w:w="42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4"/>
        </w:trPr>
        <w:tc>
          <w:tcPr>
            <w:tcW w:w="42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 Earnings</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December 31, 2017</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49,328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44,787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297,205</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8,230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350,222</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Change in Accounting Principle - Adoption of ASU 2014-09</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56,097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56,097</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16,209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16,209</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gain, net of tax</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3,895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3,895</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3,407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3,407</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104</w:t>
            </w: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169"/>
        </w:trPr>
        <w:tc>
          <w:tcPr>
            <w:tcW w:w="4200" w:type="dxa"/>
            <w:vAlign w:val="bottom"/>
          </w:tcPr>
          <w:p>
            <w:pPr>
              <w:ind w:left="14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2"/>
        </w:trPr>
        <w:tc>
          <w:tcPr>
            <w:tcW w:w="420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(2,136)</w:t>
            </w:r>
          </w:p>
        </w:tc>
      </w:tr>
      <w:tr>
        <w:trPr>
          <w:trHeight w:val="276"/>
        </w:trPr>
        <w:tc>
          <w:tcPr>
            <w:tcW w:w="4200" w:type="dxa"/>
            <w:vAlign w:val="bottom"/>
          </w:tcPr>
          <w:p>
            <w:pPr>
              <w:ind w:left="140"/>
              <w:spacing w:after="0"/>
              <w:rPr>
                <w:sz w:val="20"/>
                <w:szCs w:val="20"/>
                <w:color w:val="auto"/>
              </w:rPr>
            </w:pPr>
            <w:r>
              <w:rPr>
                <w:rFonts w:ascii="Arial" w:cs="Arial" w:eastAsia="Arial" w:hAnsi="Arial"/>
                <w:sz w:val="14"/>
                <w:szCs w:val="14"/>
                <w:color w:val="auto"/>
                <w:w w:val="98"/>
              </w:rPr>
              <w:t>Common stock issued to acquire non-controlling interest in nTelos</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1"/>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30, 2018</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49,558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46,172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369,511</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12,125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427,808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7620</wp:posOffset>
            </wp:positionV>
            <wp:extent cx="45535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3585" cy="2603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4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27,060</w:t>
            </w:r>
          </w:p>
        </w:tc>
        <w:tc>
          <w:tcPr>
            <w:tcW w:w="2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16,209</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72,737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71,637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10,795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12,967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Accretion of asset retirement obligations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Stock based compensation expense, net of amount capitalized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2,307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Net gain from patronage and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of long-term debt issuance costs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1,648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Inventory,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Current income taxes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16,722</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25,389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Waived management fee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18,606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6,311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(21,880)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lease</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deferrals and accruals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129,632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127,144</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(79,124)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(62,322)</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disbursed for acquisitions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(113,878)</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(24,777)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(24,250)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 borrowings</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revolving credit facility</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exercises of stock options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Taxes paid for equity award issuances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(26,282)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1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85,086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78,585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98,091</w:t>
            </w:r>
          </w:p>
        </w:tc>
        <w:tc>
          <w:tcPr>
            <w:tcW w:w="2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65,569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0740"/>
          </w:cols>
          <w:pgMar w:left="240" w:top="125" w:right="919" w:bottom="1440" w:gutter="0" w:footer="0" w:header="0"/>
        </w:sectPr>
      </w:pP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40"/>
          </w:cols>
          <w:pgMar w:left="240" w:top="125" w:right="91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2018 Annual Report on Form 10-K, that would be expected to impact the Company except for the following: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adopted ASU No.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as of January 1, 2019. The Company elected not to reclassify stranded income tax effects from accumulated other comprehensive income (OCI) to retained earnings and has implemented this election as its accounting policy as of January 1, 2019. The Company utilizes the portfolio approach as its policy to release the income tax effects from accumulated OCI as the entire portfolio is liquidated, sold, or extinguished.</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or “</w:t>
      </w:r>
      <w:r>
        <w:rPr>
          <w:rFonts w:ascii="Arial" w:cs="Arial" w:eastAsia="Arial" w:hAnsi="Arial"/>
          <w:sz w:val="17"/>
          <w:szCs w:val="17"/>
          <w:i w:val="1"/>
          <w:iCs w:val="1"/>
          <w:color w:val="auto"/>
        </w:rPr>
        <w:t>the new lease standard</w:t>
      </w:r>
      <w:r>
        <w:rPr>
          <w:rFonts w:ascii="Arial" w:cs="Arial" w:eastAsia="Arial" w:hAnsi="Arial"/>
          <w:sz w:val="17"/>
          <w:szCs w:val="17"/>
          <w:color w:val="auto"/>
        </w:rPr>
        <w:t>”) on January 1, 2019. Topic 842 replaces previous leasing guidance with a comprehensive lease measurement and recognition standard and expanded disclosure requirements. Topic 842 requires lessees to recognize most leases on their balance sheet as liabilities, with corresponding right-of-use, or ROU assets. The Company adopted the new lease standard utilizing the modified retrospective approach. As a result, comparable period information has not been retrospectively updated. The modified retrospective approach includes a package of optional practical expedients that we elected to apply. As a result, the Company did not reassess prior conclusions regarding lease identification, lease classification and initial direct costs under the new standard. In those circumstances where the Company is the lessee, we have elected to account for non-lease components associated with our leases (e.g., maintenance costs) and lease components as a single lease component for substantially all of our asset classes under Topic 842.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various cell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Under the new lease standard, leases are remeasured upon the occurrence of certain events or modifications.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new lease standard did not materially impact the Company's consolidated net earnings, cash flows, liquidity, or loan covenants.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of the changes made to the consolidated January 1, 2019 balance sheet for the adoption of the new lease standard were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 xml:space="preserve">December 31, 2018 </w:t>
            </w:r>
            <w:r>
              <w:rPr>
                <w:rFonts w:ascii="Arial" w:cs="Arial" w:eastAsia="Arial" w:hAnsi="Arial"/>
                <w:sz w:val="18"/>
                <w:szCs w:val="18"/>
                <w:b w:val="1"/>
                <w:bCs w:val="1"/>
                <w:i w:val="1"/>
                <w:iCs w:val="1"/>
                <w:color w:val="auto"/>
                <w:w w:val="89"/>
              </w:rPr>
              <w:t>As</w:t>
            </w: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Effect of the Adoption of</w:t>
            </w:r>
          </w:p>
        </w:tc>
        <w:tc>
          <w:tcPr>
            <w:tcW w:w="240" w:type="dxa"/>
            <w:vAlign w:val="bottom"/>
          </w:tcPr>
          <w:p>
            <w:pPr>
              <w:spacing w:after="0"/>
              <w:rPr>
                <w:sz w:val="18"/>
                <w:szCs w:val="18"/>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 xml:space="preserve">January 1, 2019 </w:t>
            </w:r>
            <w:r>
              <w:rPr>
                <w:rFonts w:ascii="Arial" w:cs="Arial" w:eastAsia="Arial" w:hAnsi="Arial"/>
                <w:sz w:val="18"/>
                <w:szCs w:val="18"/>
                <w:b w:val="1"/>
                <w:bCs w:val="1"/>
                <w:i w:val="1"/>
                <w:iCs w:val="1"/>
                <w:color w:val="auto"/>
                <w:w w:val="94"/>
              </w:rPr>
              <w:t>As</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0"/>
                <w:szCs w:val="20"/>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i w:val="1"/>
                <w:iCs w:val="1"/>
                <w:color w:val="auto"/>
                <w:w w:val="85"/>
              </w:rPr>
              <w:t>Previously Reported</w:t>
            </w: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ASC Topic 842 (Leases)</w:t>
            </w:r>
          </w:p>
        </w:tc>
        <w:tc>
          <w:tcPr>
            <w:tcW w:w="240" w:type="dxa"/>
            <w:vAlign w:val="bottom"/>
          </w:tcPr>
          <w:p>
            <w:pPr>
              <w:spacing w:after="0"/>
              <w:rPr>
                <w:sz w:val="20"/>
                <w:szCs w:val="20"/>
                <w:color w:val="auto"/>
              </w:rPr>
            </w:pPr>
          </w:p>
        </w:tc>
        <w:tc>
          <w:tcPr>
            <w:tcW w:w="1920" w:type="dxa"/>
            <w:vAlign w:val="bottom"/>
          </w:tcPr>
          <w:p>
            <w:pPr>
              <w:jc w:val="right"/>
              <w:ind w:right="670"/>
              <w:spacing w:after="0"/>
              <w:rPr>
                <w:sz w:val="20"/>
                <w:szCs w:val="20"/>
                <w:color w:val="auto"/>
              </w:rPr>
            </w:pPr>
            <w:r>
              <w:rPr>
                <w:rFonts w:ascii="Arial" w:cs="Arial" w:eastAsia="Arial" w:hAnsi="Arial"/>
                <w:sz w:val="18"/>
                <w:szCs w:val="18"/>
                <w:b w:val="1"/>
                <w:bCs w:val="1"/>
                <w:i w:val="1"/>
                <w:iCs w:val="1"/>
                <w:color w:val="auto"/>
              </w:rPr>
              <w:t>Adjusted</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60,162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48,582</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701,359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703,148</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3"/>
                <w:szCs w:val="23"/>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369,344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369,344</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366,029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352,201</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23"/>
                <w:szCs w:val="23"/>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38,773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38,773</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14,563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Deferred Lease</w:t>
            </w:r>
          </w:p>
        </w:tc>
        <w:tc>
          <w:tcPr>
            <w:tcW w:w="2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22,436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(22,436)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23"/>
                <w:szCs w:val="23"/>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328,156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328,156</w:t>
            </w:r>
          </w:p>
        </w:tc>
        <w:tc>
          <w:tcPr>
            <w:tcW w:w="0" w:type="dxa"/>
            <w:vAlign w:val="bottom"/>
          </w:tcPr>
          <w:p>
            <w:pPr>
              <w:spacing w:after="0"/>
              <w:rPr>
                <w:sz w:val="1"/>
                <w:szCs w:val="1"/>
                <w:color w:val="auto"/>
              </w:rPr>
            </w:pPr>
          </w:p>
        </w:tc>
      </w:tr>
      <w:tr>
        <w:trPr>
          <w:trHeight w:val="270"/>
        </w:trPr>
        <w:tc>
          <w:tcPr>
            <w:tcW w:w="454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14,364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16,008</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recognizing the operating lease liabilities and right-of-use assets, Topic 842 also reclassified prepaid and deferred rent balances, off-market leases, and lease incentives into the right-of-use assets.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following table shows the components of lease income and costs:</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w:t>
            </w: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16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Lease income from operating leases - fixed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4,070</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7"/>
        </w:trPr>
        <w:tc>
          <w:tcPr>
            <w:tcW w:w="6740" w:type="dxa"/>
            <w:vAlign w:val="bottom"/>
          </w:tcPr>
          <w:p>
            <w:pPr>
              <w:ind w:left="180"/>
              <w:spacing w:after="0"/>
              <w:rPr>
                <w:sz w:val="20"/>
                <w:szCs w:val="20"/>
                <w:color w:val="auto"/>
              </w:rPr>
            </w:pPr>
            <w:r>
              <w:rPr>
                <w:rFonts w:ascii="Arial" w:cs="Arial" w:eastAsia="Arial" w:hAnsi="Arial"/>
                <w:sz w:val="18"/>
                <w:szCs w:val="18"/>
                <w:color w:val="auto"/>
              </w:rPr>
              <w:t>Operating lease expense</w:t>
            </w:r>
          </w:p>
        </w:tc>
        <w:tc>
          <w:tcPr>
            <w:tcW w:w="12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16,752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33,660</w:t>
            </w:r>
          </w:p>
        </w:tc>
      </w:tr>
      <w:tr>
        <w:trPr>
          <w:trHeight w:val="540"/>
        </w:trPr>
        <w:tc>
          <w:tcPr>
            <w:tcW w:w="6740" w:type="dxa"/>
            <w:vAlign w:val="bottom"/>
          </w:tcPr>
          <w:p>
            <w:pPr>
              <w:ind w:left="180"/>
              <w:spacing w:after="0"/>
              <w:rPr>
                <w:sz w:val="20"/>
                <w:szCs w:val="20"/>
                <w:color w:val="auto"/>
              </w:rPr>
            </w:pPr>
            <w:r>
              <w:rPr>
                <w:rFonts w:ascii="Arial" w:cs="Arial" w:eastAsia="Arial" w:hAnsi="Arial"/>
                <w:sz w:val="18"/>
                <w:szCs w:val="18"/>
                <w:color w:val="auto"/>
              </w:rPr>
              <w:t>Amortization of finance lease assets</w:t>
            </w:r>
          </w:p>
        </w:tc>
        <w:tc>
          <w:tcPr>
            <w:tcW w:w="12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Interest on finance lease liabilities</w:t>
            </w:r>
          </w:p>
        </w:tc>
        <w:tc>
          <w:tcPr>
            <w:tcW w:w="1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Subtotal finance lease cost</w:t>
            </w:r>
          </w:p>
        </w:tc>
        <w:tc>
          <w:tcPr>
            <w:tcW w:w="12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lease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16,898</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33,946</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sublease income from operating leases relates to fixed lease payments.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operating lease expenses, including short-term and variable lease expenses, are split between cost of service and selling, general and administrative expense in the condensed consolidated statements of operations based on the use of the facility that the rent is being paid on. Operating lease expense includes variable lease payments and short-term lease expense, both of which are immaterial. Variable lease expenses represent payments that are dependent on a rate or index, or on usage of the asset.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w w:val="94"/>
              </w:rPr>
              <w:t>The following table summarizes other information related to operating and finance leases:</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w:t>
            </w: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16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7"/>
        </w:trPr>
        <w:tc>
          <w:tcPr>
            <w:tcW w:w="6740" w:type="dxa"/>
            <w:vAlign w:val="bottom"/>
          </w:tcPr>
          <w:p>
            <w:pPr>
              <w:ind w:left="40"/>
              <w:spacing w:after="0"/>
              <w:rPr>
                <w:sz w:val="20"/>
                <w:szCs w:val="20"/>
                <w:color w:val="auto"/>
              </w:rPr>
            </w:pPr>
            <w:r>
              <w:rPr>
                <w:rFonts w:ascii="Arial" w:cs="Arial" w:eastAsia="Arial" w:hAnsi="Arial"/>
                <w:sz w:val="18"/>
                <w:szCs w:val="18"/>
                <w:color w:val="auto"/>
              </w:rPr>
              <w:t>Operating cash flows used by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15,873</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30,544</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25,760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200" w:type="dxa"/>
            <w:vAlign w:val="bottom"/>
            <w:gridSpan w:val="2"/>
          </w:tcPr>
          <w:p>
            <w:pPr>
              <w:spacing w:after="0"/>
              <w:rPr>
                <w:sz w:val="20"/>
                <w:szCs w:val="20"/>
                <w:color w:val="auto"/>
              </w:rPr>
            </w:pPr>
            <w:r>
              <w:rPr>
                <w:rFonts w:ascii="Arial" w:cs="Arial" w:eastAsia="Arial" w:hAnsi="Arial"/>
                <w:sz w:val="18"/>
                <w:szCs w:val="18"/>
                <w:color w:val="auto"/>
              </w:rPr>
              <w:t>The following table summarizes the lease terms and discount rates: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120" w:type="dxa"/>
            <w:vAlign w:val="bottom"/>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1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40"/>
              <w:spacing w:after="0"/>
              <w:rPr>
                <w:sz w:val="20"/>
                <w:szCs w:val="20"/>
                <w:color w:val="auto"/>
              </w:rPr>
            </w:pPr>
            <w:r>
              <w:rPr>
                <w:rFonts w:ascii="Arial" w:cs="Arial" w:eastAsia="Arial" w:hAnsi="Arial"/>
                <w:sz w:val="18"/>
                <w:szCs w:val="18"/>
                <w:color w:val="auto"/>
              </w:rPr>
              <w:t xml:space="preserve">Weighted-average remaining lease term </w:t>
            </w:r>
            <w:r>
              <w:rPr>
                <w:rFonts w:ascii="Arial" w:cs="Arial" w:eastAsia="Arial" w:hAnsi="Arial"/>
                <w:sz w:val="18"/>
                <w:szCs w:val="18"/>
                <w:i w:val="1"/>
                <w:iCs w:val="1"/>
                <w:color w:val="auto"/>
              </w:rPr>
              <w:t>(years)</w:t>
            </w: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2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maturity of lease liabilities at June 30, 2019:</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Finance Leases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27,397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27,489</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62,536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62,710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61,151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61,325</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58,134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58,308</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54,491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54,665</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2024 and thereafter</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184,800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186,499</w:t>
            </w: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12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448,509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450,996</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77,700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78,471</w:t>
            </w: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000" w:type="dxa"/>
            <w:vAlign w:val="bottom"/>
          </w:tcPr>
          <w:p>
            <w:pPr>
              <w:ind w:left="1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370,809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372,525</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finance lease liabilities are presented in the accrued liabilities and other and the other liabilities lines of the unaudited condensed consolidated balance sheets. The related finance lease assets are included in the property, plant and equipment 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commitments under leases existing as of December 31, 2018 were approximately $55.1 million for the year ending December 31, 2019, $104.4 million in total for the years ending December 31, 2020 and 2021, $97.6 million in total for the years ending December 31, 2022 and 2023 and $168.5 million in total for years thereafter.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also the lessor on agreements to lease assets such as collocation space at cell sites and dedicated fiber-optic strands to third parties. These agreements were accounted for as operating leases both before and after adoption of the new lease standard. The new lease standard did not have a significant impact on the recognition of lease revenue associated with these agreements. The following table summarizes the total minimum rental receipts under lease agreements at June 30, 2019:</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6,453</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4,377</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2024 and thereafter</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140" w:type="dxa"/>
            <w:vAlign w:val="bottom"/>
          </w:tcPr>
          <w:p>
            <w:pPr>
              <w:ind w:left="120"/>
              <w:spacing w:after="0"/>
              <w:rPr>
                <w:sz w:val="20"/>
                <w:szCs w:val="20"/>
                <w:color w:val="auto"/>
              </w:rPr>
            </w:pPr>
            <w:r>
              <w:rPr>
                <w:rFonts w:ascii="Arial" w:cs="Arial" w:eastAsia="Arial" w:hAnsi="Arial"/>
                <w:sz w:val="18"/>
                <w:szCs w:val="18"/>
                <w:color w:val="auto"/>
              </w:rPr>
              <w:t>Total lease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earns revenue primarily through the sale of its wireless service. Additional revenue is earned from the sale of wireless equipment; from business, residential and enterprise services which provide video, broadband, voice and data services; and from tower and other services. 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for a tabular summary of revenue for the three and six months ended June 30, 2019.</w:t>
      </w:r>
    </w:p>
    <w:p>
      <w:pPr>
        <w:sectPr>
          <w:pgSz w:w="11900" w:h="16838" w:orient="portrait"/>
          <w:cols w:equalWidth="0" w:num="1">
            <w:col w:w="11420"/>
          </w:cols>
          <w:pgMar w:left="240" w:top="10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08" w:right="2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service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earns revenue primarily through the sale of its wireless service by providing network access to Sprint under the affiliate agreement. Wireless service revenue is variable based on billed revenue to Sprint’s subscribers that originated in the Company's affiliate area, less applicable fees retained by Sprint.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related to Sprint’s postpaid customers is the amount that Sprint bills its postpaid subscribers, reduced by customer credits, write-offs of receivables, and 8% management and 8.6% service fees. The Company is also charged for the costs of subsidized handsets sold through Sprint’s national channels as well as commissions paid by Sprint to third-party resellers in the Company's service territory.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 related to Sprint’s prepaid customers is the amount that Sprint bills its prepaid subscribers, reduced by costs to acquire and support the customers, based on national averages for Sprint’s prepaid programs, and a 6% management fee.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considers Sprint, rather than Sprint's subscribers, to be the customer and the Company's performance obligation is to provide Sprint a series of continuous network access services within the Sprint Affiliate Area. The Company determined that reimbursements to Sprint including the cost of prepaid handsets and commissions, and postpaid commissions paid by Sprint to third-party resellers, represent consideration payable to a customer. These reimbursements are initially recorded as a contract asset and are subsequently recognized as a reduction of revenue over the expected benefit period between 21 and 53 months. Contract asset balances and activity for 2019 were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Six Months Ended</w:t>
            </w:r>
          </w:p>
        </w:tc>
      </w:tr>
      <w:tr>
        <w:trPr>
          <w:trHeight w:val="234"/>
        </w:trPr>
        <w:tc>
          <w:tcPr>
            <w:tcW w:w="450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2019</w:t>
            </w:r>
          </w:p>
        </w:tc>
        <w:tc>
          <w:tcPr>
            <w:tcW w:w="16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Contract payments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450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equipment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earns revenue through the sale of wireless equipment. The Company owns and operates Sprint-branded retail stores within the Sprint Affiliate Area from which the Company sells equipment, primarily wireless handsets, and service to Sprint subscribers. The Company's equipment is predominantly sold to subscribers through Sprint's equipment financing plans. Under the equipment financing plans, Sprint purchases the equipment from the Company and resells the equipment to its subscribers. The Company is the principal in these equipment financing transactions, as it controls and bears the risk of ownership of the inventory prior to sale, and accordingly, revenue and handset costs are recorded on a gross basis, and the corresponding cost of the equipment is recorded separately to cost of goods sold.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residential and enterprise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earns revenue in the Cable and Wireline segments from the sale of business, residential, and enterprise services to customers where the performance obligations are to provide cable, broadband, and telephone network services, sell and lease equipment and wiring services, and lease fiber-optic cable. The Company's arrangements for residential services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this revenue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Installation fees are allocated to services and are recognized ratably over the longer of the contract term or the period the unrecognized portion of the fee remains material to the contract, typically 10 and 11 months for Cable and Wireline customers, respectively. Additionally, the Company incurs commission and installation costs related to in-house employees and third-party vendors which are capitalized and amortized over the expected benefit period which is approximately 44 months and 72 months for Cable and Wireline,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and Other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also earns revenue from tower and other services. Tower revenue consists primarily of tower collocation space on cell towers owned by the Company accounted for under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Other revenue includes network access-related charges for service provided to customers across the segments.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performance obligations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June 30, 2019, the Company had approximately $3.4 million allocated to unsatisfied performance obligations, which excludes contracts with original expected duration of one year or less. The following table summarizes the approximate amounts expected to be recognized as revenue after June 30, 2019.</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Amount Expected to be</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Recognized as Revenue:</w:t>
            </w:r>
          </w:p>
        </w:tc>
        <w:tc>
          <w:tcPr>
            <w:tcW w:w="0" w:type="dxa"/>
            <w:vAlign w:val="bottom"/>
          </w:tcPr>
          <w:p>
            <w:pPr>
              <w:spacing w:after="0"/>
              <w:rPr>
                <w:sz w:val="1"/>
                <w:szCs w:val="1"/>
                <w:color w:val="auto"/>
              </w:rPr>
            </w:pPr>
          </w:p>
        </w:tc>
      </w:tr>
      <w:tr>
        <w:trPr>
          <w:trHeight w:val="27"/>
        </w:trPr>
        <w:tc>
          <w:tcPr>
            <w:tcW w:w="218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2022 and thereafter</w:t>
            </w:r>
          </w:p>
        </w:tc>
        <w:tc>
          <w:tcPr>
            <w:tcW w:w="16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18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 and costs to fulfill contracts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Capitalized contract costs represent contract fulfillment costs and contract acquisition costs which include commissions and installation costs in our Cable and Wireline segments. Capitalized contract costs are amortized on a straight-line basis over the average customer life. The Company elected to apply the practical expedient to expense contract acquisition costs when incurred, if the amortization period would be twelve months or less. The amortization of these costs is included in cost of services, and selling, general and administrative expenses. Amortized and capitalized costs for Cable and Wireline contracts were as follows: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Six Months Ended</w:t>
            </w:r>
          </w:p>
        </w:tc>
      </w:tr>
      <w:tr>
        <w:trPr>
          <w:trHeight w:val="234"/>
        </w:trPr>
        <w:tc>
          <w:tcPr>
            <w:tcW w:w="450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2019</w:t>
            </w:r>
          </w:p>
        </w:tc>
        <w:tc>
          <w:tcPr>
            <w:tcW w:w="16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Contract payments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450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Sandy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February 28, 2019, the Company completed its preliminary valuation for the acquisition of the assets of Big Sandy Broadband, Inc. ("Big Sandy") for $10 million and recorded $4.6 million of property, plant and equipment; $2.8 million of subscriber relationships; and $2.6 million of goodwill which is reported in the Cable segment and was accounted for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estimated remaining useful lives of the acquired property, plant and equipment were approximately 2.5 years to 12.5 years and the estimated useful lives for subscriber relationships were 7 years at the time of the acquisition. Big Sandy was a provider of cable television, telephone and high speed internet services. Our preliminary allocation of the acquisition price is based on our preliminary estimate of fair value for each of the acquired assets and liabilities. These estimates may be revised during the one year measurement period provided by the authoritative guidance applicable to business combinations.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1999, the Company executed a Management Agreement (the “Agreement”) with Sprint whereby the Company committed to construct and operate a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Effective February 1, 2018, the Company amended its Agreement with Sprint to expand its wireless service area to include certain areas in Kentucky, Pennsylvania, Virginia and West Virginia.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by either party, the Company may cause Sprint to buy or Sprint may cause the Company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Shentel has continued access to the spectrum. Determination of EBV is made by an independent appraisal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 ("EPS")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EPS was computed by dividing net income by the weighted average number of shares of common stock outstanding. Diluted EPS was computed under the treasury stock method by dividing net income by the sum of the weighted average number of shares of common stock outstanding and potentially dilutive securities outstanding during the period under the treasury stock method. Potentially dilutive securities include unvested equity awards that are expected to vest and shares that the Company is contractually obligated to issue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8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6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0"/>
                <w:szCs w:val="20"/>
                <w:color w:val="auto"/>
              </w:rPr>
            </w:pPr>
          </w:p>
        </w:tc>
        <w:tc>
          <w:tcPr>
            <w:tcW w:w="16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5080" w:type="dxa"/>
            <w:vAlign w:val="bottom"/>
            <w:vMerge w:val="restart"/>
          </w:tcPr>
          <w:p>
            <w:pPr>
              <w:spacing w:after="0"/>
              <w:rPr>
                <w:sz w:val="20"/>
                <w:szCs w:val="20"/>
                <w:color w:val="auto"/>
              </w:rPr>
            </w:pPr>
            <w:r>
              <w:rPr>
                <w:rFonts w:ascii="Arial" w:cs="Arial" w:eastAsia="Arial" w:hAnsi="Arial"/>
                <w:sz w:val="18"/>
                <w:szCs w:val="18"/>
                <w:color w:val="auto"/>
              </w:rPr>
              <w:t>Calculation of net income per share:</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13,150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27,060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70"/>
        </w:trPr>
        <w:tc>
          <w:tcPr>
            <w:tcW w:w="508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24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5080" w:type="dxa"/>
            <w:vAlign w:val="bottom"/>
            <w:vMerge w:val="restart"/>
          </w:tcPr>
          <w:p>
            <w:pPr>
              <w:spacing w:after="0"/>
              <w:rPr>
                <w:sz w:val="20"/>
                <w:szCs w:val="20"/>
                <w:color w:val="auto"/>
              </w:rPr>
            </w:pPr>
            <w:r>
              <w:rPr>
                <w:rFonts w:ascii="Arial" w:cs="Arial" w:eastAsia="Arial" w:hAnsi="Arial"/>
                <w:sz w:val="18"/>
                <w:szCs w:val="18"/>
                <w:color w:val="auto"/>
              </w:rPr>
              <w:t>Effect of stock options outstanding:</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70"/>
        </w:trPr>
        <w:tc>
          <w:tcPr>
            <w:tcW w:w="508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50,029</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Awards excluded from the computation of diluted net income per share because their inclusion would have been anti-dilutive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4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31"/>
        </w:trPr>
        <w:tc>
          <w:tcPr>
            <w:tcW w:w="7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122"/>
        </w:trPr>
        <w:tc>
          <w:tcPr>
            <w:tcW w:w="7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420"/>
            <w:col w:w="5220"/>
          </w:cols>
          <w:pgMar w:left="240" w:top="125"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Note 7. Investments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Investments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5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40"/>
              <w:spacing w:after="0"/>
              <w:rPr>
                <w:sz w:val="20"/>
                <w:szCs w:val="20"/>
                <w:color w:val="auto"/>
              </w:rPr>
            </w:pPr>
            <w:r>
              <w:rPr>
                <w:rFonts w:ascii="Arial" w:cs="Arial" w:eastAsia="Arial" w:hAnsi="Arial"/>
                <w:sz w:val="18"/>
                <w:szCs w:val="18"/>
                <w:color w:val="auto"/>
              </w:rPr>
              <w:t>Domestic equity funds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International equity funds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investments carried at fair value</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CoBank</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Equity in other telecommunications partners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investments carried at cost</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equity method investments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324"/>
        </w:trPr>
        <w:tc>
          <w:tcPr>
            <w:tcW w:w="554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classification for investments at the date individual investments are acquired. The appropriateness of such classification is periodically reassessed. The Company monitors the value of all investments, and based on factors such as market conditions, financial information and industry conditions, the Company reflects impairments in values when warranted. The domestic and international equity funds are carried at their fair value as determined by using the net asset value expedient.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0"/>
              </w:rPr>
              <w:t>Estimated Useful</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6"/>
              </w:rPr>
              <w:t>Lives</w:t>
            </w: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Buildings and structures</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4"/>
          </w:tcPr>
          <w:p>
            <w:pPr>
              <w:jc w:val="center"/>
              <w:ind w:right="700"/>
              <w:spacing w:after="0"/>
              <w:rPr>
                <w:sz w:val="20"/>
                <w:szCs w:val="20"/>
                <w:color w:val="auto"/>
              </w:rPr>
            </w:pPr>
            <w:r>
              <w:rPr>
                <w:rFonts w:ascii="Arial" w:cs="Arial" w:eastAsia="Arial" w:hAnsi="Arial"/>
                <w:sz w:val="18"/>
                <w:szCs w:val="18"/>
                <w:color w:val="auto"/>
                <w:w w:val="89"/>
              </w:rPr>
              <w:t>10 - 40 years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227,825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213,657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Cable and fiber</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4"/>
          </w:tcPr>
          <w:p>
            <w:pPr>
              <w:jc w:val="center"/>
              <w:ind w:right="680"/>
              <w:spacing w:after="0"/>
              <w:rPr>
                <w:sz w:val="20"/>
                <w:szCs w:val="20"/>
                <w:color w:val="auto"/>
              </w:rPr>
            </w:pPr>
            <w:r>
              <w:rPr>
                <w:rFonts w:ascii="Arial" w:cs="Arial" w:eastAsia="Arial" w:hAnsi="Arial"/>
                <w:sz w:val="18"/>
                <w:szCs w:val="18"/>
                <w:color w:val="auto"/>
                <w:w w:val="88"/>
              </w:rPr>
              <w:t>4 - 40 years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319,750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309,928</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Equipment and software</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4"/>
          </w:tcPr>
          <w:p>
            <w:pPr>
              <w:jc w:val="center"/>
              <w:ind w:right="680"/>
              <w:spacing w:after="0"/>
              <w:rPr>
                <w:sz w:val="20"/>
                <w:szCs w:val="20"/>
                <w:color w:val="auto"/>
              </w:rPr>
            </w:pPr>
            <w:r>
              <w:rPr>
                <w:rFonts w:ascii="Arial" w:cs="Arial" w:eastAsia="Arial" w:hAnsi="Arial"/>
                <w:sz w:val="18"/>
                <w:szCs w:val="18"/>
                <w:color w:val="auto"/>
                <w:w w:val="88"/>
              </w:rPr>
              <w:t>2 - 17 years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813,393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791,401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Plant in service</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1,367,904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1,321,709</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Plant under construction</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81,191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81,409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1,449,095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1,403,118</w:t>
            </w:r>
          </w:p>
        </w:tc>
        <w:tc>
          <w:tcPr>
            <w:tcW w:w="0" w:type="dxa"/>
            <w:vAlign w:val="bottom"/>
          </w:tcPr>
          <w:p>
            <w:pPr>
              <w:spacing w:after="0"/>
              <w:rPr>
                <w:sz w:val="1"/>
                <w:szCs w:val="1"/>
                <w:color w:val="auto"/>
              </w:rPr>
            </w:pP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w w:val="93"/>
              </w:rPr>
              <w:t>Less: accumulated amortization and depreciation</w:t>
            </w: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753,370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701,759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695,725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701,359</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Note 9. Goodwill and Other Intangible Assets</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w w:val="97"/>
              </w:rPr>
              <w:t>Goodwill by segment consisted of the following:</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December 31, 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Wireless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146,383</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146,383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Cable</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Wireline</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Total Goodwill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149,070</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146,497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08"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340" w:type="dxa"/>
            <w:vAlign w:val="bottom"/>
            <w:gridSpan w:val="2"/>
          </w:tcPr>
          <w:p>
            <w:pPr>
              <w:spacing w:after="0"/>
              <w:rPr>
                <w:sz w:val="20"/>
                <w:szCs w:val="20"/>
                <w:color w:val="auto"/>
              </w:rPr>
            </w:pPr>
            <w:r>
              <w:rPr>
                <w:rFonts w:ascii="Arial" w:cs="Arial" w:eastAsia="Arial" w:hAnsi="Arial"/>
                <w:sz w:val="18"/>
                <w:szCs w:val="18"/>
                <w:color w:val="auto"/>
                <w:w w:val="95"/>
              </w:rPr>
              <w:t>Intangible assets consisted of the following:</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2019</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Amortization and</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Amortization and</w:t>
            </w:r>
          </w:p>
        </w:tc>
        <w:tc>
          <w:tcPr>
            <w:tcW w:w="300" w:type="dxa"/>
            <w:vAlign w:val="bottom"/>
          </w:tcPr>
          <w:p>
            <w:pPr>
              <w:spacing w:after="0"/>
              <w:rPr>
                <w:sz w:val="12"/>
                <w:szCs w:val="12"/>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Railroad crossing rights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non-amortizing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Sprint affiliate contract expansion -</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Wireless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455,305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(197,783)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257,522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455,305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287,475</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28,065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finite-lived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483,833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(223,418)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260,415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496,776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301,554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38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548,308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(223,418)</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324,890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561,251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(195,222)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366,029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Affiliate contract expansion is amortized over the expected benefit period and is further reduced by the amount of waived management fees received from Sprint which were $9.7 million and $19.3 million for the three and six months ended June 30, 2019, respectively. Since May 6, 2016, the date of the non-monetary exchange, waived management fees received from Sprint have totaled $117.7 million, and we expect to collect another $137.9 million through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uses derivative financial instruments to manage its exposure to interest rate risk for its long-term variable-rate debt through interest rate swaps. The Company's interest rate swaps are all designated as cash flow hedges, and involve the receipt of variable-rate amounts from counterparties in exchange for the Company making fixed-rate payments over the life of the agreements without exchange of the underlying notional amount.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outstanding notional amounts of the cash flow hedge which is composed of interest rate swap contracts were $361.9 million and $384.0 million as of June 30, 2019 and December 31, 2018, respectively.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table below presents the fair value of the Company’s derivative financial instruments as well as their classification in the condensed consolidated balance sheets. The fair value of these instruments was estimated using an income approach and observable market inputs (Level II):</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62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08"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20" w:type="dxa"/>
            <w:vAlign w:val="bottom"/>
            <w:gridSpan w:val="10"/>
          </w:tcPr>
          <w:p>
            <w:pPr>
              <w:spacing w:after="0"/>
              <w:rPr>
                <w:sz w:val="20"/>
                <w:szCs w:val="20"/>
                <w:color w:val="auto"/>
              </w:rPr>
            </w:pPr>
            <w:r>
              <w:rPr>
                <w:rFonts w:ascii="Arial" w:cs="Arial" w:eastAsia="Arial" w:hAnsi="Arial"/>
                <w:sz w:val="18"/>
                <w:szCs w:val="18"/>
                <w:color w:val="auto"/>
                <w:w w:val="96"/>
              </w:rPr>
              <w:t>The table below summarizes changes in accumulated other comprehensive income (loss) by component: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gridSpan w:val="7"/>
          </w:tcPr>
          <w:p>
            <w:pPr>
              <w:jc w:val="center"/>
              <w:ind w:right="1050"/>
              <w:spacing w:after="0"/>
              <w:rPr>
                <w:sz w:val="20"/>
                <w:szCs w:val="20"/>
                <w:color w:val="auto"/>
              </w:rPr>
            </w:pPr>
            <w:r>
              <w:rPr>
                <w:rFonts w:ascii="Arial" w:cs="Arial" w:eastAsia="Arial" w:hAnsi="Arial"/>
                <w:sz w:val="18"/>
                <w:szCs w:val="18"/>
                <w:b w:val="1"/>
                <w:bCs w:val="1"/>
                <w:color w:val="auto"/>
                <w:w w:val="89"/>
              </w:rPr>
              <w:t>Six Months Ended June 30, 2019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Gains (Losses) on</w:t>
            </w: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c>
          <w:tcPr>
            <w:tcW w:w="0" w:type="dxa"/>
            <w:vAlign w:val="bottom"/>
          </w:tcPr>
          <w:p>
            <w:pPr>
              <w:spacing w:after="0"/>
              <w:rPr>
                <w:sz w:val="1"/>
                <w:szCs w:val="1"/>
                <w:color w:val="auto"/>
              </w:rPr>
            </w:pP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taxes</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2018</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13,253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Net change in unrealized gain (loss)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56"/>
        </w:trPr>
        <w:tc>
          <w:tcPr>
            <w:tcW w:w="5960" w:type="dxa"/>
            <w:vAlign w:val="bottom"/>
            <w:gridSpan w:val="5"/>
          </w:tcPr>
          <w:p>
            <w:pPr>
              <w:ind w:left="180"/>
              <w:spacing w:after="0"/>
              <w:rPr>
                <w:sz w:val="20"/>
                <w:szCs w:val="20"/>
                <w:color w:val="auto"/>
              </w:rPr>
            </w:pPr>
            <w:r>
              <w:rPr>
                <w:rFonts w:ascii="Arial" w:cs="Arial" w:eastAsia="Arial" w:hAnsi="Arial"/>
                <w:sz w:val="18"/>
                <w:szCs w:val="18"/>
                <w:color w:val="auto"/>
                <w:w w:val="90"/>
              </w:rPr>
              <w:t>Amounts reclassified from accumulated other comprehensive income to interest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180"/>
              <w:spacing w:after="0"/>
              <w:rPr>
                <w:sz w:val="20"/>
                <w:szCs w:val="20"/>
                <w:color w:val="auto"/>
              </w:rPr>
            </w:pPr>
            <w:r>
              <w:rPr>
                <w:rFonts w:ascii="Arial" w:cs="Arial" w:eastAsia="Arial" w:hAnsi="Arial"/>
                <w:sz w:val="18"/>
                <w:szCs w:val="18"/>
                <w:color w:val="auto"/>
                <w:w w:val="94"/>
              </w:rPr>
              <w:t>Net current period other comprehensive income (loss)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2019</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Other Assets and Accrued Liabilities</w:t>
            </w: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5"/>
          </w:tcPr>
          <w:p>
            <w:pPr>
              <w:spacing w:after="0"/>
              <w:rPr>
                <w:sz w:val="20"/>
                <w:szCs w:val="20"/>
                <w:color w:val="auto"/>
              </w:rPr>
            </w:pPr>
            <w:r>
              <w:rPr>
                <w:rFonts w:ascii="Arial" w:cs="Arial" w:eastAsia="Arial" w:hAnsi="Arial"/>
                <w:sz w:val="18"/>
                <w:szCs w:val="18"/>
                <w:color w:val="auto"/>
                <w:w w:val="93"/>
              </w:rPr>
              <w:t>Prepaid expenses and other, classified as current assets, included the following:</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16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Prepaid 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Prepaid maintenance expenses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Contract asset</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43,879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37,957</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2,049</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8,323</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Contract asset</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40,438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37,848</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3,720</w:t>
            </w:r>
          </w:p>
        </w:tc>
      </w:tr>
      <w:tr>
        <w:trPr>
          <w:trHeight w:val="27"/>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48,929</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49,891</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Sales and property taxes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Accrued programming costs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Financing leases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6,814</w:t>
            </w:r>
          </w:p>
        </w:tc>
      </w:tr>
      <w:tr>
        <w:trPr>
          <w:trHeight w:val="27"/>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14,513</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08"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5960" w:type="dxa"/>
            <w:vAlign w:val="bottom"/>
            <w:gridSpan w:val="5"/>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Noncurrent portion of deferred lease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12,593</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Noncurrent portion of financing leases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7"/>
        </w:trPr>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w:t>
            </w:r>
          </w:p>
        </w:tc>
      </w:tr>
      <w:tr>
        <w:trPr>
          <w:trHeight w:val="20"/>
        </w:trPr>
        <w:tc>
          <w:tcPr>
            <w:tcW w:w="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Topic 842 requires the Company to include fixed payments for maintenance activities in its measurement of lease liabilities since the Company elected not to separate lease and non-lease components. Liabilities for the Company's financing leases were established with the adoption of Topic 842, as of January 1, 2019, to reflect the present value of fixed payments for maintenance activities. Refer to Note 2, </w:t>
      </w:r>
      <w:r>
        <w:rPr>
          <w:rFonts w:ascii="Arial" w:cs="Arial" w:eastAsia="Arial" w:hAnsi="Arial"/>
          <w:sz w:val="17"/>
          <w:szCs w:val="17"/>
          <w:i w:val="1"/>
          <w:iCs w:val="1"/>
          <w:color w:val="auto"/>
        </w:rPr>
        <w:t>Leases</w:t>
      </w:r>
      <w:r>
        <w:rPr>
          <w:rFonts w:ascii="Arial" w:cs="Arial" w:eastAsia="Arial" w:hAnsi="Arial"/>
          <w:sz w:val="17"/>
          <w:szCs w:val="17"/>
          <w:color w:val="auto"/>
        </w:rPr>
        <w:t>, for additional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Note 12. Long-Term 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color w:val="auto"/>
              </w:rPr>
              <w:t>Total debt consisted of the following:</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Term loan A-1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274,919</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287,699</w:t>
            </w: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Term loan A-2</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485,540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497,537</w:t>
            </w:r>
          </w:p>
        </w:tc>
      </w:tr>
      <w:tr>
        <w:trPr>
          <w:trHeight w:val="27"/>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760,459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785,236</w:t>
            </w: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Less: unamortized loan fees</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14,994</w:t>
            </w:r>
          </w:p>
        </w:tc>
      </w:tr>
      <w:tr>
        <w:trPr>
          <w:trHeight w:val="27"/>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747,006</w:t>
            </w:r>
          </w:p>
        </w:tc>
        <w:tc>
          <w:tcPr>
            <w:tcW w:w="120" w:type="dxa"/>
            <w:vAlign w:val="bottom"/>
          </w:tcPr>
          <w:p>
            <w:pPr>
              <w:spacing w:after="0"/>
              <w:rPr>
                <w:sz w:val="22"/>
                <w:szCs w:val="22"/>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770,242</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54"/>
        </w:trPr>
        <w:tc>
          <w:tcPr>
            <w:tcW w:w="6940" w:type="dxa"/>
            <w:vAlign w:val="bottom"/>
          </w:tcPr>
          <w:p>
            <w:pPr>
              <w:ind w:left="40"/>
              <w:spacing w:after="0"/>
              <w:rPr>
                <w:sz w:val="20"/>
                <w:szCs w:val="20"/>
                <w:color w:val="auto"/>
              </w:rPr>
            </w:pPr>
            <w:r>
              <w:rPr>
                <w:rFonts w:ascii="Arial" w:cs="Arial" w:eastAsia="Arial" w:hAnsi="Arial"/>
                <w:sz w:val="18"/>
                <w:szCs w:val="18"/>
                <w:color w:val="auto"/>
              </w:rPr>
              <w:t>Current maturities of long-term debt, net of current unamortized loan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27,939</w:t>
            </w:r>
          </w:p>
        </w:tc>
        <w:tc>
          <w:tcPr>
            <w:tcW w:w="12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20,618</w:t>
            </w: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719,067</w:t>
            </w:r>
          </w:p>
        </w:tc>
        <w:tc>
          <w:tcPr>
            <w:tcW w:w="120" w:type="dxa"/>
            <w:vAlign w:val="bottom"/>
          </w:tcPr>
          <w:p>
            <w:pPr>
              <w:spacing w:after="0"/>
              <w:rPr>
                <w:sz w:val="23"/>
                <w:szCs w:val="23"/>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749,624</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the Company's indebtedness totaled approximately $747.0 million, net of unamortized loan fees of $13.5 million, with an annualized overall weighted average interest rate of approximately 3.79%. As of June 30, 2019, the Term Loan A-1 bears interest at one-month London Interbank Offered Rate ("LIBOR") plus a base rate of 1.75%, while the Term Loan A-2 bears interest at one-month LIBOR plus a base rate of 2.00%. LIBOR resets monthly.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Term Loan A-1 requires quarterly principal repayments of $3.6 million, which began on December 31, 2018 and continue through September 30, 2019, increasing to $7.3 million quarterly from December 31, 2019 through September 30, 2022; then increasing to $10.9 million quarterly from December 31, 2022 through September 30, 2023, with the remaining balance due November 8, 2023. The amended Term Loan A-2 requires quarterly principal repayments of $1.2 million which began on December 31, 2018 and continue through September 30, 2025, with the remaining balance due November 8, 2025. In addition to its required quarterly repayments, the Company paid an additional $15.0 million in the first quarter of 2019 with no prepayment penalties.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paid cash for interest, net of amounts capitalized, of $14.5 million and $16.9 million during the six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June 30, 2019, the Company was in compliance with the covenants in its credit agreement.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3.50 or Lower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08" w:right="2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June 30, 2019. The Company's returns are generally open to examination from 2015 forward and the net operating losses acquired in the acquisition of nTelos are open to examination from 2002 forward.</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effective tax rate for the three months ended June 30, 2019 was approximately 25.6%, as compared with approximately 26.8% for the three months ended June 30, 2018. The Company’s effective tax rate for the six months ended June 30, 2019 was approximately 24.4%, which was consistent with approximately 24.8% for the six months ended June 30, 2018. The effective tax rate has fluctuated in recent periods due to share based compensation tax benefits that are recognized as incurred. The Company paid cash income taxes of $4.2 million in the six months ended June 30, 2019. The Company received cash income tax refunds of $3.4 million in the six months ended June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Company's reportable segments, which the Company operates and manages as strategic business units that are organized according to major product and service offerings, include: Wireless, Cable, Wireline and Other. A general description of the products and services offered and the customers served by each of these segments is as follows: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provides digital wireless service as a Sprint PCS Affiliate to a portion of a multi-state area covering large portions of central and western Virginia, south-central Pennsylvania, West Virginia, and portions of Maryland, North Carolina, Kentucky, and Ohio. In these areas, we are the exclusive provider of Sprint-branded wireless mobility communications network products and services on the 800 MHz, 1900 MHz and 2.5 GHz spectrum bands.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provides video, broadband and voice services in franchise areas in portions of Virginia, West Virginia, western Maryland, and eastern Kentucky, and leases fiber optic facilities throughout its service area. It does not include video, broadband and voice services provided to customers in Shenandoah County, Virginia.</w:t>
      </w:r>
    </w:p>
    <w:p>
      <w:pPr>
        <w:spacing w:after="0" w:line="1"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provides regulated and unregulated voice services, video, broadband, long distance access services, and leases fiber optic facilities throughout portions of Virginia, West Virginia, Maryland and Pennsylvania.</w:t>
      </w:r>
    </w:p>
    <w:p>
      <w:pPr>
        <w:ind w:left="660" w:right="9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operations are represented by Shenandoah Telecommunications Company, the parent holding company that provides investing and management services to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6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94,350</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30,716</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130,624</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Tower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112,870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158,914</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114,140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158,914</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6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33,563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27,170</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32,219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42,353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92,116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27,904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134,894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95,690</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28,748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Tower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113,509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156,501</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114,753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156,501</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49,134</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29,915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14,319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135,332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22,251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191,425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60,421</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262,889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31,839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32,467</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Tower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227,254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25,054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317,757</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13,382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229,794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68,399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317,757</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67,041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31,348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18,130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30,511</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21,954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63,269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28,996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268,950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47,361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12,489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6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187,855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57,219</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255,683</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33,588</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Tower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225,074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61,694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23,871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310,639</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227,557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63,822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310,639</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6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30,281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19,175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98,476</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22,480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58,665</w:t>
            </w:r>
          </w:p>
        </w:tc>
        <w:tc>
          <w:tcPr>
            <w:tcW w:w="0" w:type="dxa"/>
            <w:vAlign w:val="bottom"/>
          </w:tcPr>
          <w:p>
            <w:pPr>
              <w:spacing w:after="0"/>
              <w:rPr>
                <w:sz w:val="1"/>
                <w:szCs w:val="1"/>
                <w:color w:val="auto"/>
              </w:rPr>
            </w:pPr>
          </w:p>
        </w:tc>
      </w:tr>
      <w:tr>
        <w:trPr>
          <w:trHeight w:val="270"/>
        </w:trPr>
        <w:tc>
          <w:tcPr>
            <w:tcW w:w="30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65,490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84,604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188,039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52,212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29,254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272,716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39,518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11,610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37,923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second quarter of 2019, the Company agreed to purchase certain indefinite-lived FCC spectrum licenses and to assume the leases for certain other FCC spectrum licenses covering portions of Virginia and West Virginia. We plan to use these licenses in our Cable segment to provide fixed wireless broadband coverage. The Company agreed to pay $17.0 million at close of these agreements and approximately $4.0 million over the remaining lease terms of approximately 20 years. On July 9, 2019, we closed on the purchase of the indefinite-lived licenses and remitted $13.8 million to the seller. Assumption of the leased licenses is expected to close at various dates during the third quarter of 2019, following customary regulatory approvals.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2018. The following management’s discussion and analysis should be read in conjunction with the Company’s Annual Report on Form 10-K for its fiscal year ended December 31, 2018, including the consolidated financial statements and related notes included therein.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Shenandoah Telecommunications Company (Shentel) provides a broad range of diversified communications services through its high speed, state-of-the-art network to customers in the Mid-Atlantic United States. The Company’s services include: wireless voice and data; cable video, internet and digital voice; fiber network and services; and regulated local and long distance telephone. Shentel is the exclusive personal communications service (“PCS”) Affiliate of Sprint in a multi-state area covering large portions of central and western Virginia, south-central Pennsylvania, West Virginia, and portions of Maryland, North Carolina, Kentucky, and Ohio. For more information, please visit www.shentel.com.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Developments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Big Sandy Broadband, Inc. Acquisition: </w:t>
      </w:r>
      <w:r>
        <w:rPr>
          <w:rFonts w:ascii="Arial" w:cs="Arial" w:eastAsia="Arial" w:hAnsi="Arial"/>
          <w:sz w:val="18"/>
          <w:szCs w:val="18"/>
          <w:color w:val="auto"/>
        </w:rPr>
        <w:t>On February 28, 2019, the Company acquired the assets of Big Sandy Broadband, Inc., ("Big Sandy”), a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cable television, telephone and high speed internet services in eastern Kentucky. The Company's investment will allow the Cable segment to expand its footprint into the adjacent markets of eastern Kentucky. See Note 4,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Fiber to the Home (FTTH): </w:t>
      </w:r>
      <w:r>
        <w:rPr>
          <w:rFonts w:ascii="Arial" w:cs="Arial" w:eastAsia="Arial" w:hAnsi="Arial"/>
          <w:sz w:val="17"/>
          <w:szCs w:val="17"/>
          <w:color w:val="auto"/>
        </w:rPr>
        <w:t>As of June 30, 2019, we are in the initial stage of deploying our new FTTH product, in our Cable segment, which leverages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robust fiber network and commercial customer base to target certain residential areas in three initial markets within our wireless service territory. We incurred $0.8 million and $1.0 million of FTTH expenses in the three and six months ending June 30, 2019, respectively. We expect to continue to incur expenses related to the initiation of FTTH in the select markets, in advance of generating revenue from this new product.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with the Three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104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ind w:right="107"/>
              <w:spacing w:after="0"/>
              <w:rPr>
                <w:sz w:val="20"/>
                <w:szCs w:val="20"/>
                <w:color w:val="auto"/>
              </w:rPr>
            </w:pPr>
            <w:r>
              <w:rPr>
                <w:rFonts w:ascii="Arial" w:cs="Arial" w:eastAsia="Arial" w:hAnsi="Arial"/>
                <w:sz w:val="16"/>
                <w:szCs w:val="16"/>
                <w:b w:val="1"/>
                <w:bCs w:val="1"/>
                <w:color w:val="auto"/>
              </w:rPr>
              <w:t>% of Revenue</w:t>
            </w:r>
          </w:p>
        </w:tc>
        <w:tc>
          <w:tcPr>
            <w:tcW w:w="13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498"/>
              <w:spacing w:after="0"/>
              <w:rPr>
                <w:sz w:val="20"/>
                <w:szCs w:val="20"/>
                <w:color w:val="auto"/>
              </w:rPr>
            </w:pPr>
            <w:r>
              <w:rPr>
                <w:rFonts w:ascii="Arial" w:cs="Arial" w:eastAsia="Arial" w:hAnsi="Arial"/>
                <w:sz w:val="18"/>
                <w:szCs w:val="18"/>
                <w:b w:val="1"/>
                <w:bCs w:val="1"/>
                <w:color w:val="auto"/>
              </w:rPr>
              <w:t>%</w:t>
            </w: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2"/>
        </w:trPr>
        <w:tc>
          <w:tcPr>
            <w:tcW w:w="338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158,914</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156,501</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2,413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134,894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135,332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8"/>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24,020</w:t>
            </w:r>
          </w:p>
        </w:tc>
        <w:tc>
          <w:tcPr>
            <w:tcW w:w="126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21,169</w:t>
            </w:r>
          </w:p>
        </w:tc>
        <w:tc>
          <w:tcPr>
            <w:tcW w:w="1260" w:type="dxa"/>
            <w:vAlign w:val="bottom"/>
          </w:tcPr>
          <w:p>
            <w:pPr>
              <w:jc w:val="right"/>
              <w:spacing w:after="0"/>
              <w:rPr>
                <w:sz w:val="20"/>
                <w:szCs w:val="20"/>
                <w:color w:val="auto"/>
              </w:rPr>
            </w:pPr>
            <w:r>
              <w:rPr>
                <w:rFonts w:ascii="Arial" w:cs="Arial" w:eastAsia="Arial" w:hAnsi="Arial"/>
                <w:sz w:val="14"/>
                <w:szCs w:val="14"/>
                <w:color w:val="auto"/>
              </w:rPr>
              <w:t>13.5 %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2,851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13.5 %</w:t>
            </w:r>
          </w:p>
        </w:tc>
      </w:tr>
      <w:tr>
        <w:trPr>
          <w:trHeight w:val="594"/>
        </w:trPr>
        <w:tc>
          <w:tcPr>
            <w:tcW w:w="3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(7,522)</w:t>
            </w:r>
          </w:p>
        </w:tc>
        <w:tc>
          <w:tcPr>
            <w:tcW w:w="12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(8,851)</w:t>
            </w:r>
          </w:p>
        </w:tc>
        <w:tc>
          <w:tcPr>
            <w:tcW w:w="1260" w:type="dxa"/>
            <w:vAlign w:val="bottom"/>
          </w:tcPr>
          <w:p>
            <w:pPr>
              <w:jc w:val="right"/>
              <w:spacing w:after="0"/>
              <w:rPr>
                <w:sz w:val="20"/>
                <w:szCs w:val="20"/>
                <w:color w:val="auto"/>
              </w:rPr>
            </w:pPr>
            <w:r>
              <w:rPr>
                <w:rFonts w:ascii="Arial" w:cs="Arial" w:eastAsia="Arial" w:hAnsi="Arial"/>
                <w:sz w:val="14"/>
                <w:szCs w:val="14"/>
                <w:color w:val="auto"/>
              </w:rPr>
              <w:t>(5.7)%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1,176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40.2 %</w:t>
            </w:r>
          </w:p>
        </w:tc>
      </w:tr>
      <w:tr>
        <w:trPr>
          <w:trHeight w:val="258"/>
        </w:trPr>
        <w:tc>
          <w:tcPr>
            <w:tcW w:w="3380" w:type="dxa"/>
            <w:vAlign w:val="bottom"/>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17,674</w:t>
            </w:r>
          </w:p>
        </w:tc>
        <w:tc>
          <w:tcPr>
            <w:tcW w:w="1260" w:type="dxa"/>
            <w:vAlign w:val="bottom"/>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13,157</w:t>
            </w:r>
          </w:p>
        </w:tc>
        <w:tc>
          <w:tcPr>
            <w:tcW w:w="1260" w:type="dxa"/>
            <w:vAlign w:val="bottom"/>
          </w:tcPr>
          <w:p>
            <w:pPr>
              <w:jc w:val="right"/>
              <w:spacing w:after="0"/>
              <w:rPr>
                <w:sz w:val="20"/>
                <w:szCs w:val="20"/>
                <w:color w:val="auto"/>
              </w:rPr>
            </w:pPr>
            <w:r>
              <w:rPr>
                <w:rFonts w:ascii="Arial" w:cs="Arial" w:eastAsia="Arial" w:hAnsi="Arial"/>
                <w:sz w:val="14"/>
                <w:szCs w:val="14"/>
                <w:color w:val="auto"/>
              </w:rPr>
              <w:t>8.4 %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4,517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34.3 %</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3,531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28.1 %</w:t>
            </w: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3,524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36.6 %</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June 30, 2019, operating revenue increased approximately $2.4 million, or 1.5%, compared with the three months ended June 30, 2018, driven by growth in the Cable and Wireline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three months ended June 30, 2019, operating expenses decreased approximately $0.4 million, or 0.3%, compared with the three months ended June 30, 2018. The decrease was primarily due to a decline in selling, general and administrative expenses in our Wireless and Other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three months ended June 30, 2019, interest expense decreased approximately $1.3 million, or 15.0%, compared with the three months ended June 30, 2018. The decrease in interest expense was primarily attributable to the 2018 amendments to the Credit Facility Agreement that reduced the applicable base interest rate by 75 basis points, and scheduled reductions of principal, partially offset by the effect of increases in LIBOR.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June 30, 2019, other income, net increased approximately $0.3 million, or 40.2%, compared with the three months ended June 30, 2018. The increase in other income, net was primarily attributable to the growth in the value of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June 30, 2019, income tax expense increased approximately $1.0 million, or 28.1%, compared with the three months ended June 30, 2018. The increase was consistent with the growth in our income before taxes.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three months ended June 30, 2019 was approximately 25.6%, as compared with approximately 26.8% for the three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with the Six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104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ind w:right="107"/>
              <w:spacing w:after="0"/>
              <w:rPr>
                <w:sz w:val="20"/>
                <w:szCs w:val="20"/>
                <w:color w:val="auto"/>
              </w:rPr>
            </w:pPr>
            <w:r>
              <w:rPr>
                <w:rFonts w:ascii="Arial" w:cs="Arial" w:eastAsia="Arial" w:hAnsi="Arial"/>
                <w:sz w:val="16"/>
                <w:szCs w:val="16"/>
                <w:b w:val="1"/>
                <w:bCs w:val="1"/>
                <w:color w:val="auto"/>
              </w:rPr>
              <w:t>% of Revenue</w:t>
            </w:r>
          </w:p>
        </w:tc>
        <w:tc>
          <w:tcPr>
            <w:tcW w:w="13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498"/>
              <w:spacing w:after="0"/>
              <w:rPr>
                <w:sz w:val="20"/>
                <w:szCs w:val="20"/>
                <w:color w:val="auto"/>
              </w:rPr>
            </w:pPr>
            <w:r>
              <w:rPr>
                <w:rFonts w:ascii="Arial" w:cs="Arial" w:eastAsia="Arial" w:hAnsi="Arial"/>
                <w:sz w:val="18"/>
                <w:szCs w:val="18"/>
                <w:b w:val="1"/>
                <w:bCs w:val="1"/>
                <w:color w:val="auto"/>
              </w:rPr>
              <w:t>%</w:t>
            </w: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2"/>
        </w:trPr>
        <w:tc>
          <w:tcPr>
            <w:tcW w:w="338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317,757</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310,639</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268,950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272,716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(3,766)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8"/>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48,807</w:t>
            </w:r>
          </w:p>
        </w:tc>
        <w:tc>
          <w:tcPr>
            <w:tcW w:w="1260" w:type="dxa"/>
            <w:vAlign w:val="bottom"/>
          </w:tcPr>
          <w:p>
            <w:pPr>
              <w:jc w:val="right"/>
              <w:spacing w:after="0"/>
              <w:rPr>
                <w:sz w:val="20"/>
                <w:szCs w:val="20"/>
                <w:color w:val="auto"/>
              </w:rPr>
            </w:pPr>
            <w:r>
              <w:rPr>
                <w:rFonts w:ascii="Arial" w:cs="Arial" w:eastAsia="Arial" w:hAnsi="Arial"/>
                <w:sz w:val="14"/>
                <w:szCs w:val="14"/>
                <w:color w:val="auto"/>
              </w:rPr>
              <w:t>15.4 %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37,923</w:t>
            </w:r>
          </w:p>
        </w:tc>
        <w:tc>
          <w:tcPr>
            <w:tcW w:w="1260" w:type="dxa"/>
            <w:vAlign w:val="bottom"/>
          </w:tcPr>
          <w:p>
            <w:pPr>
              <w:jc w:val="right"/>
              <w:spacing w:after="0"/>
              <w:rPr>
                <w:sz w:val="20"/>
                <w:szCs w:val="20"/>
                <w:color w:val="auto"/>
              </w:rPr>
            </w:pPr>
            <w:r>
              <w:rPr>
                <w:rFonts w:ascii="Arial" w:cs="Arial" w:eastAsia="Arial" w:hAnsi="Arial"/>
                <w:sz w:val="14"/>
                <w:szCs w:val="14"/>
                <w:color w:val="auto"/>
              </w:rPr>
              <w:t>12.2 %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10,884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594"/>
        </w:trPr>
        <w:tc>
          <w:tcPr>
            <w:tcW w:w="3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(15,476)</w:t>
            </w:r>
          </w:p>
        </w:tc>
        <w:tc>
          <w:tcPr>
            <w:tcW w:w="12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(18,183)</w:t>
            </w:r>
          </w:p>
        </w:tc>
        <w:tc>
          <w:tcPr>
            <w:tcW w:w="1260" w:type="dxa"/>
            <w:vAlign w:val="bottom"/>
          </w:tcPr>
          <w:p>
            <w:pPr>
              <w:jc w:val="right"/>
              <w:spacing w:after="0"/>
              <w:rPr>
                <w:sz w:val="20"/>
                <w:szCs w:val="20"/>
                <w:color w:val="auto"/>
              </w:rPr>
            </w:pPr>
            <w:r>
              <w:rPr>
                <w:rFonts w:ascii="Arial" w:cs="Arial" w:eastAsia="Arial" w:hAnsi="Arial"/>
                <w:sz w:val="14"/>
                <w:szCs w:val="14"/>
                <w:color w:val="auto"/>
              </w:rPr>
              <w:t>(5.9)%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14.9 %</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2,463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34.7 %</w:t>
            </w:r>
          </w:p>
        </w:tc>
      </w:tr>
      <w:tr>
        <w:trPr>
          <w:trHeight w:val="258"/>
        </w:trPr>
        <w:tc>
          <w:tcPr>
            <w:tcW w:w="3380" w:type="dxa"/>
            <w:vAlign w:val="bottom"/>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35,794</w:t>
            </w:r>
          </w:p>
        </w:tc>
        <w:tc>
          <w:tcPr>
            <w:tcW w:w="1260" w:type="dxa"/>
            <w:vAlign w:val="bottom"/>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21,568</w:t>
            </w:r>
          </w:p>
        </w:tc>
        <w:tc>
          <w:tcPr>
            <w:tcW w:w="1260" w:type="dxa"/>
            <w:vAlign w:val="bottom"/>
          </w:tcPr>
          <w:p>
            <w:pPr>
              <w:jc w:val="right"/>
              <w:spacing w:after="0"/>
              <w:rPr>
                <w:sz w:val="20"/>
                <w:szCs w:val="20"/>
                <w:color w:val="auto"/>
              </w:rPr>
            </w:pPr>
            <w:r>
              <w:rPr>
                <w:rFonts w:ascii="Arial" w:cs="Arial" w:eastAsia="Arial" w:hAnsi="Arial"/>
                <w:sz w:val="14"/>
                <w:szCs w:val="14"/>
                <w:color w:val="auto"/>
              </w:rPr>
              <w:t>6.9 %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14,226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66.0 %</w:t>
            </w:r>
          </w:p>
        </w:tc>
      </w:tr>
      <w:tr>
        <w:trPr>
          <w:trHeight w:val="276"/>
        </w:trPr>
        <w:tc>
          <w:tcPr>
            <w:tcW w:w="33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8,734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5,359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63.0 %</w:t>
            </w: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27,060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16,209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color w:val="auto"/>
              </w:rPr>
              <w:t>10,851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66.9 %</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2019, operating revenue increased approximately $7.1 million, or 2.3%, compared with the six months ended June 30, 2018, driven by subscriber growth in the Wireless and Cable segments. Refer to the discussion of the results of operations for the Wireless and Cable segments, included within this quarterly report,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2019, operating expenses decreased approximately $3.8 million, or 1.4%, compared with the six months ended June 30, 2018. The decrease was primarily due to a $2.2 million decline in Wireless amortization expense primarily from lower amortization expense on our affiliate contract expansion rights, which is recognized on an accelerated method that declines over time, and a $2.8 million decline in selling, general and administrative expenses driven by the Wireless and Other segments.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2019, interest expense decreased approximately $2.7 million, or 14.9%, compared with the six months ended June 30, 2018. The decrease in interest expense was primarily attributable to the 2018 amendments to the Credit Facility Agreement that reduced the applicable base interest rate by 75 basis points and principal repayments.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2019, other income, net increased approximately $0.6 million, or 34.7%, compared with the six months ended June 30, 2018. The increase in other income, net was primarily attributable to growth in the value of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2019, income tax expense increased approximately $3.4 million, or 63.0%, compared with the six months ended June 30, 2018. The increase was consistent with the growth in our income before taxes.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effective tax rate for the six months ended June 30, 2019 was approximately 24.4%, which was consistent with approximately 24.8% for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Wireless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w w:val="92"/>
              </w:rPr>
              <w:t>The following tables indicate selected operating statistics of Wireless, including Sprint subscribers:</w:t>
            </w:r>
          </w:p>
        </w:tc>
        <w:tc>
          <w:tcPr>
            <w:tcW w:w="2040" w:type="dxa"/>
            <w:vAlign w:val="bottom"/>
          </w:tcPr>
          <w:p>
            <w:pPr>
              <w:spacing w:after="0"/>
              <w:rPr>
                <w:sz w:val="20"/>
                <w:szCs w:val="20"/>
                <w:color w:val="auto"/>
              </w:rPr>
            </w:pPr>
          </w:p>
        </w:tc>
      </w:tr>
      <w:tr>
        <w:trPr>
          <w:trHeight w:val="360"/>
        </w:trPr>
        <w:tc>
          <w:tcPr>
            <w:tcW w:w="5160" w:type="dxa"/>
            <w:vAlign w:val="bottom"/>
          </w:tcPr>
          <w:p>
            <w:pPr>
              <w:spacing w:after="0"/>
              <w:rPr>
                <w:sz w:val="24"/>
                <w:szCs w:val="24"/>
                <w:color w:val="auto"/>
              </w:rPr>
            </w:pPr>
          </w:p>
        </w:tc>
        <w:tc>
          <w:tcPr>
            <w:tcW w:w="2120" w:type="dxa"/>
            <w:vAlign w:val="bottom"/>
            <w:gridSpan w:val="2"/>
          </w:tcPr>
          <w:p>
            <w:pPr>
              <w:ind w:left="660"/>
              <w:spacing w:after="0"/>
              <w:rPr>
                <w:sz w:val="20"/>
                <w:szCs w:val="20"/>
                <w:color w:val="auto"/>
              </w:rPr>
            </w:pPr>
            <w:r>
              <w:rPr>
                <w:rFonts w:ascii="Arial" w:cs="Arial" w:eastAsia="Arial" w:hAnsi="Arial"/>
                <w:sz w:val="18"/>
                <w:szCs w:val="18"/>
                <w:b w:val="1"/>
                <w:bCs w:val="1"/>
                <w:color w:val="auto"/>
              </w:rPr>
              <w:t>June 30,</w:t>
            </w:r>
          </w:p>
        </w:tc>
        <w:tc>
          <w:tcPr>
            <w:tcW w:w="2040" w:type="dxa"/>
            <w:vAlign w:val="bottom"/>
          </w:tcPr>
          <w:p>
            <w:pPr>
              <w:jc w:val="right"/>
              <w:ind w:right="6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160" w:type="dxa"/>
            <w:vAlign w:val="bottom"/>
          </w:tcPr>
          <w:p>
            <w:pPr>
              <w:spacing w:after="0"/>
              <w:rPr>
                <w:sz w:val="20"/>
                <w:szCs w:val="20"/>
                <w:color w:val="auto"/>
              </w:rPr>
            </w:pPr>
          </w:p>
        </w:tc>
        <w:tc>
          <w:tcPr>
            <w:tcW w:w="20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 (4)</w:t>
            </w:r>
          </w:p>
        </w:tc>
        <w:tc>
          <w:tcPr>
            <w:tcW w:w="100" w:type="dxa"/>
            <w:vAlign w:val="bottom"/>
          </w:tcPr>
          <w:p>
            <w:pPr>
              <w:spacing w:after="0"/>
              <w:rPr>
                <w:sz w:val="20"/>
                <w:szCs w:val="20"/>
                <w:color w:val="auto"/>
              </w:rPr>
            </w:pPr>
          </w:p>
        </w:tc>
        <w:tc>
          <w:tcPr>
            <w:tcW w:w="20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 (4)</w:t>
            </w:r>
          </w:p>
        </w:tc>
      </w:tr>
      <w:tr>
        <w:trPr>
          <w:trHeight w:val="27"/>
        </w:trPr>
        <w:tc>
          <w:tcPr>
            <w:tcW w:w="51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Retail PCS subscribers - postpaid</w:t>
            </w:r>
          </w:p>
        </w:tc>
        <w:tc>
          <w:tcPr>
            <w:tcW w:w="2020" w:type="dxa"/>
            <w:vAlign w:val="bottom"/>
          </w:tcPr>
          <w:p>
            <w:pPr>
              <w:jc w:val="right"/>
              <w:spacing w:after="0"/>
              <w:rPr>
                <w:sz w:val="20"/>
                <w:szCs w:val="20"/>
                <w:color w:val="auto"/>
              </w:rPr>
            </w:pPr>
            <w:r>
              <w:rPr>
                <w:rFonts w:ascii="Arial" w:cs="Arial" w:eastAsia="Arial" w:hAnsi="Arial"/>
                <w:sz w:val="18"/>
                <w:szCs w:val="18"/>
                <w:color w:val="auto"/>
              </w:rPr>
              <w:t>811,719</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780,658</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Retail PCS subscribers - prepaid</w:t>
            </w:r>
          </w:p>
        </w:tc>
        <w:tc>
          <w:tcPr>
            <w:tcW w:w="2020" w:type="dxa"/>
            <w:vAlign w:val="bottom"/>
          </w:tcPr>
          <w:p>
            <w:pPr>
              <w:jc w:val="right"/>
              <w:spacing w:after="0"/>
              <w:rPr>
                <w:sz w:val="20"/>
                <w:szCs w:val="20"/>
                <w:color w:val="auto"/>
              </w:rPr>
            </w:pPr>
            <w:r>
              <w:rPr>
                <w:rFonts w:ascii="Arial" w:cs="Arial" w:eastAsia="Arial" w:hAnsi="Arial"/>
                <w:sz w:val="18"/>
                <w:szCs w:val="18"/>
                <w:color w:val="auto"/>
              </w:rPr>
              <w:t>269,039</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252,054</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PCS market POPS (000) (1)</w:t>
            </w:r>
          </w:p>
        </w:tc>
        <w:tc>
          <w:tcPr>
            <w:tcW w:w="2020" w:type="dxa"/>
            <w:vAlign w:val="bottom"/>
          </w:tcPr>
          <w:p>
            <w:pPr>
              <w:jc w:val="right"/>
              <w:spacing w:after="0"/>
              <w:rPr>
                <w:sz w:val="20"/>
                <w:szCs w:val="20"/>
                <w:color w:val="auto"/>
              </w:rPr>
            </w:pPr>
            <w:r>
              <w:rPr>
                <w:rFonts w:ascii="Arial" w:cs="Arial" w:eastAsia="Arial" w:hAnsi="Arial"/>
                <w:sz w:val="18"/>
                <w:szCs w:val="18"/>
                <w:color w:val="auto"/>
              </w:rPr>
              <w:t>7,227</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7,023</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PCS covered POPS (000) (1)</w:t>
            </w:r>
          </w:p>
        </w:tc>
        <w:tc>
          <w:tcPr>
            <w:tcW w:w="2020" w:type="dxa"/>
            <w:vAlign w:val="bottom"/>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5,908</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202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20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Cell site leases</w:t>
            </w:r>
          </w:p>
        </w:tc>
        <w:tc>
          <w:tcPr>
            <w:tcW w:w="20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29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2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3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800" w:type="dxa"/>
            <w:vAlign w:val="bottom"/>
          </w:tcPr>
          <w:p>
            <w:pPr>
              <w:spacing w:after="0"/>
              <w:rPr>
                <w:sz w:val="20"/>
                <w:szCs w:val="20"/>
                <w:color w:val="auto"/>
              </w:rPr>
            </w:pPr>
          </w:p>
        </w:tc>
        <w:tc>
          <w:tcPr>
            <w:tcW w:w="20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 (4)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 (4)</w:t>
            </w:r>
          </w:p>
        </w:tc>
      </w:tr>
      <w:tr>
        <w:trPr>
          <w:trHeight w:val="27"/>
        </w:trPr>
        <w:tc>
          <w:tcPr>
            <w:tcW w:w="48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Gross PCS subscriber additions - postpaid</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52,799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44,629</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103,646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87,706</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PCS subscriber additions - postpaid (2)</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16,543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44,061</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Gross PCS subscriber additions - prepaid</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33,753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33,840</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74,732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73,951</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PCS subscriber additions - prepaid (3)</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10,335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26,232</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PCS average monthly retail churn % - postpaid</w:t>
            </w:r>
          </w:p>
        </w:tc>
        <w:tc>
          <w:tcPr>
            <w:tcW w:w="15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PCS average monthly retail churn % - prepaid</w:t>
            </w:r>
          </w:p>
        </w:tc>
        <w:tc>
          <w:tcPr>
            <w:tcW w:w="152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right="2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 and Covered POPS are those covered by our network. The data source for POPS is U.S. census data.</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six months ended June 30, 2018 Net PCS subscriber additions - postpaid were 5,718 excluding the acquisition of the expansion area on February 1, 2018.</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six months ended June 30, 2018 Net PCS subscriber additions - prepaid were 10,541 excluding the acquisition of the expansion area on February 1, 2018.</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Beginning February 1, 2018 includes Richmond Expansion Area except for gross PCS subscriber additions.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statistics above, excluding gross additions, include the Richmond Expansion Area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February 1,</w:t>
            </w:r>
          </w:p>
        </w:tc>
      </w:tr>
      <w:tr>
        <w:trPr>
          <w:trHeight w:val="234"/>
        </w:trPr>
        <w:tc>
          <w:tcPr>
            <w:tcW w:w="4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Expansion Area</w:t>
            </w:r>
          </w:p>
        </w:tc>
      </w:tr>
      <w:tr>
        <w:trPr>
          <w:trHeight w:val="27"/>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PCS subscribers - postpaid</w:t>
            </w:r>
          </w:p>
        </w:tc>
        <w:tc>
          <w:tcPr>
            <w:tcW w:w="1980" w:type="dxa"/>
            <w:vAlign w:val="bottom"/>
          </w:tcPr>
          <w:p>
            <w:pPr>
              <w:jc w:val="right"/>
              <w:spacing w:after="0"/>
              <w:rPr>
                <w:sz w:val="20"/>
                <w:szCs w:val="20"/>
                <w:color w:val="auto"/>
              </w:rPr>
            </w:pPr>
            <w:r>
              <w:rPr>
                <w:rFonts w:ascii="Arial" w:cs="Arial" w:eastAsia="Arial" w:hAnsi="Arial"/>
                <w:sz w:val="18"/>
                <w:szCs w:val="18"/>
                <w:color w:val="auto"/>
              </w:rPr>
              <w:t>38,343</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PCS subscribers - prepaid</w:t>
            </w:r>
          </w:p>
        </w:tc>
        <w:tc>
          <w:tcPr>
            <w:tcW w:w="1980" w:type="dxa"/>
            <w:vAlign w:val="bottom"/>
          </w:tcPr>
          <w:p>
            <w:pPr>
              <w:jc w:val="right"/>
              <w:spacing w:after="0"/>
              <w:rPr>
                <w:sz w:val="20"/>
                <w:szCs w:val="20"/>
                <w:color w:val="auto"/>
              </w:rPr>
            </w:pPr>
            <w:r>
              <w:rPr>
                <w:rFonts w:ascii="Arial" w:cs="Arial" w:eastAsia="Arial" w:hAnsi="Arial"/>
                <w:sz w:val="18"/>
                <w:szCs w:val="18"/>
                <w:color w:val="auto"/>
              </w:rPr>
              <w:t>15,691</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Acquired PCS market POPS (000)</w:t>
            </w:r>
          </w:p>
        </w:tc>
        <w:tc>
          <w:tcPr>
            <w:tcW w:w="198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Acquired PCS covered POPS (000)</w:t>
            </w:r>
          </w:p>
        </w:tc>
        <w:tc>
          <w:tcPr>
            <w:tcW w:w="19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Acquired CDMA base stations (sites)</w:t>
            </w:r>
          </w:p>
        </w:tc>
        <w:tc>
          <w:tcPr>
            <w:tcW w:w="1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648"/>
        </w:trPr>
        <w:tc>
          <w:tcPr>
            <w:tcW w:w="4920" w:type="dxa"/>
            <w:vAlign w:val="bottom"/>
          </w:tcPr>
          <w:p>
            <w:pPr>
              <w:spacing w:after="0"/>
              <w:rPr>
                <w:sz w:val="24"/>
                <w:szCs w:val="24"/>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0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June 30, 2019 Compared with the Three Months Ended June 30, 2018</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4"/>
          </w:tcPr>
          <w:p>
            <w:pPr>
              <w:jc w:val="center"/>
              <w:ind w:left="45"/>
              <w:spacing w:after="0"/>
              <w:rPr>
                <w:sz w:val="20"/>
                <w:szCs w:val="20"/>
                <w:color w:val="auto"/>
              </w:rPr>
            </w:pPr>
            <w:r>
              <w:rPr>
                <w:rFonts w:ascii="Arial" w:cs="Arial" w:eastAsia="Arial" w:hAnsi="Arial"/>
                <w:sz w:val="18"/>
                <w:szCs w:val="18"/>
                <w:b w:val="1"/>
                <w:bCs w:val="1"/>
                <w:color w:val="auto"/>
                <w:w w:val="90"/>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3"/>
          </w:tcPr>
          <w:p>
            <w:pPr>
              <w:jc w:val="center"/>
              <w:ind w:left="705"/>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11"/>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1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Wireless 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94,350</w:t>
            </w:r>
          </w:p>
        </w:tc>
        <w:tc>
          <w:tcPr>
            <w:tcW w:w="108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95,690</w:t>
            </w:r>
          </w:p>
        </w:tc>
        <w:tc>
          <w:tcPr>
            <w:tcW w:w="1100" w:type="dxa"/>
            <w:vAlign w:val="bottom"/>
          </w:tcPr>
          <w:p>
            <w:pPr>
              <w:jc w:val="right"/>
              <w:spacing w:after="0"/>
              <w:rPr>
                <w:sz w:val="20"/>
                <w:szCs w:val="20"/>
                <w:color w:val="auto"/>
              </w:rPr>
            </w:pPr>
            <w:r>
              <w:rPr>
                <w:rFonts w:ascii="Arial" w:cs="Arial" w:eastAsia="Arial" w:hAnsi="Arial"/>
                <w:sz w:val="14"/>
                <w:szCs w:val="14"/>
                <w:color w:val="auto"/>
              </w:rPr>
              <w:t>83.4%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Tower lease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2,921</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2,878</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16,548</w:t>
            </w:r>
          </w:p>
        </w:tc>
        <w:tc>
          <w:tcPr>
            <w:tcW w:w="10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15,819</w:t>
            </w:r>
          </w:p>
        </w:tc>
        <w:tc>
          <w:tcPr>
            <w:tcW w:w="1100" w:type="dxa"/>
            <w:vAlign w:val="bottom"/>
          </w:tcPr>
          <w:p>
            <w:pPr>
              <w:jc w:val="right"/>
              <w:spacing w:after="0"/>
              <w:rPr>
                <w:sz w:val="20"/>
                <w:szCs w:val="20"/>
                <w:color w:val="auto"/>
              </w:rPr>
            </w:pPr>
            <w:r>
              <w:rPr>
                <w:rFonts w:ascii="Arial" w:cs="Arial" w:eastAsia="Arial" w:hAnsi="Arial"/>
                <w:sz w:val="14"/>
                <w:szCs w:val="14"/>
                <w:color w:val="auto"/>
              </w:rPr>
              <w:t>13.8%</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7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6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Total Wireless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114,753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Wireless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33,563</w:t>
            </w: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33,488</w:t>
            </w:r>
          </w:p>
        </w:tc>
        <w:tc>
          <w:tcPr>
            <w:tcW w:w="1100" w:type="dxa"/>
            <w:vAlign w:val="bottom"/>
          </w:tcPr>
          <w:p>
            <w:pPr>
              <w:jc w:val="right"/>
              <w:spacing w:after="0"/>
              <w:rPr>
                <w:sz w:val="20"/>
                <w:szCs w:val="20"/>
                <w:color w:val="auto"/>
              </w:rPr>
            </w:pPr>
            <w:r>
              <w:rPr>
                <w:rFonts w:ascii="Arial" w:cs="Arial" w:eastAsia="Arial" w:hAnsi="Arial"/>
                <w:sz w:val="14"/>
                <w:szCs w:val="14"/>
                <w:color w:val="auto"/>
              </w:rPr>
              <w:t>29.2%</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15,742</w:t>
            </w: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15,082</w:t>
            </w: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10,592</w:t>
            </w: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c>
          <w:tcPr>
            <w:tcW w:w="1100" w:type="dxa"/>
            <w:vAlign w:val="bottom"/>
          </w:tcPr>
          <w:p>
            <w:pPr>
              <w:jc w:val="right"/>
              <w:spacing w:after="0"/>
              <w:rPr>
                <w:sz w:val="20"/>
                <w:szCs w:val="20"/>
                <w:color w:val="auto"/>
              </w:rPr>
            </w:pPr>
            <w:r>
              <w:rPr>
                <w:rFonts w:ascii="Arial" w:cs="Arial" w:eastAsia="Arial" w:hAnsi="Arial"/>
                <w:sz w:val="14"/>
                <w:szCs w:val="14"/>
                <w:color w:val="auto"/>
              </w:rPr>
              <w:t>10.8%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4"/>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4"/>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Wireless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can be agreed. We expect to resolve the new travel fees in the third quarter 2019.</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Wireless operating revenue decreased slightly to $114.1 million for the three months ended June 30, 2019, compared with $114.8 million for the three months ended June 30, 2018. Travel Revenue declined $3.0 million from second quarter 2018 due to the suspension by Sprint of Travel Revenue payments in April 2019 and the cessation of recognizing Travel Revenue until the parties finalize travel fees. The Travel Revenue decline was substantially offset by increases in subscriber service revenue of $0.9 million, in equipment revenue of $0.7 million, and in roaming revenue of $0.5 million.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The table below provides additional detail for Wireless service revenue.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106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9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4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97,779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96,127</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Amortization of deferred contract and other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(7,803)</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75,997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75,406</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Prepaid billings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27,915</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Amortization of deferred contract and other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13,285</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Travel and other revenue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6,999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94,350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95,690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55"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8"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postpaid service revenue during the three months ended June 30, 2019, was primarily attributable to the addition of 31,061 postpaid PCS retail subscribers.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prepaid service revenue during the three months ended June 30, 2019, was primarily attributable to the addition 16,985 prepaid PCS retail subscribers.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June 30, 2019, cost of services increased approximately $0.1 million or 0.2%, compared with the three months ended June 30, 2018 due to lower backhaul circuit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During the three months ended June 30, 2019, cost of goods sold increased approximately $0.7 million, or 4.4%, compared with the three months ended June 30, 2018. Higher cost of goods sold reflect an increase in sales due to a larger percentage of activations originating from Shentel-owned stores.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June 30, 2019, selling, general and administrative costs decreased approximately $1.8 million, or 14.4%, compared with the three months ended June 30, 2018 primarily due to reductions in transactional tax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2019, depreciation and amortization increased approximately $0.7 million, or 2.1%, compared with the three months ended June 30, 2018 primarily from the continued deployment of property, plant and equipment necessary to support the expansion of our wireless service territory.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5"/>
          </w:tcPr>
          <w:p>
            <w:pPr>
              <w:spacing w:after="0"/>
              <w:rPr>
                <w:sz w:val="20"/>
                <w:szCs w:val="20"/>
                <w:color w:val="auto"/>
              </w:rPr>
            </w:pPr>
            <w:r>
              <w:rPr>
                <w:rFonts w:ascii="Arial" w:cs="Arial" w:eastAsia="Arial" w:hAnsi="Arial"/>
                <w:sz w:val="18"/>
                <w:szCs w:val="18"/>
                <w:b w:val="1"/>
                <w:bCs w:val="1"/>
                <w:color w:val="auto"/>
                <w:w w:val="95"/>
              </w:rPr>
              <w:t>Six Months Ended June 30, 2019 Compared with the Six Months Ended June 30, 2018</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4"/>
          </w:tcPr>
          <w:p>
            <w:pPr>
              <w:jc w:val="center"/>
              <w:ind w:left="45"/>
              <w:spacing w:after="0"/>
              <w:rPr>
                <w:sz w:val="20"/>
                <w:szCs w:val="20"/>
                <w:color w:val="auto"/>
              </w:rPr>
            </w:pPr>
            <w:r>
              <w:rPr>
                <w:rFonts w:ascii="Arial" w:cs="Arial" w:eastAsia="Arial" w:hAnsi="Arial"/>
                <w:sz w:val="18"/>
                <w:szCs w:val="18"/>
                <w:b w:val="1"/>
                <w:bCs w:val="1"/>
                <w:color w:val="auto"/>
                <w:w w:val="90"/>
              </w:rPr>
              <w:t>Six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3"/>
          </w:tcPr>
          <w:p>
            <w:pPr>
              <w:jc w:val="center"/>
              <w:ind w:left="705"/>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11"/>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1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Wireless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0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191,425</w:t>
            </w:r>
          </w:p>
        </w:tc>
        <w:tc>
          <w:tcPr>
            <w:tcW w:w="1080" w:type="dxa"/>
            <w:vAlign w:val="bottom"/>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187,855</w:t>
            </w:r>
          </w:p>
        </w:tc>
        <w:tc>
          <w:tcPr>
            <w:tcW w:w="1100" w:type="dxa"/>
            <w:vAlign w:val="bottom"/>
          </w:tcPr>
          <w:p>
            <w:pPr>
              <w:jc w:val="right"/>
              <w:spacing w:after="0"/>
              <w:rPr>
                <w:sz w:val="20"/>
                <w:szCs w:val="20"/>
                <w:color w:val="auto"/>
              </w:rPr>
            </w:pPr>
            <w:r>
              <w:rPr>
                <w:rFonts w:ascii="Arial" w:cs="Arial" w:eastAsia="Arial" w:hAnsi="Arial"/>
                <w:sz w:val="14"/>
                <w:szCs w:val="14"/>
                <w:color w:val="auto"/>
              </w:rPr>
              <w:t>82.6%</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5,860</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5,774</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31,839</w:t>
            </w:r>
          </w:p>
        </w:tc>
        <w:tc>
          <w:tcPr>
            <w:tcW w:w="108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33,193</w:t>
            </w:r>
          </w:p>
        </w:tc>
        <w:tc>
          <w:tcPr>
            <w:tcW w:w="1100" w:type="dxa"/>
            <w:vAlign w:val="bottom"/>
          </w:tcPr>
          <w:p>
            <w:pPr>
              <w:jc w:val="right"/>
              <w:spacing w:after="0"/>
              <w:rPr>
                <w:sz w:val="20"/>
                <w:szCs w:val="20"/>
                <w:color w:val="auto"/>
              </w:rPr>
            </w:pPr>
            <w:r>
              <w:rPr>
                <w:rFonts w:ascii="Arial" w:cs="Arial" w:eastAsia="Arial" w:hAnsi="Arial"/>
                <w:sz w:val="14"/>
                <w:szCs w:val="14"/>
                <w:color w:val="auto"/>
              </w:rPr>
              <w:t>14.6%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6"/>
        </w:trPr>
        <w:tc>
          <w:tcPr>
            <w:tcW w:w="48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63"/>
        </w:trPr>
        <w:tc>
          <w:tcPr>
            <w:tcW w:w="4800" w:type="dxa"/>
            <w:vAlign w:val="bottom"/>
          </w:tcPr>
          <w:p>
            <w:pPr>
              <w:ind w:left="280"/>
              <w:spacing w:after="0"/>
              <w:rPr>
                <w:sz w:val="20"/>
                <w:szCs w:val="20"/>
                <w:color w:val="auto"/>
              </w:rPr>
            </w:pPr>
            <w:r>
              <w:rPr>
                <w:rFonts w:ascii="Arial" w:cs="Arial" w:eastAsia="Arial" w:hAnsi="Arial"/>
                <w:sz w:val="18"/>
                <w:szCs w:val="18"/>
                <w:color w:val="auto"/>
              </w:rPr>
              <w:t>Total Wireless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229,794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227,557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Wireless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67,041</w:t>
            </w:r>
          </w:p>
        </w:tc>
        <w:tc>
          <w:tcPr>
            <w:tcW w:w="108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67,238</w:t>
            </w:r>
          </w:p>
        </w:tc>
        <w:tc>
          <w:tcPr>
            <w:tcW w:w="1100" w:type="dxa"/>
            <w:vAlign w:val="bottom"/>
          </w:tcPr>
          <w:p>
            <w:pPr>
              <w:jc w:val="right"/>
              <w:spacing w:after="0"/>
              <w:rPr>
                <w:sz w:val="20"/>
                <w:szCs w:val="20"/>
                <w:color w:val="auto"/>
              </w:rPr>
            </w:pPr>
            <w:r>
              <w:rPr>
                <w:rFonts w:ascii="Arial" w:cs="Arial" w:eastAsia="Arial" w:hAnsi="Arial"/>
                <w:sz w:val="14"/>
                <w:szCs w:val="14"/>
                <w:color w:val="auto"/>
              </w:rPr>
              <w:t>29.5%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30,169</w:t>
            </w: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30,809</w:t>
            </w:r>
          </w:p>
        </w:tc>
        <w:tc>
          <w:tcPr>
            <w:tcW w:w="1100" w:type="dxa"/>
            <w:vAlign w:val="bottom"/>
          </w:tcPr>
          <w:p>
            <w:pPr>
              <w:jc w:val="right"/>
              <w:spacing w:after="0"/>
              <w:rPr>
                <w:sz w:val="20"/>
                <w:szCs w:val="20"/>
                <w:color w:val="auto"/>
              </w:rPr>
            </w:pPr>
            <w:r>
              <w:rPr>
                <w:rFonts w:ascii="Arial" w:cs="Arial" w:eastAsia="Arial" w:hAnsi="Arial"/>
                <w:sz w:val="14"/>
                <w:szCs w:val="14"/>
                <w:color w:val="auto"/>
              </w:rPr>
              <w:t>13.5%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21,954</w:t>
            </w:r>
          </w:p>
        </w:tc>
        <w:tc>
          <w:tcPr>
            <w:tcW w:w="10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24,502</w:t>
            </w:r>
          </w:p>
        </w:tc>
        <w:tc>
          <w:tcPr>
            <w:tcW w:w="1100" w:type="dxa"/>
            <w:vAlign w:val="bottom"/>
          </w:tcPr>
          <w:p>
            <w:pPr>
              <w:jc w:val="right"/>
              <w:spacing w:after="0"/>
              <w:rPr>
                <w:sz w:val="20"/>
                <w:szCs w:val="20"/>
                <w:color w:val="auto"/>
              </w:rPr>
            </w:pPr>
            <w:r>
              <w:rPr>
                <w:rFonts w:ascii="Arial" w:cs="Arial" w:eastAsia="Arial" w:hAnsi="Arial"/>
                <w:sz w:val="14"/>
                <w:szCs w:val="14"/>
                <w:color w:val="auto"/>
              </w:rPr>
              <w:t>10.8%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76"/>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4"/>
        </w:trPr>
        <w:tc>
          <w:tcPr>
            <w:tcW w:w="4800" w:type="dxa"/>
            <w:vAlign w:val="bottom"/>
          </w:tcPr>
          <w:p>
            <w:pPr>
              <w:ind w:left="280"/>
              <w:spacing w:after="0"/>
              <w:rPr>
                <w:sz w:val="20"/>
                <w:szCs w:val="20"/>
                <w:color w:val="auto"/>
              </w:rPr>
            </w:pPr>
            <w:r>
              <w:rPr>
                <w:rFonts w:ascii="Arial" w:cs="Arial" w:eastAsia="Arial" w:hAnsi="Arial"/>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182,433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188,039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(5,606)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8"/>
                <w:szCs w:val="18"/>
                <w:color w:val="auto"/>
              </w:rPr>
              <w:t>Wireless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7,843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Under our affiliate agreement with Sprint, we have historically earned and recognized monthly revenue of $1.5 million for providing service to Sprint customers who pass through our network area. While we continue to provide these services to Sprint, the agreed upon fee was suspended on April 30, 2019. Accordingly, we have ceased recognizing revenue for the services provided after that date until a new prospective fee can be agreed.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2019, operating revenue increased approximately $2.2 million, or 1.0%, compared with the six months ended June 30, 2018. This increase in operating revenue was driven by a 4.0% increase in postpaid subscribers and a 6.7% increase in prepaid PCS subscribers, and was partially offset by a reduction in travel and other revenue. Refer to the detailed Wireless service revenue chart provided below for additional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00" w:type="dxa"/>
            <w:vAlign w:val="bottom"/>
            <w:gridSpan w:val="2"/>
          </w:tcPr>
          <w:p>
            <w:pPr>
              <w:spacing w:after="0"/>
              <w:rPr>
                <w:sz w:val="20"/>
                <w:szCs w:val="20"/>
                <w:color w:val="auto"/>
              </w:rPr>
            </w:pPr>
            <w:r>
              <w:rPr>
                <w:rFonts w:ascii="Arial" w:cs="Arial" w:eastAsia="Arial" w:hAnsi="Arial"/>
                <w:sz w:val="18"/>
                <w:szCs w:val="18"/>
                <w:color w:val="auto"/>
              </w:rPr>
              <w:t>The table below provides additional detail for Wireless service revenue.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106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9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195,255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189,417</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5,838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(16,258)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152,179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148,876</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Prepaid billings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59,861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54,256</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5,605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25,189</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70"/>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Travel and other revenue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13,790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191,425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187,855</w:t>
            </w:r>
          </w:p>
        </w:tc>
        <w:tc>
          <w:tcPr>
            <w:tcW w:w="1340" w:type="dxa"/>
            <w:vAlign w:val="bottom"/>
            <w:gridSpan w:val="2"/>
          </w:tcPr>
          <w:p>
            <w:pPr>
              <w:jc w:val="right"/>
              <w:ind w:right="10"/>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55"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postpaid service revenue during the six months ended June 30, 2019, was primarily attributable to the addition of 31,061 postpaid PCS retail subscribers.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prepaid service revenue during the six months ended June 30, 2019, was primarily attributable to the addition of 16,985 prepaid PCS retail subscribers.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2019, cost of services decreased approximately $0.2 million or 0.3%, compared with the six months ended June 30, 2018 primarily from a $3.3 million reduction in backhaul circuit costs, partially offset by a $2.5 million increase in net rent expense driven by the addition of new cell sites.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2019, cost of goods sold decreased approximately $0.6 million, or 2.1%, compared with the six months ended June 30, 2018. Lower cost of goods sold reflects a reduction in sales in Shentel-owned stores.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2019, selling, general and administrative costs decreased approximately $2.5 million, or 10.4%, compared with the six months ended June 30, 2018 primarily due to reductions in transactional tax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2019, depreciation and amortization decreased approximately $2.2 million, or 3.4%, compared with the six months ended June 30, 2018 primarily from lower amortization expense on our affiliate contract expansion rights, which is recognized on an accelerated method that declines over time.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w w:val="96"/>
              </w:rPr>
              <w:t>The following table indicates selected operating statistics of Cable: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0"/>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w:t>
            </w:r>
          </w:p>
        </w:tc>
        <w:tc>
          <w:tcPr>
            <w:tcW w:w="2020" w:type="dxa"/>
            <w:vAlign w:val="bottom"/>
          </w:tcPr>
          <w:p>
            <w:pPr>
              <w:jc w:val="right"/>
              <w:ind w:right="6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7"/>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Homes passed (1)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189,762</w:t>
            </w:r>
          </w:p>
        </w:tc>
        <w:tc>
          <w:tcPr>
            <w:tcW w:w="10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185,016</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Customer relationships (2)</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Video users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40,497</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42,483</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Non-video customers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35,773</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Total customer relationships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83,521</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78,256</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Video</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Customers (3)</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42,874</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44,800</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16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Digital video penetration (5)</w:t>
            </w:r>
          </w:p>
        </w:tc>
        <w:tc>
          <w:tcPr>
            <w:tcW w:w="166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Broadband</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Users (3)</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71,893</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65,466</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16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Voice</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Users (3)</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22,882</w:t>
            </w:r>
          </w:p>
        </w:tc>
      </w:tr>
      <w:tr>
        <w:trPr>
          <w:trHeight w:val="27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16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Total revenue generating units (6)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138,572</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133,148</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Fiber route miles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3,426</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Total fiber miles (7)</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143,762</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133,702</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Average revenue generating units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138,016</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132,287</w:t>
            </w:r>
          </w:p>
        </w:tc>
      </w:tr>
      <w:tr>
        <w:trPr>
          <w:trHeight w:val="142"/>
        </w:trPr>
        <w:tc>
          <w:tcPr>
            <w:tcW w:w="478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for video, broadband, or voice services,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broadband users.</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with the Three Months Ended June 30, 2018</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Cable operating revenue</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2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30,716</w:t>
            </w:r>
          </w:p>
        </w:tc>
        <w:tc>
          <w:tcPr>
            <w:tcW w:w="110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28,748</w:t>
            </w:r>
          </w:p>
        </w:tc>
        <w:tc>
          <w:tcPr>
            <w:tcW w:w="1080" w:type="dxa"/>
            <w:vAlign w:val="bottom"/>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3"/>
        </w:trPr>
        <w:tc>
          <w:tcPr>
            <w:tcW w:w="4820" w:type="dxa"/>
            <w:vAlign w:val="bottom"/>
          </w:tcPr>
          <w:p>
            <w:pPr>
              <w:ind w:left="240"/>
              <w:spacing w:after="0"/>
              <w:rPr>
                <w:sz w:val="20"/>
                <w:szCs w:val="20"/>
                <w:color w:val="auto"/>
              </w:rPr>
            </w:pPr>
            <w:r>
              <w:rPr>
                <w:rFonts w:ascii="Arial" w:cs="Arial" w:eastAsia="Arial" w:hAnsi="Arial"/>
                <w:sz w:val="18"/>
                <w:szCs w:val="18"/>
                <w:color w:val="auto"/>
              </w:rPr>
              <w:t>Total Cable operating revenue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Cable operating expenses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15,701</w:t>
            </w:r>
          </w:p>
        </w:tc>
        <w:tc>
          <w:tcPr>
            <w:tcW w:w="110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15,125</w:t>
            </w:r>
          </w:p>
        </w:tc>
        <w:tc>
          <w:tcPr>
            <w:tcW w:w="1080" w:type="dxa"/>
            <w:vAlign w:val="bottom"/>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5,536</w:t>
            </w:r>
          </w:p>
        </w:tc>
        <w:tc>
          <w:tcPr>
            <w:tcW w:w="11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4,661</w:t>
            </w:r>
          </w:p>
        </w:tc>
        <w:tc>
          <w:tcPr>
            <w:tcW w:w="108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4820" w:type="dxa"/>
            <w:vAlign w:val="bottom"/>
          </w:tcPr>
          <w:p>
            <w:pPr>
              <w:ind w:left="240"/>
              <w:spacing w:after="0"/>
              <w:rPr>
                <w:sz w:val="20"/>
                <w:szCs w:val="20"/>
                <w:color w:val="auto"/>
              </w:rPr>
            </w:pPr>
            <w:r>
              <w:rPr>
                <w:rFonts w:ascii="Arial" w:cs="Arial" w:eastAsia="Arial" w:hAnsi="Arial"/>
                <w:sz w:val="18"/>
                <w:szCs w:val="18"/>
                <w:color w:val="auto"/>
              </w:rPr>
              <w:t>Total Cable operating expenses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Cable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6"/>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389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57" w:lineRule="exact"/>
        <w:rPr>
          <w:sz w:val="20"/>
          <w:szCs w:val="20"/>
          <w:color w:val="auto"/>
        </w:rPr>
      </w:pPr>
    </w:p>
    <w:p>
      <w:pPr>
        <w:ind w:left="1106" w:hanging="1106"/>
        <w:spacing w:after="0"/>
        <w:tabs>
          <w:tab w:leader="none" w:pos="110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389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9" w:lineRule="exact"/>
        <w:rPr>
          <w:sz w:val="20"/>
          <w:szCs w:val="20"/>
          <w:color w:val="auto"/>
        </w:rPr>
      </w:pPr>
    </w:p>
    <w:tbl>
      <w:tblPr>
        <w:tblLayout w:type="fixed"/>
        <w:tblInd w:w="86" w:type="dxa"/>
        <w:tblCellMar>
          <w:top w:w="0" w:type="dxa"/>
          <w:left w:w="0" w:type="dxa"/>
          <w:bottom w:w="0" w:type="dxa"/>
          <w:right w:w="0" w:type="dxa"/>
        </w:tblCellMar>
      </w:tblPr>
      <w:tr>
        <w:trPr>
          <w:trHeight w:val="206"/>
        </w:trPr>
        <w:tc>
          <w:tcPr>
            <w:tcW w:w="780" w:type="dxa"/>
            <w:vAlign w:val="bottom"/>
          </w:tcPr>
          <w:p>
            <w:pPr>
              <w:jc w:val="right"/>
              <w:ind w:right="339"/>
              <w:spacing w:after="0"/>
              <w:rPr>
                <w:sz w:val="20"/>
                <w:szCs w:val="20"/>
                <w:color w:val="auto"/>
              </w:rPr>
            </w:pPr>
            <w:r>
              <w:rPr>
                <w:rFonts w:ascii="Arial" w:cs="Arial" w:eastAsia="Arial" w:hAnsi="Arial"/>
                <w:sz w:val="16"/>
                <w:szCs w:val="16"/>
                <w:color w:val="auto"/>
                <w:w w:val="84"/>
              </w:rPr>
              <w:t>1,968</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111</w:t>
            </w:r>
          </w:p>
        </w:tc>
        <w:tc>
          <w:tcPr>
            <w:tcW w:w="84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500</w:t>
            </w: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84"/>
        </w:trPr>
        <w:tc>
          <w:tcPr>
            <w:tcW w:w="780" w:type="dxa"/>
            <w:vAlign w:val="bottom"/>
          </w:tcPr>
          <w:p>
            <w:pPr>
              <w:jc w:val="right"/>
              <w:ind w:right="339"/>
              <w:spacing w:after="0"/>
              <w:rPr>
                <w:sz w:val="20"/>
                <w:szCs w:val="20"/>
                <w:color w:val="auto"/>
              </w:rPr>
            </w:pPr>
            <w:r>
              <w:rPr>
                <w:rFonts w:ascii="Arial" w:cs="Arial" w:eastAsia="Arial" w:hAnsi="Arial"/>
                <w:sz w:val="16"/>
                <w:szCs w:val="16"/>
                <w:color w:val="auto"/>
                <w:w w:val="84"/>
              </w:rPr>
              <w:t>2,579</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554"/>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576</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49</w:t>
            </w:r>
          </w:p>
        </w:tc>
        <w:tc>
          <w:tcPr>
            <w:tcW w:w="8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875</w:t>
            </w: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376</w:t>
            </w: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84"/>
        </w:trPr>
        <w:tc>
          <w:tcPr>
            <w:tcW w:w="780" w:type="dxa"/>
            <w:vAlign w:val="bottom"/>
          </w:tcPr>
          <w:p>
            <w:pPr>
              <w:jc w:val="right"/>
              <w:ind w:right="339"/>
              <w:spacing w:after="0"/>
              <w:rPr>
                <w:sz w:val="20"/>
                <w:szCs w:val="20"/>
                <w:color w:val="auto"/>
              </w:rPr>
            </w:pPr>
            <w:r>
              <w:rPr>
                <w:rFonts w:ascii="Arial" w:cs="Arial" w:eastAsia="Arial" w:hAnsi="Arial"/>
                <w:sz w:val="16"/>
                <w:szCs w:val="16"/>
                <w:color w:val="auto"/>
                <w:w w:val="84"/>
              </w:rPr>
              <w:t>1,876</w:t>
            </w: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97"/>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703</w:t>
            </w: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60" w:lineRule="exact"/>
        <w:rPr>
          <w:sz w:val="20"/>
          <w:szCs w:val="20"/>
          <w:color w:val="auto"/>
        </w:rPr>
      </w:pPr>
    </w:p>
    <w:p>
      <w:pPr>
        <w:sectPr>
          <w:pgSz w:w="11900" w:h="16838" w:orient="portrait"/>
          <w:cols w:equalWidth="0" w:num="2">
            <w:col w:w="9120" w:space="574"/>
            <w:col w:w="1726"/>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three months ended June 30, 2019, service revenue increased approximately $2.0 million, or 6.8%, compared with the three months ended June 30, 2018. The increase was primarily attributable to a full quarter of Big Sandy results, increases in broadband subscribers and higher average revenue per customer ("ARPU") related to broadband customers upgrading to higher-speed data access packages and increases in video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revenue is mainly comprised of fiber services and installation services. During the three months ended June 30, 2019, other revenue increased approximately $0.5 million, or 15.5%, compared with the three months ended June 30, 2018 primarily attributable to expansion of the Company's fiber network and increased demand for fiber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June 30, 2019, operating expenses increased approximately $1.9 million, or 7.2%, compared with the three months ended June 30, 2018 primarily due to professional fees associated with starting our FTTH product offering and higher repair and maintenance expense associated with maintaining our growing network. We expect to continue to incur expenses related to the initiation of FTTH in select markets, in advance of generating revenue from this new product.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with the Six Months Ended June 30, 2018</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Cable operating revenue</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2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60,421</w:t>
            </w:r>
          </w:p>
        </w:tc>
        <w:tc>
          <w:tcPr>
            <w:tcW w:w="1100" w:type="dxa"/>
            <w:vAlign w:val="bottom"/>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57,219</w:t>
            </w:r>
          </w:p>
        </w:tc>
        <w:tc>
          <w:tcPr>
            <w:tcW w:w="108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w:t>
            </w: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3"/>
        </w:trPr>
        <w:tc>
          <w:tcPr>
            <w:tcW w:w="4820" w:type="dxa"/>
            <w:vAlign w:val="bottom"/>
          </w:tcPr>
          <w:p>
            <w:pPr>
              <w:ind w:left="240"/>
              <w:spacing w:after="0"/>
              <w:rPr>
                <w:sz w:val="20"/>
                <w:szCs w:val="20"/>
                <w:color w:val="auto"/>
              </w:rPr>
            </w:pPr>
            <w:r>
              <w:rPr>
                <w:rFonts w:ascii="Arial" w:cs="Arial" w:eastAsia="Arial" w:hAnsi="Arial"/>
                <w:sz w:val="18"/>
                <w:szCs w:val="18"/>
                <w:color w:val="auto"/>
              </w:rPr>
              <w:t>Total Cable operating revenue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Cable operating expenses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31,348</w:t>
            </w:r>
          </w:p>
        </w:tc>
        <w:tc>
          <w:tcPr>
            <w:tcW w:w="110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30,281</w:t>
            </w:r>
          </w:p>
        </w:tc>
        <w:tc>
          <w:tcPr>
            <w:tcW w:w="108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11,262</w:t>
            </w:r>
          </w:p>
        </w:tc>
        <w:tc>
          <w:tcPr>
            <w:tcW w:w="11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9,609</w:t>
            </w:r>
          </w:p>
        </w:tc>
        <w:tc>
          <w:tcPr>
            <w:tcW w:w="10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64"/>
        </w:trPr>
        <w:tc>
          <w:tcPr>
            <w:tcW w:w="4820" w:type="dxa"/>
            <w:vAlign w:val="bottom"/>
          </w:tcPr>
          <w:p>
            <w:pPr>
              <w:ind w:left="240"/>
              <w:spacing w:after="0"/>
              <w:rPr>
                <w:sz w:val="20"/>
                <w:szCs w:val="20"/>
                <w:color w:val="auto"/>
              </w:rPr>
            </w:pPr>
            <w:r>
              <w:rPr>
                <w:rFonts w:ascii="Arial" w:cs="Arial" w:eastAsia="Arial" w:hAnsi="Arial"/>
                <w:sz w:val="18"/>
                <w:szCs w:val="18"/>
                <w:color w:val="auto"/>
              </w:rPr>
              <w:t>Total Cable operating expenses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Cable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6"/>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389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57" w:lineRule="exact"/>
        <w:rPr>
          <w:sz w:val="20"/>
          <w:szCs w:val="20"/>
          <w:color w:val="auto"/>
        </w:rPr>
      </w:pPr>
    </w:p>
    <w:p>
      <w:pPr>
        <w:ind w:left="1106" w:hanging="1106"/>
        <w:spacing w:after="0"/>
        <w:tabs>
          <w:tab w:leader="none" w:pos="110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389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9" w:lineRule="exact"/>
        <w:rPr>
          <w:sz w:val="20"/>
          <w:szCs w:val="20"/>
          <w:color w:val="auto"/>
        </w:rPr>
      </w:pPr>
    </w:p>
    <w:tbl>
      <w:tblPr>
        <w:tblLayout w:type="fixed"/>
        <w:tblInd w:w="86" w:type="dxa"/>
        <w:tblCellMar>
          <w:top w:w="0" w:type="dxa"/>
          <w:left w:w="0" w:type="dxa"/>
          <w:bottom w:w="0" w:type="dxa"/>
          <w:right w:w="0" w:type="dxa"/>
        </w:tblCellMar>
      </w:tblPr>
      <w:tr>
        <w:trPr>
          <w:trHeight w:val="206"/>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3,202</w:t>
            </w: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0"/>
        </w:trPr>
        <w:tc>
          <w:tcPr>
            <w:tcW w:w="740" w:type="dxa"/>
            <w:vAlign w:val="bottom"/>
          </w:tcPr>
          <w:p>
            <w:pPr>
              <w:jc w:val="right"/>
              <w:ind w:right="299"/>
              <w:spacing w:after="0"/>
              <w:rPr>
                <w:sz w:val="20"/>
                <w:szCs w:val="20"/>
                <w:color w:val="auto"/>
              </w:rPr>
            </w:pPr>
            <w:r>
              <w:rPr>
                <w:rFonts w:ascii="Arial" w:cs="Arial" w:eastAsia="Arial" w:hAnsi="Arial"/>
                <w:sz w:val="16"/>
                <w:szCs w:val="16"/>
                <w:color w:val="auto"/>
              </w:rPr>
              <w:t>222</w:t>
            </w:r>
          </w:p>
        </w:tc>
        <w:tc>
          <w:tcPr>
            <w:tcW w:w="88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70"/>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1,153</w:t>
            </w:r>
          </w:p>
        </w:tc>
        <w:tc>
          <w:tcPr>
            <w:tcW w:w="8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84"/>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4,577</w:t>
            </w: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554"/>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1,067</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740" w:type="dxa"/>
            <w:vAlign w:val="bottom"/>
          </w:tcPr>
          <w:p>
            <w:pPr>
              <w:jc w:val="right"/>
              <w:ind w:right="299"/>
              <w:spacing w:after="0"/>
              <w:rPr>
                <w:sz w:val="20"/>
                <w:szCs w:val="20"/>
                <w:color w:val="auto"/>
              </w:rPr>
            </w:pPr>
            <w:r>
              <w:rPr>
                <w:rFonts w:ascii="Arial" w:cs="Arial" w:eastAsia="Arial" w:hAnsi="Arial"/>
                <w:sz w:val="16"/>
                <w:szCs w:val="16"/>
                <w:color w:val="auto"/>
              </w:rPr>
              <w:t>168</w:t>
            </w:r>
          </w:p>
        </w:tc>
        <w:tc>
          <w:tcPr>
            <w:tcW w:w="88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70"/>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1,653</w:t>
            </w: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70"/>
        </w:trPr>
        <w:tc>
          <w:tcPr>
            <w:tcW w:w="740" w:type="dxa"/>
            <w:vAlign w:val="bottom"/>
          </w:tcPr>
          <w:p>
            <w:pPr>
              <w:jc w:val="right"/>
              <w:ind w:right="299"/>
              <w:spacing w:after="0"/>
              <w:rPr>
                <w:sz w:val="20"/>
                <w:szCs w:val="20"/>
                <w:color w:val="auto"/>
              </w:rPr>
            </w:pPr>
            <w:r>
              <w:rPr>
                <w:rFonts w:ascii="Arial" w:cs="Arial" w:eastAsia="Arial" w:hAnsi="Arial"/>
                <w:sz w:val="16"/>
                <w:szCs w:val="16"/>
                <w:color w:val="auto"/>
              </w:rPr>
              <w:t>810</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84"/>
        </w:trPr>
        <w:tc>
          <w:tcPr>
            <w:tcW w:w="740" w:type="dxa"/>
            <w:vAlign w:val="bottom"/>
          </w:tcPr>
          <w:p>
            <w:pPr>
              <w:jc w:val="right"/>
              <w:ind w:right="299"/>
              <w:spacing w:after="0"/>
              <w:rPr>
                <w:sz w:val="20"/>
                <w:szCs w:val="20"/>
                <w:color w:val="auto"/>
              </w:rPr>
            </w:pPr>
            <w:r>
              <w:rPr>
                <w:rFonts w:ascii="Arial" w:cs="Arial" w:eastAsia="Arial" w:hAnsi="Arial"/>
                <w:sz w:val="16"/>
                <w:szCs w:val="16"/>
                <w:color w:val="auto"/>
                <w:w w:val="84"/>
              </w:rPr>
              <w:t>3,698</w:t>
            </w: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7"/>
        </w:trPr>
        <w:tc>
          <w:tcPr>
            <w:tcW w:w="740" w:type="dxa"/>
            <w:vAlign w:val="bottom"/>
          </w:tcPr>
          <w:p>
            <w:pPr>
              <w:jc w:val="right"/>
              <w:ind w:right="299"/>
              <w:spacing w:after="0"/>
              <w:rPr>
                <w:sz w:val="20"/>
                <w:szCs w:val="20"/>
                <w:color w:val="auto"/>
              </w:rPr>
            </w:pPr>
            <w:r>
              <w:rPr>
                <w:rFonts w:ascii="Arial" w:cs="Arial" w:eastAsia="Arial" w:hAnsi="Arial"/>
                <w:sz w:val="16"/>
                <w:szCs w:val="16"/>
                <w:color w:val="auto"/>
              </w:rPr>
              <w:t>879</w:t>
            </w: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r>
    </w:tbl>
    <w:p>
      <w:pPr>
        <w:spacing w:after="0" w:line="260" w:lineRule="exact"/>
        <w:rPr>
          <w:sz w:val="20"/>
          <w:szCs w:val="20"/>
          <w:color w:val="auto"/>
        </w:rPr>
      </w:pPr>
    </w:p>
    <w:p>
      <w:pPr>
        <w:sectPr>
          <w:pgSz w:w="11900" w:h="16838" w:orient="portrait"/>
          <w:cols w:equalWidth="0" w:num="2">
            <w:col w:w="9120" w:space="574"/>
            <w:col w:w="1726"/>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six months ended June 30, 2019, service revenue increased approximately $3.2 million, or 5.6%, compared with the six months ended June 30, 2018. The increase in service revenue was primarily attributable to the addition of 5,265 customer relationships, of which approximately 2,000 were acquired from Big Sandy, as well as broadband customers upgrade to higher-speed data access packages and increases in video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revenue is mainly comprised of fiber services and installation services. During the six months ended June 30, 2019, other revenue increased approximately $1.2 million, or 18.3%, compared with the six months ended June 30, 2018 primarily attributable to expansion of the Company's fiber network and increased demand for fiber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2019, operating expenses increased approximately $3.7 million, or 7.1%, compared with the six months ended June 30, 2018 primarily due to professional fees associated with starting our FTTH product offering and higher repair and maintenance expense associated with maintaining our growing network. We expect to continue to incur expenses related to the initiation of FTTH in select markets, in advance of generating revenue from this new product.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Wireline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selected operating statistics of the Wireline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Arial" w:cs="Arial" w:eastAsia="Arial" w:hAnsi="Arial"/>
                <w:sz w:val="18"/>
                <w:szCs w:val="18"/>
                <w:b w:val="1"/>
                <w:bCs w:val="1"/>
                <w:color w:val="auto"/>
              </w:rPr>
              <w:t>June 30,</w:t>
            </w: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9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780" w:type="dxa"/>
            <w:vAlign w:val="bottom"/>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8,930</w:t>
            </w:r>
          </w:p>
        </w:tc>
      </w:tr>
      <w:tr>
        <w:trPr>
          <w:trHeight w:val="270"/>
        </w:trPr>
        <w:tc>
          <w:tcPr>
            <w:tcW w:w="4920" w:type="dxa"/>
            <w:vAlign w:val="bottom"/>
          </w:tcPr>
          <w:p>
            <w:pPr>
              <w:jc w:val="right"/>
              <w:ind w:right="56"/>
              <w:spacing w:after="0"/>
              <w:rPr>
                <w:sz w:val="20"/>
                <w:szCs w:val="20"/>
                <w:color w:val="auto"/>
              </w:rPr>
            </w:pPr>
            <w:r>
              <w:rPr>
                <w:rFonts w:ascii="Arial" w:cs="Arial" w:eastAsia="Arial" w:hAnsi="Arial"/>
                <w:sz w:val="18"/>
                <w:szCs w:val="18"/>
                <w:color w:val="auto"/>
              </w:rPr>
              <w:t>Video customers (1)</w:t>
            </w:r>
          </w:p>
        </w:tc>
        <w:tc>
          <w:tcPr>
            <w:tcW w:w="178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4,850</w:t>
            </w:r>
          </w:p>
        </w:tc>
      </w:tr>
      <w:tr>
        <w:trPr>
          <w:trHeight w:val="270"/>
        </w:trPr>
        <w:tc>
          <w:tcPr>
            <w:tcW w:w="4920" w:type="dxa"/>
            <w:vAlign w:val="bottom"/>
          </w:tcPr>
          <w:p>
            <w:pPr>
              <w:jc w:val="right"/>
              <w:ind w:right="56"/>
              <w:spacing w:after="0"/>
              <w:rPr>
                <w:sz w:val="20"/>
                <w:szCs w:val="20"/>
                <w:color w:val="auto"/>
              </w:rPr>
            </w:pPr>
            <w:r>
              <w:rPr>
                <w:rFonts w:ascii="Arial" w:cs="Arial" w:eastAsia="Arial" w:hAnsi="Arial"/>
                <w:sz w:val="18"/>
                <w:szCs w:val="18"/>
                <w:color w:val="auto"/>
              </w:rPr>
              <w:t>Broadband customers</w:t>
            </w:r>
          </w:p>
        </w:tc>
        <w:tc>
          <w:tcPr>
            <w:tcW w:w="1780" w:type="dxa"/>
            <w:vAlign w:val="bottom"/>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14,694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78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0"/>
        </w:trPr>
        <w:tc>
          <w:tcPr>
            <w:tcW w:w="4920" w:type="dxa"/>
            <w:vAlign w:val="bottom"/>
          </w:tcPr>
          <w:p>
            <w:pPr>
              <w:jc w:val="right"/>
              <w:ind w:right="56"/>
              <w:spacing w:after="0"/>
              <w:rPr>
                <w:sz w:val="20"/>
                <w:szCs w:val="20"/>
                <w:color w:val="auto"/>
              </w:rPr>
            </w:pPr>
            <w:r>
              <w:rPr>
                <w:rFonts w:ascii="Arial" w:cs="Arial" w:eastAsia="Arial" w:hAnsi="Arial"/>
                <w:sz w:val="18"/>
                <w:szCs w:val="18"/>
                <w:color w:val="auto"/>
              </w:rPr>
              <w:t>Total fiber miles (2)</w:t>
            </w:r>
          </w:p>
        </w:tc>
        <w:tc>
          <w:tcPr>
            <w:tcW w:w="1780" w:type="dxa"/>
            <w:vAlign w:val="bottom"/>
          </w:tcPr>
          <w:p>
            <w:pPr>
              <w:jc w:val="right"/>
              <w:spacing w:after="0"/>
              <w:rPr>
                <w:sz w:val="20"/>
                <w:szCs w:val="20"/>
                <w:color w:val="auto"/>
              </w:rPr>
            </w:pPr>
            <w:r>
              <w:rPr>
                <w:rFonts w:ascii="Arial" w:cs="Arial" w:eastAsia="Arial" w:hAnsi="Arial"/>
                <w:sz w:val="18"/>
                <w:szCs w:val="18"/>
                <w:color w:val="auto"/>
              </w:rPr>
              <w:t>163,363</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157,008</w:t>
            </w:r>
          </w:p>
        </w:tc>
      </w:tr>
      <w:tr>
        <w:trPr>
          <w:trHeight w:val="142"/>
        </w:trPr>
        <w:tc>
          <w:tcPr>
            <w:tcW w:w="4920" w:type="dxa"/>
            <w:vAlign w:val="bottom"/>
          </w:tcPr>
          <w:p>
            <w:pPr>
              <w:jc w:val="right"/>
              <w:ind w:right="1856"/>
              <w:spacing w:after="0"/>
              <w:rPr>
                <w:sz w:val="20"/>
                <w:szCs w:val="20"/>
                <w:color w:val="auto"/>
              </w:rPr>
            </w:pPr>
            <w:r>
              <w:rPr>
                <w:rFonts w:ascii="Arial" w:cs="Arial" w:eastAsia="Arial" w:hAnsi="Arial"/>
                <w:sz w:val="11"/>
                <w:szCs w:val="11"/>
                <w:color w:val="auto"/>
                <w:w w:val="87"/>
              </w:rPr>
              <w:t>_______________________________________________________</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June 30, 2019 Compared with the Three Months Ended June 30, 2018</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1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Wireline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0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5,955</w:t>
            </w:r>
          </w:p>
        </w:tc>
        <w:tc>
          <w:tcPr>
            <w:tcW w:w="108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5,725</w:t>
            </w:r>
          </w:p>
        </w:tc>
        <w:tc>
          <w:tcPr>
            <w:tcW w:w="1100" w:type="dxa"/>
            <w:vAlign w:val="bottom"/>
          </w:tcPr>
          <w:p>
            <w:pPr>
              <w:jc w:val="right"/>
              <w:spacing w:after="0"/>
              <w:rPr>
                <w:sz w:val="20"/>
                <w:szCs w:val="20"/>
                <w:color w:val="auto"/>
              </w:rPr>
            </w:pPr>
            <w:r>
              <w:rPr>
                <w:rFonts w:ascii="Arial" w:cs="Arial" w:eastAsia="Arial" w:hAnsi="Arial"/>
                <w:sz w:val="14"/>
                <w:szCs w:val="14"/>
                <w:color w:val="auto"/>
              </w:rPr>
              <w:t>30.0%</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Carrier access and fiber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12,835</w:t>
            </w: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12,468</w:t>
            </w:r>
          </w:p>
        </w:tc>
        <w:tc>
          <w:tcPr>
            <w:tcW w:w="1100" w:type="dxa"/>
            <w:vAlign w:val="bottom"/>
          </w:tcPr>
          <w:p>
            <w:pPr>
              <w:jc w:val="right"/>
              <w:spacing w:after="0"/>
              <w:rPr>
                <w:sz w:val="20"/>
                <w:szCs w:val="20"/>
                <w:color w:val="auto"/>
              </w:rPr>
            </w:pPr>
            <w:r>
              <w:rPr>
                <w:rFonts w:ascii="Arial" w:cs="Arial" w:eastAsia="Arial" w:hAnsi="Arial"/>
                <w:sz w:val="14"/>
                <w:szCs w:val="14"/>
                <w:color w:val="auto"/>
              </w:rPr>
              <w:t>65.2%</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0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76"/>
        </w:trPr>
        <w:tc>
          <w:tcPr>
            <w:tcW w:w="48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63"/>
        </w:trPr>
        <w:tc>
          <w:tcPr>
            <w:tcW w:w="4800" w:type="dxa"/>
            <w:vAlign w:val="bottom"/>
          </w:tcPr>
          <w:p>
            <w:pPr>
              <w:ind w:left="280"/>
              <w:spacing w:after="0"/>
              <w:rPr>
                <w:sz w:val="20"/>
                <w:szCs w:val="20"/>
                <w:color w:val="auto"/>
              </w:rPr>
            </w:pPr>
            <w:r>
              <w:rPr>
                <w:rFonts w:ascii="Arial" w:cs="Arial" w:eastAsia="Arial" w:hAnsi="Arial"/>
                <w:sz w:val="18"/>
                <w:szCs w:val="18"/>
                <w:color w:val="auto"/>
              </w:rPr>
              <w:t>Total Wireline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Wireline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8,979</w:t>
            </w:r>
          </w:p>
        </w:tc>
        <w:tc>
          <w:tcPr>
            <w:tcW w:w="108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9,373</w:t>
            </w:r>
          </w:p>
        </w:tc>
        <w:tc>
          <w:tcPr>
            <w:tcW w:w="1100" w:type="dxa"/>
            <w:vAlign w:val="bottom"/>
          </w:tcPr>
          <w:p>
            <w:pPr>
              <w:jc w:val="right"/>
              <w:spacing w:after="0"/>
              <w:rPr>
                <w:sz w:val="20"/>
                <w:szCs w:val="20"/>
                <w:color w:val="auto"/>
              </w:rPr>
            </w:pPr>
            <w:r>
              <w:rPr>
                <w:rFonts w:ascii="Arial" w:cs="Arial" w:eastAsia="Arial" w:hAnsi="Arial"/>
                <w:sz w:val="14"/>
                <w:szCs w:val="14"/>
                <w:color w:val="auto"/>
              </w:rPr>
              <w:t>49.0%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Costs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1,988</w:t>
            </w:r>
          </w:p>
        </w:tc>
        <w:tc>
          <w:tcPr>
            <w:tcW w:w="10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1,686</w:t>
            </w:r>
          </w:p>
        </w:tc>
        <w:tc>
          <w:tcPr>
            <w:tcW w:w="1100" w:type="dxa"/>
            <w:vAlign w:val="bottom"/>
          </w:tcPr>
          <w:p>
            <w:pPr>
              <w:jc w:val="right"/>
              <w:spacing w:after="0"/>
              <w:rPr>
                <w:sz w:val="20"/>
                <w:szCs w:val="20"/>
                <w:color w:val="auto"/>
              </w:rPr>
            </w:pPr>
            <w:r>
              <w:rPr>
                <w:rFonts w:ascii="Arial" w:cs="Arial" w:eastAsia="Arial" w:hAnsi="Arial"/>
                <w:sz w:val="14"/>
                <w:szCs w:val="14"/>
                <w:color w:val="auto"/>
              </w:rPr>
              <w:t>8.8%</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76"/>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64"/>
        </w:trPr>
        <w:tc>
          <w:tcPr>
            <w:tcW w:w="4800" w:type="dxa"/>
            <w:vAlign w:val="bottom"/>
          </w:tcPr>
          <w:p>
            <w:pPr>
              <w:ind w:left="280"/>
              <w:spacing w:after="0"/>
              <w:rPr>
                <w:sz w:val="20"/>
                <w:szCs w:val="20"/>
                <w:color w:val="auto"/>
              </w:rPr>
            </w:pPr>
            <w:r>
              <w:rPr>
                <w:rFonts w:ascii="Arial" w:cs="Arial" w:eastAsia="Arial" w:hAnsi="Arial"/>
                <w:sz w:val="18"/>
                <w:szCs w:val="18"/>
                <w:color w:val="auto"/>
              </w:rPr>
              <w:t>Total Wireline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8"/>
                <w:szCs w:val="18"/>
                <w:color w:val="auto"/>
              </w:rPr>
              <w:t>Wireline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120" w:type="dxa"/>
            <w:vAlign w:val="bottom"/>
            <w:gridSpan w:val="2"/>
          </w:tcPr>
          <w:p>
            <w:pPr>
              <w:jc w:val="right"/>
              <w:ind w:right="3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June 30, 2019, total operating revenue increased approximately $0.4 million compared with the three months ended June 30, 2018. The increase in operating revenue was primarily attributable to the timing of receiving regulatory support funds.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2019, total operating expenses were comparable to the three months ended June 30,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with the Six Months Ended June 30, 2018</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Arial" w:cs="Arial" w:eastAsia="Arial" w:hAnsi="Arial"/>
                <w:sz w:val="18"/>
                <w:szCs w:val="18"/>
                <w:color w:val="auto"/>
              </w:rPr>
              <w:t>Wireline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76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11,808</w:t>
            </w:r>
          </w:p>
        </w:tc>
        <w:tc>
          <w:tcPr>
            <w:tcW w:w="108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11,615</w:t>
            </w:r>
          </w:p>
        </w:tc>
        <w:tc>
          <w:tcPr>
            <w:tcW w:w="110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Carrier access and fiber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25,164</w:t>
            </w:r>
          </w:p>
        </w:tc>
        <w:tc>
          <w:tcPr>
            <w:tcW w:w="108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25,322</w:t>
            </w:r>
          </w:p>
        </w:tc>
        <w:tc>
          <w:tcPr>
            <w:tcW w:w="110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0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476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3"/>
        </w:trPr>
        <w:tc>
          <w:tcPr>
            <w:tcW w:w="4760" w:type="dxa"/>
            <w:vAlign w:val="bottom"/>
          </w:tcPr>
          <w:p>
            <w:pPr>
              <w:ind w:left="240"/>
              <w:spacing w:after="0"/>
              <w:rPr>
                <w:sz w:val="20"/>
                <w:szCs w:val="20"/>
                <w:color w:val="auto"/>
              </w:rPr>
            </w:pPr>
            <w:r>
              <w:rPr>
                <w:rFonts w:ascii="Arial" w:cs="Arial" w:eastAsia="Arial" w:hAnsi="Arial"/>
                <w:sz w:val="18"/>
                <w:szCs w:val="18"/>
                <w:color w:val="auto"/>
              </w:rPr>
              <w:t>Total Wireline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Wireline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76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18,130</w:t>
            </w:r>
          </w:p>
        </w:tc>
        <w:tc>
          <w:tcPr>
            <w:tcW w:w="108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19,175</w:t>
            </w:r>
          </w:p>
        </w:tc>
        <w:tc>
          <w:tcPr>
            <w:tcW w:w="1100" w:type="dxa"/>
            <w:vAlign w:val="bottom"/>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Costs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3,831</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3,403</w:t>
            </w:r>
          </w:p>
        </w:tc>
        <w:tc>
          <w:tcPr>
            <w:tcW w:w="11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6"/>
        </w:trPr>
        <w:tc>
          <w:tcPr>
            <w:tcW w:w="4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64"/>
        </w:trPr>
        <w:tc>
          <w:tcPr>
            <w:tcW w:w="4760" w:type="dxa"/>
            <w:vAlign w:val="bottom"/>
          </w:tcPr>
          <w:p>
            <w:pPr>
              <w:ind w:left="240"/>
              <w:spacing w:after="0"/>
              <w:rPr>
                <w:sz w:val="20"/>
                <w:szCs w:val="20"/>
                <w:color w:val="auto"/>
              </w:rPr>
            </w:pPr>
            <w:r>
              <w:rPr>
                <w:rFonts w:ascii="Arial" w:cs="Arial" w:eastAsia="Arial" w:hAnsi="Arial"/>
                <w:sz w:val="18"/>
                <w:szCs w:val="18"/>
                <w:color w:val="auto"/>
              </w:rPr>
              <w:t>Total Wireline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0"/>
                <w:szCs w:val="20"/>
                <w:color w:val="auto"/>
              </w:rPr>
            </w:pPr>
            <w:r>
              <w:rPr>
                <w:rFonts w:ascii="Arial" w:cs="Arial" w:eastAsia="Arial" w:hAnsi="Arial"/>
                <w:sz w:val="18"/>
                <w:szCs w:val="18"/>
                <w:color w:val="auto"/>
              </w:rPr>
              <w:t>Wireline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2019, total operating revenue was consistent with the six months ended 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2019, total operating expenses were consistent with the six months ended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OIBDA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34290</wp:posOffset>
            </wp:positionV>
            <wp:extent cx="1423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57" w:lineRule="exact"/>
        <w:rPr>
          <w:sz w:val="20"/>
          <w:szCs w:val="20"/>
          <w:color w:val="auto"/>
        </w:rPr>
      </w:pPr>
    </w:p>
    <w:p>
      <w:pPr>
        <w:ind w:left="1120" w:hanging="1120"/>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34290</wp:posOffset>
            </wp:positionV>
            <wp:extent cx="1423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1340" w:val="left"/>
        </w:tabs>
        <w:rPr>
          <w:sz w:val="20"/>
          <w:szCs w:val="20"/>
          <w:color w:val="auto"/>
        </w:rPr>
      </w:pPr>
      <w:r>
        <w:rPr>
          <w:rFonts w:ascii="Arial" w:cs="Arial" w:eastAsia="Arial" w:hAnsi="Arial"/>
          <w:sz w:val="15"/>
          <w:szCs w:val="15"/>
          <w:color w:val="auto"/>
        </w:rPr>
        <w:t>193</w:t>
      </w:r>
      <w:r>
        <w:rPr>
          <w:sz w:val="20"/>
          <w:szCs w:val="20"/>
          <w:color w:val="auto"/>
        </w:rPr>
        <w:tab/>
      </w:r>
      <w:r>
        <w:rPr>
          <w:rFonts w:ascii="Arial" w:cs="Arial" w:eastAsia="Arial" w:hAnsi="Arial"/>
          <w:sz w:val="15"/>
          <w:szCs w:val="15"/>
          <w:color w:val="auto"/>
        </w:rPr>
        <w:t>1.7 %</w:t>
      </w:r>
    </w:p>
    <w:p>
      <w:pPr>
        <w:spacing w:after="0" w:line="98" w:lineRule="exact"/>
        <w:rPr>
          <w:sz w:val="20"/>
          <w:szCs w:val="20"/>
          <w:color w:val="auto"/>
        </w:rPr>
      </w:pPr>
    </w:p>
    <w:p>
      <w:pPr>
        <w:ind w:left="1300" w:hanging="1154"/>
        <w:spacing w:after="0"/>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(0.6)%</w:t>
      </w:r>
    </w:p>
    <w:p>
      <w:pPr>
        <w:spacing w:after="0" w:line="98" w:lineRule="exact"/>
        <w:rPr>
          <w:sz w:val="20"/>
          <w:szCs w:val="20"/>
          <w:color w:val="auto"/>
        </w:rPr>
      </w:pPr>
    </w:p>
    <w:p>
      <w:pPr>
        <w:ind w:left="280"/>
        <w:spacing w:after="0"/>
        <w:tabs>
          <w:tab w:leader="none" w:pos="126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color w:val="auto"/>
        </w:rPr>
        <w:t>12.0 %</w:t>
      </w:r>
    </w:p>
    <w:p>
      <w:pPr>
        <w:spacing w:after="0" w:line="98" w:lineRule="exact"/>
        <w:rPr>
          <w:sz w:val="20"/>
          <w:szCs w:val="20"/>
          <w:color w:val="auto"/>
        </w:rPr>
      </w:pPr>
    </w:p>
    <w:p>
      <w:pPr>
        <w:ind w:left="1220" w:hanging="1074"/>
        <w:spacing w:after="0"/>
        <w:tabs>
          <w:tab w:leader="none" w:pos="1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(24.0)%</w:t>
      </w:r>
    </w:p>
    <w:p>
      <w:pPr>
        <w:spacing w:after="0" w:line="111" w:lineRule="exact"/>
        <w:rPr>
          <w:sz w:val="20"/>
          <w:szCs w:val="20"/>
          <w:color w:val="auto"/>
        </w:rPr>
      </w:pPr>
    </w:p>
    <w:p>
      <w:pPr>
        <w:ind w:left="1300" w:hanging="1154"/>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(1.0)%</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0"/>
              </w:rPr>
              <w:t>(1,045)</w:t>
            </w: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0"/>
        </w:trPr>
        <w:tc>
          <w:tcPr>
            <w:tcW w:w="860" w:type="dxa"/>
            <w:vAlign w:val="bottom"/>
          </w:tcPr>
          <w:p>
            <w:pPr>
              <w:jc w:val="right"/>
              <w:ind w:right="359"/>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31.0 %</w:t>
            </w:r>
          </w:p>
        </w:tc>
      </w:tr>
      <w:tr>
        <w:trPr>
          <w:trHeight w:val="270"/>
        </w:trPr>
        <w:tc>
          <w:tcPr>
            <w:tcW w:w="860" w:type="dxa"/>
            <w:vAlign w:val="bottom"/>
          </w:tcPr>
          <w:p>
            <w:pPr>
              <w:jc w:val="right"/>
              <w:ind w:right="359"/>
              <w:spacing w:after="0"/>
              <w:rPr>
                <w:sz w:val="20"/>
                <w:szCs w:val="20"/>
                <w:color w:val="auto"/>
              </w:rPr>
            </w:pPr>
            <w:r>
              <w:rPr>
                <w:rFonts w:ascii="Arial" w:cs="Arial" w:eastAsia="Arial" w:hAnsi="Arial"/>
                <w:sz w:val="16"/>
                <w:szCs w:val="16"/>
                <w:color w:val="auto"/>
              </w:rPr>
              <w:t>428</w:t>
            </w:r>
          </w:p>
        </w:tc>
        <w:tc>
          <w:tcPr>
            <w:tcW w:w="88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70"/>
        </w:trPr>
        <w:tc>
          <w:tcPr>
            <w:tcW w:w="860" w:type="dxa"/>
            <w:vAlign w:val="bottom"/>
          </w:tcPr>
          <w:p>
            <w:pPr>
              <w:jc w:val="right"/>
              <w:ind w:right="359"/>
              <w:spacing w:after="0"/>
              <w:rPr>
                <w:sz w:val="20"/>
                <w:szCs w:val="20"/>
                <w:color w:val="auto"/>
              </w:rPr>
            </w:pPr>
            <w:r>
              <w:rPr>
                <w:rFonts w:ascii="Arial" w:cs="Arial" w:eastAsia="Arial" w:hAnsi="Arial"/>
                <w:sz w:val="16"/>
                <w:szCs w:val="16"/>
                <w:color w:val="auto"/>
              </w:rPr>
              <w:t>346</w:t>
            </w:r>
          </w:p>
        </w:tc>
        <w:tc>
          <w:tcPr>
            <w:tcW w:w="880" w:type="dxa"/>
            <w:vAlign w:val="bottom"/>
          </w:tcPr>
          <w:p>
            <w:pPr>
              <w:jc w:val="right"/>
              <w:spacing w:after="0"/>
              <w:rPr>
                <w:sz w:val="20"/>
                <w:szCs w:val="20"/>
                <w:color w:val="auto"/>
              </w:rPr>
            </w:pPr>
            <w:r>
              <w:rPr>
                <w:rFonts w:ascii="Arial" w:cs="Arial" w:eastAsia="Arial" w:hAnsi="Arial"/>
                <w:sz w:val="16"/>
                <w:szCs w:val="16"/>
                <w:color w:val="auto"/>
              </w:rPr>
              <w:t>5.2 %</w:t>
            </w:r>
          </w:p>
        </w:tc>
      </w:tr>
    </w:tbl>
    <w:p>
      <w:pPr>
        <w:spacing w:after="0" w:line="77" w:lineRule="exact"/>
        <w:rPr>
          <w:sz w:val="20"/>
          <w:szCs w:val="20"/>
          <w:color w:val="auto"/>
        </w:rPr>
      </w:pPr>
    </w:p>
    <w:p>
      <w:pPr>
        <w:ind w:left="1300" w:hanging="1154"/>
        <w:spacing w:after="0"/>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(0.9)%</w:t>
      </w:r>
    </w:p>
    <w:p>
      <w:pPr>
        <w:spacing w:after="0" w:line="125" w:lineRule="exact"/>
        <w:rPr>
          <w:sz w:val="20"/>
          <w:szCs w:val="20"/>
          <w:color w:val="auto"/>
        </w:rPr>
      </w:pPr>
    </w:p>
    <w:p>
      <w:pPr>
        <w:ind w:left="1300" w:hanging="1154"/>
        <w:spacing w:after="0"/>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(1.3)%</w:t>
      </w:r>
    </w:p>
    <w:p>
      <w:pPr>
        <w:spacing w:after="0" w:line="2512" w:lineRule="exact"/>
        <w:rPr>
          <w:sz w:val="20"/>
          <w:szCs w:val="20"/>
          <w:color w:val="auto"/>
        </w:rPr>
      </w:pPr>
    </w:p>
    <w:p>
      <w:pPr>
        <w:sectPr>
          <w:pgSz w:w="11900" w:h="16838" w:orient="portrait"/>
          <w:cols w:equalWidth="0" w:num="2">
            <w:col w:w="9160" w:space="480"/>
            <w:col w:w="1780"/>
          </w:cols>
          <w:pgMar w:left="240" w:top="125" w:right="239" w:bottom="1440" w:gutter="0" w:footer="0" w:header="0"/>
        </w:sectPr>
      </w:pP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represents Operating income before depreciation, amortization, stock-based compensation and certain other items of revenue, expense, gain or loss not reflective of our operating performance, which may or may not be recurring in nature.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Q2 2019, we modified our definition of Adjusted OIBDA to exclude the benefit received from the waived management fee and non-cash amortization of deferred contract costs, as well as certain other immaterial items. This change enhances the comparability of our non-GAAP performance measure with similar performance measures reported by comparable companies in our industry. We have applied this change consistently to all comparable periods presented below.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OBIDA has limitations as an analytical tool and should not be considered in isolation or as a substitute for income from operations, net income or any other measure of financial performance reported in accordance with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to operating income, which we consider to be the most directly comparable GAAP financial measure: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22,024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6,786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5,094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24,020</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32,219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42,353</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54,243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66,373</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54,243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13,341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8,541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66,966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realized cash savings of $9.7 million during the period from the waiver of Sprint's Management Fee. These cash savings are accounted for as a reduction of the affiliate contract enhancement asset, which was recognized in conjunction with the 2016 nTelos acquisition. The remaining waived management fee balance at June 30, 2019 was $137.9 million, which we expect to realize through 2022.</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22,251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6,083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4,793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21,169</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31,565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OIBDA</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53,816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62,286</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53,816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12,262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(10,455)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63,656</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realized cash savings of $9.6 million during the period from the waiver of Sprint's Management Fee, as discussed above.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47,361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12,489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9,440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48,807</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63,269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83,532</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110,630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16,420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132,339</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2,307</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110,630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134,646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realized cash savings of $19.3 million during the period from the waiver of Sprint's Management Fee, as discussed above.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39,518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37,923</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65,490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84,604</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OIBDA</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105,008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23,813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122,527</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105,008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23,813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16,199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125,934</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realized cash savings of $18.6 million during the period from the waiver of Sprint's Management Fee, as discussed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2019 our Cash and cash equivalents totaled $98.1 million and the availability under our revolving line of credit was $75.0 million, for a total available liquidity of $173.1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our cash and cash equivalents, cash generated from operations, and proceeds available under our Credit Facility.</w:t>
      </w:r>
    </w:p>
    <w:p>
      <w:pPr>
        <w:spacing w:after="0" w:line="2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Company generated approximately $129.6 million of net cash from operations in the first six months of 2019, representing an increase of $2.5 million or 2.0%, compared with the first six months of 2018, driven by:</w:t>
      </w:r>
    </w:p>
    <w:p>
      <w:pPr>
        <w:spacing w:after="0" w:line="1"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$10.9 million increase in net income, and was partially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$7.6 million increase in net cash outflows from income taxes,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as the result of a change in working capital.</w:t>
      </w:r>
    </w:p>
    <w:p>
      <w:pPr>
        <w:spacing w:after="0" w:line="21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Net cash used in investing activities decreased $24.9 million, or 21.8%, for the six months ended June 30, 2019. Cash used in investing activities for the six months ended June 30, 2019, was primarily for:</w:t>
      </w:r>
    </w:p>
    <w:p>
      <w:pPr>
        <w:spacing w:after="0" w:line="1"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$79.1 million for capital expenditures primarily driven by capacity upgrades and network expansion across our Wireless and Cable segments; and</w:t>
      </w:r>
    </w:p>
    <w:p>
      <w:pPr>
        <w:spacing w:after="0" w:line="32" w:lineRule="exact"/>
        <w:rPr>
          <w:rFonts w:ascii="Arial" w:cs="Arial" w:eastAsia="Arial" w:hAnsi="Arial"/>
          <w:sz w:val="16"/>
          <w:szCs w:val="16"/>
          <w:color w:val="auto"/>
        </w:rPr>
      </w:pPr>
    </w:p>
    <w:p>
      <w:pPr>
        <w:ind w:left="680" w:right="220" w:hanging="321"/>
        <w:spacing w:after="0" w:line="323"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investments in our wireless, cable and fiber networks, other infrastructure investments, made on a recurring basis. In 2018, we acquired the Sprint Territory Expansion Area for $52.0 million and in 2019 we acquired Big Sandy for $10.0 million which was integrated into our Cable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expect our investments in our networks and infrastructure to expand in support of our continued growth.</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financing activities increased $1.3 million, or 5.0%, for the six months ended June 30, 2019. The use of cash for the six months ended June 30, 2019, was primarily from increased principal payments on our long-term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Borrowing Capacity. </w:t>
      </w:r>
      <w:r>
        <w:rPr>
          <w:rFonts w:ascii="Arial" w:cs="Arial" w:eastAsia="Arial" w:hAnsi="Arial"/>
          <w:sz w:val="18"/>
          <w:szCs w:val="18"/>
          <w:color w:val="auto"/>
        </w:rPr>
        <w:t>As of June 30, 2019, the Company’s outstanding debt, under the Credit Facility, totaled $760.5 million, with an estimated annualized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interest rate of 3.79% after considering the impact of the interest rate swap contracts and unamortized loan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was in compliance with the financial covenants in its Credit Facility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our cable markets, is also critical to our ability to maintain a positive cash flow from operations. The foregoing events individually or collectively could affect our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2018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market risks relate primarily to changes in interest rates. The Company’s interest rate risk generally involves two components. The first component is outstanding debt with variable rates. As of June 30, 2019, the Company had $760.5 million of gross variable rate debt outstanding bearing interest at a weighted average rate of 3.79% as determined on a quarterly basis. An increase in market interest rates of 1.00% would add approximately $7.5 million to annual interest expense, excluding the effect of the interest rate swap. The swaps cover notional principal equal to approximately 50% or $361.9 million as of June 30, 2019 of the outstanding variable rate debt through maturity in 2023. The Company is required to pay a combined fixed rate of approximately 1.16% and receive a variable rate based on one month LIBOR (2.44% for June 2019),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$2.3 million, based on the spread between the fixed rate and the variable rate currently in effect on our debt.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disclosed in our Annual Report on Form 10-K for our fiscal year ended December 31, 2018,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and our Vice President - Chief Accounting Officer, have concluded that our disclosure controls and procedures continued to be ineffective as of June 30, 2019.</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June 30, 2019, that have materially affected or are reasonably likely to materially affect, the Company’s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is continuing to implement the material weakness remediation plans as disclosed in our Annual Report on Form 10-K for our fiscal year ended December 31, 2018.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June 30, 2019, the Company has not identified any needed updates to the risk factors included in our most recent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information about shares repurchased to settle employee tax withholding related to the vesting of stock awards during the three months ended June 30, 2019:</w:t>
      </w:r>
    </w:p>
    <w:p>
      <w:pPr>
        <w:spacing w:after="0" w:line="329"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22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360" w:type="dxa"/>
            <w:vAlign w:val="bottom"/>
          </w:tcPr>
          <w:p>
            <w:pPr>
              <w:spacing w:after="0"/>
              <w:rPr>
                <w:sz w:val="18"/>
                <w:szCs w:val="18"/>
                <w:color w:val="auto"/>
              </w:rPr>
            </w:pPr>
          </w:p>
        </w:tc>
        <w:tc>
          <w:tcPr>
            <w:tcW w:w="1960" w:type="dxa"/>
            <w:vAlign w:val="bottom"/>
          </w:tcPr>
          <w:p>
            <w:pPr>
              <w:jc w:val="right"/>
              <w:ind w:right="530"/>
              <w:spacing w:after="0"/>
              <w:rPr>
                <w:sz w:val="20"/>
                <w:szCs w:val="20"/>
                <w:color w:val="auto"/>
              </w:rPr>
            </w:pPr>
            <w:r>
              <w:rPr>
                <w:rFonts w:ascii="Arial" w:cs="Arial" w:eastAsia="Arial" w:hAnsi="Arial"/>
                <w:sz w:val="18"/>
                <w:szCs w:val="18"/>
                <w:b w:val="1"/>
                <w:bCs w:val="1"/>
                <w:color w:val="auto"/>
              </w:rPr>
              <w:t>Average Price</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220" w:type="dxa"/>
            <w:vAlign w:val="bottom"/>
          </w:tcPr>
          <w:p>
            <w:pPr>
              <w:jc w:val="right"/>
              <w:ind w:right="530"/>
              <w:spacing w:after="0"/>
              <w:rPr>
                <w:sz w:val="20"/>
                <w:szCs w:val="20"/>
                <w:color w:val="auto"/>
              </w:rPr>
            </w:pPr>
            <w:r>
              <w:rPr>
                <w:rFonts w:ascii="Arial" w:cs="Arial" w:eastAsia="Arial" w:hAnsi="Arial"/>
                <w:sz w:val="18"/>
                <w:szCs w:val="18"/>
                <w:b w:val="1"/>
                <w:bCs w:val="1"/>
                <w:color w:val="auto"/>
              </w:rPr>
              <w:t>Surrendered</w:t>
            </w:r>
          </w:p>
        </w:tc>
        <w:tc>
          <w:tcPr>
            <w:tcW w:w="360" w:type="dxa"/>
            <w:vAlign w:val="bottom"/>
          </w:tcPr>
          <w:p>
            <w:pPr>
              <w:spacing w:after="0"/>
              <w:rPr>
                <w:sz w:val="20"/>
                <w:szCs w:val="20"/>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b w:val="1"/>
                <w:bCs w:val="1"/>
                <w:color w:val="auto"/>
              </w:rPr>
              <w:t>Paid per Share</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Arial" w:cs="Arial" w:eastAsia="Arial" w:hAnsi="Arial"/>
                <w:sz w:val="18"/>
                <w:szCs w:val="18"/>
                <w:color w:val="auto"/>
              </w:rPr>
              <w:t>April 1 to April 30</w:t>
            </w: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May 1 to May 31</w:t>
            </w:r>
          </w:p>
        </w:tc>
        <w:tc>
          <w:tcPr>
            <w:tcW w:w="2220" w:type="dxa"/>
            <w:vAlign w:val="bottom"/>
          </w:tcPr>
          <w:p>
            <w:pPr>
              <w:jc w:val="right"/>
              <w:spacing w:after="0"/>
              <w:rPr>
                <w:sz w:val="20"/>
                <w:szCs w:val="20"/>
                <w:color w:val="auto"/>
              </w:rPr>
            </w:pPr>
            <w:r>
              <w:rPr>
                <w:rFonts w:ascii="Arial" w:cs="Arial" w:eastAsia="Arial" w:hAnsi="Arial"/>
                <w:sz w:val="18"/>
                <w:szCs w:val="18"/>
                <w:color w:val="auto"/>
              </w:rPr>
              <w:t>1,864</w:t>
            </w:r>
          </w:p>
        </w:tc>
        <w:tc>
          <w:tcPr>
            <w:tcW w:w="36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June 1 to June 30</w:t>
            </w:r>
          </w:p>
        </w:tc>
        <w:tc>
          <w:tcPr>
            <w:tcW w:w="2220" w:type="dxa"/>
            <w:vAlign w:val="bottom"/>
          </w:tcPr>
          <w:p>
            <w:pPr>
              <w:jc w:val="right"/>
              <w:spacing w:after="0"/>
              <w:rPr>
                <w:sz w:val="20"/>
                <w:szCs w:val="20"/>
                <w:color w:val="auto"/>
              </w:rPr>
            </w:pPr>
            <w:r>
              <w:rPr>
                <w:rFonts w:ascii="Arial" w:cs="Arial" w:eastAsia="Arial" w:hAnsi="Arial"/>
                <w:sz w:val="18"/>
                <w:szCs w:val="18"/>
                <w:color w:val="auto"/>
              </w:rPr>
              <w:t>3,104</w:t>
            </w:r>
          </w:p>
        </w:tc>
        <w:tc>
          <w:tcPr>
            <w:tcW w:w="36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5,370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171"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Shenandoah Telecommunications Company, as amended effective April 16, 2019</w:t>
      </w:r>
    </w:p>
    <w:p>
      <w:pPr>
        <w:spacing w:after="0" w:line="200" w:lineRule="exact"/>
        <w:rPr>
          <w:sz w:val="20"/>
          <w:szCs w:val="20"/>
          <w:color w:val="auto"/>
        </w:rPr>
      </w:pPr>
    </w:p>
    <w:p>
      <w:pPr>
        <w:spacing w:after="0" w:line="214"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 under the Securities Exchange Act of 1934.</w:t>
      </w:r>
    </w:p>
    <w:p>
      <w:pPr>
        <w:spacing w:after="0" w:line="333"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under the Securities Exchange Act of 1934.</w:t>
      </w:r>
    </w:p>
    <w:p>
      <w:pPr>
        <w:spacing w:after="0" w:line="333"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Principal Accounting Officer pursuant to Rule 13a-14(a) under the Securities Exchange Act of 1934.</w:t>
      </w:r>
    </w:p>
    <w:p>
      <w:pPr>
        <w:spacing w:after="0" w:line="387" w:lineRule="exact"/>
        <w:rPr>
          <w:sz w:val="20"/>
          <w:szCs w:val="20"/>
          <w:color w:val="auto"/>
        </w:rPr>
      </w:pPr>
    </w:p>
    <w:p>
      <w:pPr>
        <w:ind w:left="28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387" w:lineRule="exact"/>
        <w:rPr>
          <w:sz w:val="20"/>
          <w:szCs w:val="20"/>
          <w:color w:val="auto"/>
        </w:rPr>
      </w:pPr>
    </w:p>
    <w:p>
      <w:pPr>
        <w:ind w:left="960" w:hanging="68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9040" w:type="dxa"/>
            <w:vAlign w:val="bottom"/>
          </w:tcPr>
          <w:p>
            <w:pPr>
              <w:ind w:left="36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1020" w:type="dxa"/>
            <w:vAlign w:val="bottom"/>
          </w:tcPr>
          <w:p>
            <w:pPr>
              <w:spacing w:after="0"/>
              <w:rPr>
                <w:sz w:val="20"/>
                <w:szCs w:val="20"/>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90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90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904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90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904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jc w:val="both"/>
        <w:ind w:left="66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125" w:right="41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83"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w:t>
      </w:r>
    </w:p>
    <w:p>
      <w:pPr>
        <w:spacing w:after="0" w:line="200" w:lineRule="exact"/>
        <w:rPr>
          <w:sz w:val="20"/>
          <w:szCs w:val="20"/>
          <w:color w:val="auto"/>
        </w:rPr>
      </w:pPr>
    </w:p>
    <w:p>
      <w:pPr>
        <w:spacing w:after="0" w:line="218" w:lineRule="exact"/>
        <w:rPr>
          <w:sz w:val="20"/>
          <w:szCs w:val="20"/>
          <w:color w:val="auto"/>
        </w:rPr>
      </w:pPr>
    </w:p>
    <w:p>
      <w:pPr>
        <w:ind w:left="520"/>
        <w:spacing w:after="0"/>
        <w:tabs>
          <w:tab w:leader="none" w:pos="128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Amended and Restated Bylaws of Shenandoah Telecommunications Company, as amended effective April 16, 2019</w:t>
      </w:r>
    </w:p>
    <w:p>
      <w:pPr>
        <w:spacing w:after="0" w:line="200" w:lineRule="exact"/>
        <w:rPr>
          <w:sz w:val="20"/>
          <w:szCs w:val="20"/>
          <w:color w:val="auto"/>
        </w:rPr>
      </w:pPr>
    </w:p>
    <w:p>
      <w:pPr>
        <w:spacing w:after="0" w:line="214"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Rule 13a-14(a) under the Securities Exchange Act of 1934.</w:t>
      </w:r>
    </w:p>
    <w:p>
      <w:pPr>
        <w:spacing w:after="0" w:line="333"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41">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387" w:lineRule="exact"/>
        <w:rPr>
          <w:sz w:val="20"/>
          <w:szCs w:val="20"/>
          <w:color w:val="auto"/>
        </w:rPr>
      </w:pPr>
    </w:p>
    <w:p>
      <w:pPr>
        <w:ind w:left="440"/>
        <w:spacing w:after="0"/>
        <w:tabs>
          <w:tab w:leader="none" w:pos="1280" w:val="left"/>
        </w:tabs>
        <w:rPr>
          <w:rFonts w:ascii="Arial" w:cs="Arial" w:eastAsia="Arial" w:hAnsi="Arial"/>
          <w:sz w:val="18"/>
          <w:szCs w:val="18"/>
          <w:color w:val="0000FF"/>
        </w:rPr>
      </w:pPr>
      <w:hyperlink w:anchor="page42">
        <w:r>
          <w:rPr>
            <w:rFonts w:ascii="Arial" w:cs="Arial" w:eastAsia="Arial" w:hAnsi="Arial"/>
            <w:sz w:val="18"/>
            <w:szCs w:val="18"/>
            <w:u w:val="single" w:color="auto"/>
            <w:color w:val="0000FF"/>
          </w:rPr>
          <w:t>31.3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200" w:lineRule="exact"/>
        <w:rPr>
          <w:sz w:val="20"/>
          <w:szCs w:val="20"/>
          <w:color w:val="auto"/>
        </w:rPr>
      </w:pPr>
    </w:p>
    <w:p>
      <w:pPr>
        <w:spacing w:after="0" w:line="214" w:lineRule="exact"/>
        <w:rPr>
          <w:sz w:val="20"/>
          <w:szCs w:val="20"/>
          <w:color w:val="auto"/>
        </w:rPr>
      </w:pPr>
    </w:p>
    <w:p>
      <w:pPr>
        <w:ind w:left="460"/>
        <w:spacing w:after="0"/>
        <w:tabs>
          <w:tab w:leader="none" w:pos="1280" w:val="left"/>
        </w:tabs>
        <w:rPr>
          <w:rFonts w:ascii="Arial" w:cs="Arial" w:eastAsia="Arial" w:hAnsi="Arial"/>
          <w:sz w:val="18"/>
          <w:szCs w:val="18"/>
          <w:color w:val="0000FF"/>
        </w:rPr>
      </w:pPr>
      <w:hyperlink w:anchor="page43">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33" w:lineRule="exact"/>
        <w:rPr>
          <w:sz w:val="20"/>
          <w:szCs w:val="20"/>
          <w:color w:val="auto"/>
        </w:rPr>
      </w:pPr>
    </w:p>
    <w:p>
      <w:pPr>
        <w:ind w:left="1300" w:hanging="85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904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1020" w:type="dxa"/>
            <w:vAlign w:val="bottom"/>
          </w:tcPr>
          <w:p>
            <w:pPr>
              <w:spacing w:after="0"/>
              <w:rPr>
                <w:sz w:val="20"/>
                <w:szCs w:val="20"/>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90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904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904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90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904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00"/>
          </w:cols>
          <w:pgMar w:left="240" w:top="125" w:right="10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Chase Stobbe,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/s/CHASE STOBBE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Chase Stobbe,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60" w:firstLine="656"/>
        <w:spacing w:after="0" w:line="342" w:lineRule="auto"/>
        <w:tabs>
          <w:tab w:leader="none" w:pos="1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2019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6, 2019</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6, 2019</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58"/>
    </w:lvl>
  </w:abstractNum>
  <w:abstractNum w:abstractNumId="12">
    <w:nsid w:val="62BBD95A"/>
    <w:multiLevelType w:val="hybridMultilevel"/>
    <w:lvl w:ilvl="0">
      <w:lvlJc w:val="left"/>
      <w:lvlText w:val="(%1)"/>
      <w:numFmt w:val="decimal"/>
      <w:start w:val="429"/>
    </w:lvl>
  </w:abstractNum>
  <w:abstractNum w:abstractNumId="13">
    <w:nsid w:val="436C6125"/>
    <w:multiLevelType w:val="hybridMultilevel"/>
    <w:lvl w:ilvl="0">
      <w:lvlJc w:val="left"/>
      <w:lvlText w:val="(%1)"/>
      <w:numFmt w:val="decimal"/>
      <w:start w:val="383"/>
    </w:lvl>
  </w:abstractNum>
  <w:abstractNum w:abstractNumId="14">
    <w:nsid w:val="628C895D"/>
    <w:multiLevelType w:val="hybridMultilevel"/>
    <w:lvl w:ilvl="0">
      <w:lvlJc w:val="left"/>
      <w:lvlText w:val="(%1)"/>
      <w:numFmt w:val="decimal"/>
      <w:start w:val="258"/>
    </w:lvl>
  </w:abstractNum>
  <w:abstractNum w:abstractNumId="15">
    <w:nsid w:val="333AB105"/>
    <w:multiLevelType w:val="hybridMultilevel"/>
    <w:lvl w:ilvl="0">
      <w:lvlJc w:val="left"/>
      <w:lvlText w:val="(%1)"/>
      <w:numFmt w:val="decimal"/>
      <w:start w:val="125"/>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10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5">
    <w:nsid w:val="189A769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1" Type="http://schemas.openxmlformats.org/officeDocument/2006/relationships/hyperlink" Target="http://www.sec.gov/Archives/edgar/data/354963/000117184319001463/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2019-12-28T08:40:37Z</dcterms:created>
  <dcterms:modified xsi:type="dcterms:W3CDTF">2019-12-28T08:40:37Z</dcterms:modified>
</cp:coreProperties>
</file>