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147320</wp:posOffset>
            </wp:positionH>
            <wp:positionV relativeFrom="page">
              <wp:posOffset>109220</wp:posOffset>
            </wp:positionV>
            <wp:extent cx="726694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35560"/>
                    </a:xfrm>
                    <a:prstGeom prst="rect">
                      <a:avLst/>
                    </a:prstGeom>
                    <a:noFill/>
                  </pic:spPr>
                </pic:pic>
              </a:graphicData>
            </a:graphic>
          </wp:anchor>
        </w:drawing>
        <w:t>UNITED STATES</w:t>
      </w:r>
    </w:p>
    <w:p>
      <w:pPr>
        <w:spacing w:after="0" w:line="37" w:lineRule="exact"/>
        <w:rPr>
          <w:sz w:val="24"/>
          <w:szCs w:val="24"/>
          <w:color w:val="auto"/>
        </w:rPr>
      </w:pPr>
    </w:p>
    <w:p>
      <w:pPr>
        <w:jc w:val="center"/>
        <w:ind w:right="-343"/>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343"/>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ind w:right="-343"/>
        <w:spacing w:after="0"/>
        <w:rPr>
          <w:sz w:val="20"/>
          <w:szCs w:val="20"/>
          <w:color w:val="auto"/>
        </w:rPr>
      </w:pPr>
      <w:r>
        <w:rPr>
          <w:rFonts w:ascii="Arial" w:cs="Arial" w:eastAsia="Arial" w:hAnsi="Arial"/>
          <w:sz w:val="29"/>
          <w:szCs w:val="29"/>
          <w:b w:val="1"/>
          <w:bCs w:val="1"/>
          <w:color w:val="auto"/>
        </w:rPr>
        <w:t>FORM 8-K</w:t>
      </w:r>
    </w:p>
    <w:p>
      <w:pPr>
        <w:spacing w:after="0" w:line="227"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12" w:lineRule="exact"/>
        <w:rPr>
          <w:sz w:val="24"/>
          <w:szCs w:val="24"/>
          <w:color w:val="auto"/>
        </w:rPr>
      </w:pPr>
    </w:p>
    <w:p>
      <w:pPr>
        <w:jc w:val="center"/>
        <w:ind w:right="-343"/>
        <w:spacing w:after="0"/>
        <w:rPr>
          <w:sz w:val="20"/>
          <w:szCs w:val="20"/>
          <w:color w:val="auto"/>
        </w:rPr>
      </w:pPr>
      <w:r>
        <w:rPr>
          <w:rFonts w:ascii="Arial" w:cs="Arial" w:eastAsia="Arial" w:hAnsi="Arial"/>
          <w:sz w:val="16"/>
          <w:szCs w:val="16"/>
          <w:color w:val="auto"/>
        </w:rPr>
        <w:t>Date of Report (Date of earliest event reported): April 19, 2010</w:t>
      </w:r>
    </w:p>
    <w:p>
      <w:pPr>
        <w:spacing w:after="0" w:line="21" w:lineRule="exact"/>
        <w:rPr>
          <w:sz w:val="24"/>
          <w:szCs w:val="24"/>
          <w:color w:val="auto"/>
        </w:rPr>
      </w:pPr>
    </w:p>
    <w:p>
      <w:pPr>
        <w:ind w:left="4964"/>
        <w:spacing w:after="0"/>
        <w:rPr>
          <w:sz w:val="20"/>
          <w:szCs w:val="20"/>
          <w:color w:val="auto"/>
        </w:rPr>
      </w:pPr>
      <w:r>
        <w:rPr>
          <w:rFonts w:ascii="Arial" w:cs="Arial" w:eastAsia="Arial" w:hAnsi="Arial"/>
          <w:sz w:val="16"/>
          <w:szCs w:val="16"/>
          <w:b w:val="1"/>
          <w:bCs w:val="1"/>
          <w:color w:val="auto"/>
        </w:rPr>
        <w:t>___________________</w:t>
      </w:r>
    </w:p>
    <w:p>
      <w:pPr>
        <w:spacing w:after="0" w:line="196" w:lineRule="exact"/>
        <w:rPr>
          <w:sz w:val="24"/>
          <w:szCs w:val="24"/>
          <w:color w:val="auto"/>
        </w:rPr>
      </w:pPr>
    </w:p>
    <w:p>
      <w:pPr>
        <w:jc w:val="center"/>
        <w:ind w:right="-343"/>
        <w:spacing w:after="0"/>
        <w:rPr>
          <w:sz w:val="20"/>
          <w:szCs w:val="20"/>
          <w:color w:val="auto"/>
        </w:rPr>
      </w:pPr>
      <w:r>
        <w:rPr>
          <w:rFonts w:ascii="Arial" w:cs="Arial" w:eastAsia="Arial" w:hAnsi="Arial"/>
          <w:sz w:val="36"/>
          <w:szCs w:val="36"/>
          <w:color w:val="auto"/>
        </w:rPr>
        <w:t>Shenandoah Telecommunications Company</w:t>
      </w:r>
    </w:p>
    <w:p>
      <w:pPr>
        <w:spacing w:after="0" w:line="60" w:lineRule="exact"/>
        <w:rPr>
          <w:sz w:val="24"/>
          <w:szCs w:val="24"/>
          <w:color w:val="auto"/>
        </w:rPr>
      </w:pPr>
    </w:p>
    <w:p>
      <w:pPr>
        <w:ind w:left="2144"/>
        <w:spacing w:after="0"/>
        <w:rPr>
          <w:sz w:val="20"/>
          <w:szCs w:val="20"/>
          <w:color w:val="auto"/>
        </w:rPr>
      </w:pPr>
      <w:r>
        <w:rPr>
          <w:rFonts w:ascii="Arial" w:cs="Arial" w:eastAsia="Arial" w:hAnsi="Arial"/>
          <w:sz w:val="16"/>
          <w:szCs w:val="16"/>
          <w:b w:val="1"/>
          <w:bCs w:val="1"/>
          <w:color w:val="auto"/>
        </w:rPr>
        <w:t>--------------------------------------------------------------------------------------------------------------------------------------</w:t>
      </w:r>
    </w:p>
    <w:p>
      <w:pPr>
        <w:spacing w:after="0" w:line="7"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 w:lineRule="exact"/>
        <w:rPr>
          <w:sz w:val="24"/>
          <w:szCs w:val="24"/>
          <w:color w:val="auto"/>
        </w:rPr>
      </w:pPr>
    </w:p>
    <w:p>
      <w:pPr>
        <w:ind w:left="5004"/>
        <w:spacing w:after="0"/>
        <w:rPr>
          <w:sz w:val="20"/>
          <w:szCs w:val="20"/>
          <w:color w:val="auto"/>
        </w:rPr>
      </w:pPr>
      <w:r>
        <w:rPr>
          <w:rFonts w:ascii="Arial" w:cs="Arial" w:eastAsia="Arial" w:hAnsi="Arial"/>
          <w:sz w:val="16"/>
          <w:szCs w:val="16"/>
          <w:b w:val="1"/>
          <w:bCs w:val="1"/>
          <w:color w:val="auto"/>
        </w:rPr>
        <w:t>__________________</w:t>
      </w:r>
    </w:p>
    <w:p>
      <w:pPr>
        <w:sectPr>
          <w:pgSz w:w="11900" w:h="16838" w:orient="portrait"/>
          <w:cols w:equalWidth="0" w:num="1">
            <w:col w:w="11084"/>
          </w:cols>
          <w:pgMar w:left="236" w:top="286" w:right="579" w:bottom="1440" w:gutter="0" w:footer="0" w:header="0"/>
        </w:sectPr>
      </w:pPr>
    </w:p>
    <w:p>
      <w:pPr>
        <w:spacing w:after="0" w:line="208" w:lineRule="exact"/>
        <w:rPr>
          <w:sz w:val="24"/>
          <w:szCs w:val="24"/>
          <w:color w:val="auto"/>
        </w:rPr>
      </w:pPr>
    </w:p>
    <w:p>
      <w:pPr>
        <w:jc w:val="center"/>
        <w:ind w:right="336"/>
        <w:spacing w:after="0"/>
        <w:rPr>
          <w:sz w:val="20"/>
          <w:szCs w:val="20"/>
          <w:color w:val="auto"/>
        </w:rPr>
      </w:pPr>
      <w:r>
        <w:rPr>
          <w:rFonts w:ascii="Arial" w:cs="Arial" w:eastAsia="Arial" w:hAnsi="Arial"/>
          <w:sz w:val="16"/>
          <w:szCs w:val="16"/>
          <w:b w:val="1"/>
          <w:bCs w:val="1"/>
          <w:color w:val="auto"/>
        </w:rPr>
        <w:t>Virginia</w:t>
      </w:r>
    </w:p>
    <w:p>
      <w:pPr>
        <w:spacing w:after="0" w:line="25" w:lineRule="exact"/>
        <w:rPr>
          <w:sz w:val="24"/>
          <w:szCs w:val="24"/>
          <w:color w:val="auto"/>
        </w:rPr>
      </w:pPr>
    </w:p>
    <w:p>
      <w:pPr>
        <w:jc w:val="center"/>
        <w:ind w:right="336"/>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0-9881</w:t>
      </w:r>
    </w:p>
    <w:p>
      <w:pPr>
        <w:spacing w:after="0" w:line="25" w:lineRule="exact"/>
        <w:rPr>
          <w:sz w:val="24"/>
          <w:szCs w:val="24"/>
          <w:color w:val="auto"/>
        </w:rPr>
      </w:pPr>
    </w:p>
    <w:p>
      <w:pPr>
        <w:jc w:val="center"/>
        <w:ind w:right="112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54-1162807</w:t>
      </w:r>
    </w:p>
    <w:p>
      <w:pPr>
        <w:spacing w:after="0" w:line="25" w:lineRule="exact"/>
        <w:rPr>
          <w:sz w:val="24"/>
          <w:szCs w:val="24"/>
          <w:color w:val="auto"/>
        </w:rPr>
      </w:pPr>
    </w:p>
    <w:p>
      <w:pPr>
        <w:jc w:val="center"/>
        <w:ind w:right="440"/>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124" w:space="720"/>
            <w:col w:w="2880" w:space="720"/>
            <w:col w:w="2640"/>
          </w:cols>
          <w:pgMar w:left="236" w:top="286" w:right="579" w:bottom="1440" w:gutter="0" w:footer="0" w:header="0"/>
          <w:type w:val="continuous"/>
        </w:sectPr>
      </w:pPr>
    </w:p>
    <w:p>
      <w:pPr>
        <w:spacing w:after="0" w:line="236" w:lineRule="exact"/>
        <w:rPr>
          <w:sz w:val="24"/>
          <w:szCs w:val="24"/>
          <w:color w:val="auto"/>
        </w:rPr>
      </w:pPr>
    </w:p>
    <w:p>
      <w:pPr>
        <w:jc w:val="center"/>
        <w:ind w:right="1796"/>
        <w:spacing w:after="0"/>
        <w:rPr>
          <w:sz w:val="20"/>
          <w:szCs w:val="20"/>
          <w:color w:val="auto"/>
        </w:rPr>
      </w:pPr>
      <w:r>
        <w:rPr>
          <w:rFonts w:ascii="Arial" w:cs="Arial" w:eastAsia="Arial" w:hAnsi="Arial"/>
          <w:sz w:val="16"/>
          <w:szCs w:val="16"/>
          <w:b w:val="1"/>
          <w:bCs w:val="1"/>
          <w:color w:val="auto"/>
        </w:rPr>
        <w:t>500 Shentel Way</w:t>
      </w:r>
    </w:p>
    <w:p>
      <w:pPr>
        <w:spacing w:after="0" w:line="25" w:lineRule="exact"/>
        <w:rPr>
          <w:sz w:val="24"/>
          <w:szCs w:val="24"/>
          <w:color w:val="auto"/>
        </w:rPr>
      </w:pPr>
    </w:p>
    <w:p>
      <w:pPr>
        <w:jc w:val="center"/>
        <w:ind w:right="1796"/>
        <w:spacing w:after="0"/>
        <w:rPr>
          <w:sz w:val="20"/>
          <w:szCs w:val="20"/>
          <w:color w:val="auto"/>
        </w:rPr>
      </w:pPr>
      <w:r>
        <w:rPr>
          <w:rFonts w:ascii="Arial" w:cs="Arial" w:eastAsia="Arial" w:hAnsi="Arial"/>
          <w:sz w:val="16"/>
          <w:szCs w:val="16"/>
          <w:b w:val="1"/>
          <w:bCs w:val="1"/>
          <w:color w:val="auto"/>
        </w:rPr>
        <w:t>P.O. Box 459</w:t>
      </w:r>
    </w:p>
    <w:p>
      <w:pPr>
        <w:spacing w:after="0" w:line="8" w:lineRule="exact"/>
        <w:rPr>
          <w:sz w:val="24"/>
          <w:szCs w:val="24"/>
          <w:color w:val="auto"/>
        </w:rPr>
      </w:pPr>
    </w:p>
    <w:p>
      <w:pPr>
        <w:jc w:val="center"/>
        <w:ind w:right="1796"/>
        <w:spacing w:after="0"/>
        <w:rPr>
          <w:sz w:val="20"/>
          <w:szCs w:val="20"/>
          <w:color w:val="auto"/>
        </w:rPr>
      </w:pPr>
      <w:r>
        <w:rPr>
          <w:rFonts w:ascii="Arial" w:cs="Arial" w:eastAsia="Arial" w:hAnsi="Arial"/>
          <w:sz w:val="16"/>
          <w:szCs w:val="16"/>
          <w:b w:val="1"/>
          <w:bCs w:val="1"/>
          <w:color w:val="auto"/>
        </w:rPr>
        <w:t>Edinburg, VA</w:t>
      </w:r>
    </w:p>
    <w:p>
      <w:pPr>
        <w:spacing w:after="0" w:line="8" w:lineRule="exact"/>
        <w:rPr>
          <w:sz w:val="24"/>
          <w:szCs w:val="24"/>
          <w:color w:val="auto"/>
        </w:rPr>
      </w:pPr>
    </w:p>
    <w:p>
      <w:pPr>
        <w:jc w:val="center"/>
        <w:ind w:right="1796"/>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22824</w:t>
      </w:r>
    </w:p>
    <w:p>
      <w:pPr>
        <w:spacing w:after="0" w:line="25" w:lineRule="exact"/>
        <w:rPr>
          <w:sz w:val="24"/>
          <w:szCs w:val="24"/>
          <w:color w:val="auto"/>
        </w:rPr>
      </w:pPr>
    </w:p>
    <w:p>
      <w:pPr>
        <w:jc w:val="center"/>
        <w:ind w:right="216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504" w:space="720"/>
            <w:col w:w="2860"/>
          </w:cols>
          <w:pgMar w:left="236" w:top="286" w:right="579" w:bottom="1440" w:gutter="0" w:footer="0" w:header="0"/>
          <w:type w:val="continuous"/>
        </w:sectPr>
      </w:pPr>
    </w:p>
    <w:p>
      <w:pPr>
        <w:spacing w:after="0" w:line="31" w:lineRule="exact"/>
        <w:rPr>
          <w:sz w:val="24"/>
          <w:szCs w:val="24"/>
          <w:color w:val="auto"/>
        </w:rPr>
      </w:pPr>
    </w:p>
    <w:p>
      <w:pPr>
        <w:ind w:left="4"/>
        <w:spacing w:after="0"/>
        <w:rPr>
          <w:sz w:val="20"/>
          <w:szCs w:val="20"/>
          <w:color w:val="auto"/>
        </w:rPr>
      </w:pPr>
      <w:r>
        <w:rPr>
          <w:rFonts w:ascii="Arial" w:cs="Arial" w:eastAsia="Arial" w:hAnsi="Arial"/>
          <w:sz w:val="16"/>
          <w:szCs w:val="16"/>
          <w:b w:val="1"/>
          <w:bCs w:val="1"/>
          <w:color w:val="auto"/>
        </w:rPr>
        <w:t>Registrant’s telephone number, including area code: (540) 984-4141</w:t>
      </w:r>
    </w:p>
    <w:p>
      <w:pPr>
        <w:spacing w:after="0" w:line="200" w:lineRule="exact"/>
        <w:rPr>
          <w:sz w:val="24"/>
          <w:szCs w:val="24"/>
          <w:color w:val="auto"/>
        </w:rPr>
      </w:pPr>
    </w:p>
    <w:p>
      <w:pPr>
        <w:spacing w:after="0" w:line="241"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ind w:left="4404"/>
        <w:spacing w:after="0"/>
        <w:rPr>
          <w:sz w:val="20"/>
          <w:szCs w:val="20"/>
          <w:color w:val="auto"/>
        </w:rPr>
      </w:pPr>
      <w:r>
        <w:rPr>
          <w:rFonts w:ascii="Arial" w:cs="Arial" w:eastAsia="Arial" w:hAnsi="Arial"/>
          <w:sz w:val="16"/>
          <w:szCs w:val="16"/>
          <w:b w:val="1"/>
          <w:bCs w:val="1"/>
          <w:color w:val="auto"/>
        </w:rPr>
        <w:t>-------------------------------------------------</w:t>
      </w:r>
    </w:p>
    <w:p>
      <w:pPr>
        <w:spacing w:after="0" w:line="8"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12" w:lineRule="exact"/>
        <w:rPr>
          <w:sz w:val="24"/>
          <w:szCs w:val="24"/>
          <w:color w:val="auto"/>
        </w:rPr>
      </w:pPr>
    </w:p>
    <w:p>
      <w:pPr>
        <w:ind w:left="4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88" w:lineRule="exact"/>
        <w:rPr>
          <w:sz w:val="24"/>
          <w:szCs w:val="24"/>
          <w:color w:val="auto"/>
        </w:rPr>
      </w:pPr>
    </w:p>
    <w:p>
      <w:pPr>
        <w:ind w:left="424" w:hanging="424"/>
        <w:spacing w:after="0"/>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Arial" w:cs="Arial" w:eastAsia="Arial" w:hAnsi="Arial"/>
          <w:sz w:val="16"/>
          <w:szCs w:val="16"/>
          <w:color w:val="auto"/>
        </w:rPr>
      </w:pPr>
    </w:p>
    <w:p>
      <w:pPr>
        <w:ind w:left="424" w:hanging="424"/>
        <w:spacing w:after="0"/>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Arial" w:cs="Arial" w:eastAsia="Arial" w:hAnsi="Arial"/>
          <w:sz w:val="16"/>
          <w:szCs w:val="16"/>
          <w:color w:val="auto"/>
        </w:rPr>
      </w:pPr>
    </w:p>
    <w:p>
      <w:pPr>
        <w:ind w:left="424" w:hanging="424"/>
        <w:spacing w:after="0"/>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Arial" w:cs="Arial" w:eastAsia="Arial" w:hAnsi="Arial"/>
          <w:sz w:val="16"/>
          <w:szCs w:val="16"/>
          <w:color w:val="auto"/>
        </w:rPr>
      </w:pPr>
    </w:p>
    <w:p>
      <w:pPr>
        <w:ind w:left="424" w:hanging="424"/>
        <w:spacing w:after="0"/>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726694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940" cy="40640"/>
                    </a:xfrm>
                    <a:prstGeom prst="rect">
                      <a:avLst/>
                    </a:prstGeom>
                    <a:noFill/>
                  </pic:spPr>
                </pic:pic>
              </a:graphicData>
            </a:graphic>
          </wp:anchor>
        </w:drawing>
      </w:r>
    </w:p>
    <w:p>
      <w:pPr>
        <w:spacing w:after="0" w:line="369" w:lineRule="exact"/>
        <w:rPr>
          <w:sz w:val="24"/>
          <w:szCs w:val="24"/>
          <w:color w:val="auto"/>
        </w:rPr>
      </w:pPr>
    </w:p>
    <w:p>
      <w:pPr>
        <w:jc w:val="center"/>
        <w:ind w:right="-343"/>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84"/>
          </w:cols>
          <w:pgMar w:left="236" w:top="286" w:right="5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following information is furnished pursuant to Regulation FD: As previously reported, on April 16, 2010, Shenandoah Telecommunications Company (the “Company”) issued a press release announcing that it had signed an asset purchase agreement to acquire the cable operations of JetBroadband Holdings, LLC for $148 million in cash, subject to certain adjustments. The acquired cable operations offer video, high speed Internet and voice services representing approximately 66,500 revenue generating units in southern Virginia and southern West Virginia. The acquired networks pass approximately 114,000 homes.</w:t>
      </w:r>
    </w:p>
    <w:p>
      <w:pPr>
        <w:spacing w:after="0" w:line="191"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The Company hosted a conference call on April 19, 2010, at 9 a.m. Eastern time to provide additional details about this acquisition. The presentation attached hereto as Exhibit 99.1 was presented during the call, and is also available on the Company’s website</w:t>
      </w:r>
    </w:p>
    <w:p>
      <w:pPr>
        <w:spacing w:after="0" w:line="176" w:lineRule="exact"/>
        <w:rPr>
          <w:sz w:val="20"/>
          <w:szCs w:val="20"/>
          <w:color w:val="auto"/>
        </w:rPr>
      </w:pPr>
    </w:p>
    <w:p>
      <w:pPr>
        <w:ind w:right="80"/>
        <w:spacing w:after="0" w:line="308" w:lineRule="auto"/>
        <w:rPr>
          <w:sz w:val="20"/>
          <w:szCs w:val="20"/>
          <w:color w:val="auto"/>
        </w:rPr>
      </w:pPr>
      <w:r>
        <w:rPr>
          <w:rFonts w:ascii="Arial" w:cs="Arial" w:eastAsia="Arial" w:hAnsi="Arial"/>
          <w:sz w:val="14"/>
          <w:szCs w:val="14"/>
          <w:color w:val="auto"/>
        </w:rPr>
        <w:t>The presentation may contain forward-looking statements about Shenandoah Telecommunications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or similar words, or by discussions of strategy or risks and uncertainties. Shenandoah Telecommunications undertakes no obligation to revise or update such statements to reflect current events or circumstances after the date hereof, or to reflect the occurrence of unanticipated events.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(d) Exhibits</w:t>
      </w:r>
    </w:p>
    <w:p>
      <w:pPr>
        <w:spacing w:after="0" w:line="224" w:lineRule="exact"/>
        <w:rPr>
          <w:sz w:val="20"/>
          <w:szCs w:val="20"/>
          <w:color w:val="auto"/>
        </w:rPr>
      </w:pPr>
    </w:p>
    <w:p>
      <w:pPr>
        <w:ind w:left="280"/>
        <w:spacing w:after="0"/>
        <w:tabs>
          <w:tab w:leader="none" w:pos="1220" w:val="left"/>
        </w:tabs>
        <w:rPr>
          <w:sz w:val="20"/>
          <w:szCs w:val="20"/>
          <w:color w:val="auto"/>
        </w:rPr>
      </w:pPr>
      <w:r>
        <w:rPr>
          <w:rFonts w:ascii="Arial" w:cs="Arial" w:eastAsia="Arial" w:hAnsi="Arial"/>
          <w:sz w:val="16"/>
          <w:szCs w:val="16"/>
          <w:b w:val="1"/>
          <w:bCs w:val="1"/>
          <w:u w:val="single" w:color="auto"/>
          <w:color w:val="0000EE"/>
        </w:rPr>
        <w:t>99.1</w:t>
      </w:r>
      <w:r>
        <w:rPr>
          <w:sz w:val="20"/>
          <w:szCs w:val="20"/>
          <w:color w:val="auto"/>
        </w:rPr>
        <w:tab/>
      </w:r>
      <w:r>
        <w:rPr>
          <w:rFonts w:ascii="Arial" w:cs="Arial" w:eastAsia="Arial" w:hAnsi="Arial"/>
          <w:sz w:val="14"/>
          <w:szCs w:val="14"/>
          <w:b w:val="1"/>
          <w:bCs w:val="1"/>
          <w:color w:val="auto"/>
        </w:rPr>
        <w:t>Pro forma combined historical operating statistics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w:t>
      </w:r>
    </w:p>
    <w:p>
      <w:pPr>
        <w:spacing w:after="0" w:line="228" w:lineRule="exact"/>
        <w:rPr>
          <w:sz w:val="20"/>
          <w:szCs w:val="20"/>
          <w:color w:val="auto"/>
        </w:rPr>
      </w:pPr>
    </w:p>
    <w:p>
      <w:pPr>
        <w:ind w:right="440"/>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SHENANDOAH TELECOMMUNICATIONS COMPANY</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28" w:lineRule="exact"/>
        <w:rPr>
          <w:sz w:val="20"/>
          <w:szCs w:val="20"/>
          <w:color w:val="auto"/>
        </w:rPr>
      </w:pPr>
    </w:p>
    <w:p>
      <w:pPr>
        <w:ind w:left="720"/>
        <w:spacing w:after="0"/>
        <w:tabs>
          <w:tab w:leader="none" w:pos="3420" w:val="left"/>
        </w:tabs>
        <w:rPr>
          <w:sz w:val="20"/>
          <w:szCs w:val="20"/>
          <w:color w:val="auto"/>
        </w:rPr>
      </w:pPr>
      <w:r>
        <w:rPr>
          <w:rFonts w:ascii="Arial" w:cs="Arial" w:eastAsia="Arial" w:hAnsi="Arial"/>
          <w:sz w:val="16"/>
          <w:szCs w:val="16"/>
          <w:color w:val="auto"/>
        </w:rPr>
        <w:t>April 19, 2010</w:t>
      </w:r>
      <w:r>
        <w:rPr>
          <w:sz w:val="20"/>
          <w:szCs w:val="20"/>
          <w:color w:val="auto"/>
        </w:rPr>
        <w:tab/>
      </w:r>
      <w:r>
        <w:rPr>
          <w:rFonts w:ascii="Arial" w:cs="Arial" w:eastAsia="Arial" w:hAnsi="Arial"/>
          <w:sz w:val="15"/>
          <w:szCs w:val="15"/>
          <w:color w:val="auto"/>
        </w:rPr>
        <w:t>/s/ Adele M. Skolits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13335</wp:posOffset>
            </wp:positionV>
            <wp:extent cx="218186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1860" cy="15240"/>
                    </a:xfrm>
                    <a:prstGeom prst="rect">
                      <a:avLst/>
                    </a:prstGeom>
                    <a:noFill/>
                  </pic:spPr>
                </pic:pic>
              </a:graphicData>
            </a:graphic>
          </wp:anchor>
        </w:drawing>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Adele M. Skolits</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Vice President - Finance and</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Chief Financial Officer</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(Duly Authorized Officer)</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728218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p>
      <w:pPr>
        <w:sectPr>
          <w:pgSz w:w="11900" w:h="16838" w:orient="portrait"/>
          <w:cols w:equalWidth="0" w:num="1">
            <w:col w:w="11360"/>
          </w:cols>
          <w:pgMar w:left="240" w:top="471" w:right="299" w:bottom="1440" w:gutter="0" w:footer="0" w:header="0"/>
        </w:sectPr>
      </w:pPr>
    </w:p>
    <w:bookmarkStart w:id="2" w:name="page3"/>
    <w:bookmarkEnd w:id="2"/>
    <w:p>
      <w:pPr>
        <w:ind w:left="7360"/>
        <w:spacing w:after="0"/>
        <w:rPr>
          <w:sz w:val="20"/>
          <w:szCs w:val="20"/>
          <w:color w:val="auto"/>
        </w:rPr>
      </w:pPr>
      <w:r>
        <w:rPr>
          <w:rFonts w:ascii="Arial" w:cs="Arial" w:eastAsia="Arial" w:hAnsi="Arial"/>
          <w:sz w:val="34"/>
          <w:szCs w:val="34"/>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92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60"/>
        <w:spacing w:after="0"/>
        <w:rPr>
          <w:sz w:val="20"/>
          <w:szCs w:val="20"/>
          <w:color w:val="auto"/>
        </w:rPr>
      </w:pPr>
      <w:r>
        <w:rPr>
          <w:rFonts w:ascii="Arial" w:cs="Arial" w:eastAsia="Arial" w:hAnsi="Arial"/>
          <w:sz w:val="42"/>
          <w:szCs w:val="42"/>
          <w:b w:val="1"/>
          <w:bCs w:val="1"/>
          <w:color w:val="840039"/>
        </w:rPr>
        <w:t>Investor Conference Call</w:t>
      </w:r>
    </w:p>
    <w:p>
      <w:pPr>
        <w:spacing w:after="0" w:line="86" w:lineRule="exact"/>
        <w:rPr>
          <w:sz w:val="20"/>
          <w:szCs w:val="20"/>
          <w:color w:val="auto"/>
        </w:rPr>
      </w:pPr>
    </w:p>
    <w:p>
      <w:pPr>
        <w:ind w:left="8100"/>
        <w:spacing w:after="0"/>
        <w:rPr>
          <w:sz w:val="20"/>
          <w:szCs w:val="20"/>
          <w:color w:val="auto"/>
        </w:rPr>
      </w:pPr>
      <w:r>
        <w:rPr>
          <w:rFonts w:ascii="Arial" w:cs="Arial" w:eastAsia="Arial" w:hAnsi="Arial"/>
          <w:sz w:val="28"/>
          <w:szCs w:val="28"/>
          <w:b w:val="1"/>
          <w:bCs w:val="1"/>
          <w:color w:val="auto"/>
        </w:rPr>
        <w:t>April 19,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430530</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940"/>
          </w:cols>
          <w:pgMar w:left="1440" w:top="1011" w:right="519" w:bottom="1440" w:gutter="0" w:footer="0" w:header="0"/>
        </w:sectPr>
      </w:pPr>
    </w:p>
    <w:bookmarkStart w:id="3" w:name="page4"/>
    <w:bookmarkEnd w:id="3"/>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Safe Harbor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right="1040"/>
        <w:spacing w:after="0" w:line="231" w:lineRule="auto"/>
        <w:rPr>
          <w:sz w:val="20"/>
          <w:szCs w:val="20"/>
          <w:color w:val="auto"/>
        </w:rPr>
      </w:pPr>
      <w:r>
        <w:rPr>
          <w:rFonts w:ascii="Arial" w:cs="Arial" w:eastAsia="Arial" w:hAnsi="Arial"/>
          <w:sz w:val="22"/>
          <w:szCs w:val="22"/>
          <w:color w:val="auto"/>
        </w:rPr>
        <w:t>This presentation includes “forward-looking statements” within the meaning of Section 27A of the Securities Act and Section 21E of the Securities Exchange Act of 1934, as amended,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similar words, or by discussions of strategy or risks and uncertainties. These statements are based on current expectations of future events. If underlying assumptions prove inaccurate or unknown risks or uncertainties materialize, actual results could vary materially from the Company’s expectations and projections. Important factors that could cause actual results to differ materially from such forward-looking statements include, without limitation, risks related to the following:</w:t>
      </w:r>
    </w:p>
    <w:p>
      <w:pPr>
        <w:spacing w:after="0" w:line="145" w:lineRule="exact"/>
        <w:rPr>
          <w:sz w:val="20"/>
          <w:szCs w:val="20"/>
          <w:color w:val="auto"/>
        </w:rPr>
      </w:pPr>
    </w:p>
    <w:p>
      <w:pPr>
        <w:ind w:left="380" w:right="4720"/>
        <w:spacing w:after="0" w:line="407" w:lineRule="auto"/>
        <w:rPr>
          <w:sz w:val="20"/>
          <w:szCs w:val="20"/>
          <w:color w:val="auto"/>
        </w:rPr>
      </w:pPr>
      <w:r>
        <w:rPr>
          <w:rFonts w:ascii="Arial" w:cs="Arial" w:eastAsia="Arial" w:hAnsi="Arial"/>
          <w:sz w:val="22"/>
          <w:szCs w:val="22"/>
          <w:color w:val="840039"/>
        </w:rPr>
        <w:t>q</w:t>
      </w:r>
      <w:r>
        <w:rPr>
          <w:rFonts w:ascii="Arial" w:cs="Arial" w:eastAsia="Arial" w:hAnsi="Arial"/>
          <w:sz w:val="22"/>
          <w:szCs w:val="22"/>
          <w:color w:val="000000"/>
        </w:rPr>
        <w:t>Increasing competition in the communications industry; and</w:t>
      </w:r>
      <w:r>
        <w:rPr>
          <w:rFonts w:ascii="Arial" w:cs="Arial" w:eastAsia="Arial" w:hAnsi="Arial"/>
          <w:sz w:val="22"/>
          <w:szCs w:val="22"/>
          <w:color w:val="840039"/>
        </w:rPr>
        <w:t xml:space="preserve"> q</w:t>
      </w:r>
      <w:r>
        <w:rPr>
          <w:rFonts w:ascii="Arial" w:cs="Arial" w:eastAsia="Arial" w:hAnsi="Arial"/>
          <w:sz w:val="22"/>
          <w:szCs w:val="22"/>
          <w:color w:val="000000"/>
        </w:rPr>
        <w:t>A complex and uncertain regulatory environment.</w:t>
      </w:r>
    </w:p>
    <w:p>
      <w:pPr>
        <w:spacing w:after="0" w:line="103" w:lineRule="exact"/>
        <w:rPr>
          <w:sz w:val="20"/>
          <w:szCs w:val="20"/>
          <w:color w:val="auto"/>
        </w:rPr>
      </w:pPr>
    </w:p>
    <w:p>
      <w:pPr>
        <w:ind w:left="380" w:right="1280"/>
        <w:spacing w:after="0" w:line="238" w:lineRule="auto"/>
        <w:rPr>
          <w:sz w:val="20"/>
          <w:szCs w:val="20"/>
          <w:color w:val="auto"/>
        </w:rPr>
      </w:pPr>
      <w:r>
        <w:rPr>
          <w:rFonts w:ascii="Arial" w:cs="Arial" w:eastAsia="Arial" w:hAnsi="Arial"/>
          <w:sz w:val="22"/>
          <w:szCs w:val="22"/>
          <w:color w:val="auto"/>
        </w:rPr>
        <w:t>A further list and description of these risks, uncertainties and other factors can be found in the Company’s SEC filings which are available online at www.sec.gov, www.shentel.com or on request from the Company. The Company does not undertake to update any forward-looking statements as a result of new information or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4" w:name="page5"/>
    <w:bookmarkEnd w:id="4"/>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right="1060"/>
        <w:spacing w:after="0" w:line="256" w:lineRule="auto"/>
        <w:rPr>
          <w:sz w:val="20"/>
          <w:szCs w:val="20"/>
          <w:color w:val="auto"/>
        </w:rPr>
      </w:pPr>
      <w:r>
        <w:rPr>
          <w:rFonts w:ascii="Arial" w:cs="Arial" w:eastAsia="Arial" w:hAnsi="Arial"/>
          <w:sz w:val="20"/>
          <w:szCs w:val="20"/>
          <w:color w:val="auto"/>
        </w:rPr>
        <w:t>Included in this presentation are certain non-GAAP financial measures that are not determined in accordance with US generally accepted accounting principles. These financial performance measures are not indicative of cash provided or used by operating activities and exclude the effects of certain operating, capital and financing costs and may differ from comparable information provided by other companies, and they should not be considered in isolation, as an alternative to, or more meaningful than measures of financial performance determined in accordance with US generally accepted accounting principles. These financial performance measures are commonly used in the industry and are presented because Shentel believes they provide relevant and useful information to investors. Shentel utilizes these financial performance measures to assess its ability to meet future capital expenditure and working capital requirements, to incur indebtedness if necessary, return investment to shareholders and to fund continued growth. Shentel also uses these financial performance measures to evaluate the performance of its businesses and for budget planning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5" w:name="page6"/>
    <w:bookmarkEnd w:id="5"/>
    <w:p>
      <w:pPr>
        <w:spacing w:after="0"/>
        <w:rPr>
          <w:sz w:val="20"/>
          <w:szCs w:val="20"/>
          <w:color w:val="auto"/>
        </w:rPr>
      </w:pPr>
      <w:r>
        <w:rPr>
          <w:rFonts w:ascii="Arial" w:cs="Arial" w:eastAsia="Arial" w:hAnsi="Arial"/>
          <w:sz w:val="38"/>
          <w:szCs w:val="38"/>
          <w:b w:val="1"/>
          <w:bCs w:val="1"/>
          <w:color w:val="auto"/>
        </w:rPr>
        <w:t>Deal Highlights</w:t>
      </w:r>
    </w:p>
    <w:p>
      <w:pPr>
        <w:spacing w:after="0" w:line="342" w:lineRule="exact"/>
        <w:rPr>
          <w:sz w:val="20"/>
          <w:szCs w:val="20"/>
          <w:color w:val="auto"/>
        </w:rPr>
      </w:pPr>
    </w:p>
    <w:p>
      <w:pPr>
        <w:ind w:left="840" w:right="718" w:hanging="435"/>
        <w:spacing w:after="0" w:line="254" w:lineRule="auto"/>
        <w:tabs>
          <w:tab w:leader="none" w:pos="744" w:val="left"/>
        </w:tabs>
        <w:numPr>
          <w:ilvl w:val="0"/>
          <w:numId w:val="2"/>
        </w:numPr>
        <w:rPr>
          <w:rFonts w:ascii="Arial" w:cs="Arial" w:eastAsia="Arial" w:hAnsi="Arial"/>
          <w:sz w:val="38"/>
          <w:szCs w:val="38"/>
          <w:color w:val="840039"/>
        </w:rPr>
      </w:pPr>
      <w:r>
        <w:rPr>
          <w:rFonts w:ascii="Arial" w:cs="Arial" w:eastAsia="Arial" w:hAnsi="Arial"/>
          <w:sz w:val="38"/>
          <w:szCs w:val="38"/>
          <w:color w:val="auto"/>
        </w:rPr>
        <w:t>Structured as an asset purchase</w:t>
      </w:r>
    </w:p>
    <w:p>
      <w:pPr>
        <w:spacing w:after="0" w:line="144" w:lineRule="exact"/>
        <w:rPr>
          <w:rFonts w:ascii="Arial" w:cs="Arial" w:eastAsia="Arial" w:hAnsi="Arial"/>
          <w:sz w:val="38"/>
          <w:szCs w:val="38"/>
          <w:color w:val="840039"/>
        </w:rPr>
      </w:pPr>
    </w:p>
    <w:p>
      <w:pPr>
        <w:ind w:left="740" w:hanging="335"/>
        <w:spacing w:after="0"/>
        <w:tabs>
          <w:tab w:leader="none" w:pos="740" w:val="left"/>
        </w:tabs>
        <w:numPr>
          <w:ilvl w:val="0"/>
          <w:numId w:val="2"/>
        </w:numPr>
        <w:rPr>
          <w:rFonts w:ascii="Arial" w:cs="Arial" w:eastAsia="Arial" w:hAnsi="Arial"/>
          <w:sz w:val="34"/>
          <w:szCs w:val="34"/>
          <w:color w:val="840039"/>
        </w:rPr>
      </w:pPr>
      <w:r>
        <w:rPr>
          <w:rFonts w:ascii="Arial" w:cs="Arial" w:eastAsia="Arial" w:hAnsi="Arial"/>
          <w:sz w:val="34"/>
          <w:szCs w:val="34"/>
          <w:color w:val="auto"/>
        </w:rPr>
        <w:t>Purchase Price = $148</w:t>
      </w:r>
    </w:p>
    <w:p>
      <w:pPr>
        <w:spacing w:after="0" w:line="257" w:lineRule="exact"/>
        <w:rPr>
          <w:rFonts w:ascii="Arial" w:cs="Arial" w:eastAsia="Arial" w:hAnsi="Arial"/>
          <w:sz w:val="34"/>
          <w:szCs w:val="34"/>
          <w:color w:val="840039"/>
        </w:rPr>
      </w:pPr>
    </w:p>
    <w:p>
      <w:pPr>
        <w:ind w:left="840" w:right="718" w:hanging="435"/>
        <w:spacing w:after="0" w:line="270" w:lineRule="auto"/>
        <w:tabs>
          <w:tab w:leader="none" w:pos="744" w:val="left"/>
        </w:tabs>
        <w:numPr>
          <w:ilvl w:val="0"/>
          <w:numId w:val="2"/>
        </w:numPr>
        <w:rPr>
          <w:rFonts w:ascii="Arial" w:cs="Arial" w:eastAsia="Arial" w:hAnsi="Arial"/>
          <w:sz w:val="35"/>
          <w:szCs w:val="35"/>
          <w:color w:val="840039"/>
        </w:rPr>
      </w:pPr>
      <w:r>
        <w:rPr>
          <w:rFonts w:ascii="Arial" w:cs="Arial" w:eastAsia="Arial" w:hAnsi="Arial"/>
          <w:sz w:val="35"/>
          <w:szCs w:val="35"/>
          <w:color w:val="auto"/>
        </w:rPr>
        <w:t>115 thousand homes passed and serves 66 thousand RGUs</w:t>
      </w:r>
    </w:p>
    <w:p>
      <w:pPr>
        <w:spacing w:after="0" w:line="131" w:lineRule="exact"/>
        <w:rPr>
          <w:sz w:val="20"/>
          <w:szCs w:val="20"/>
          <w:color w:val="auto"/>
        </w:rPr>
      </w:pPr>
    </w:p>
    <w:p>
      <w:pPr>
        <w:ind w:left="1340" w:right="738" w:hanging="431"/>
        <w:spacing w:after="0" w:line="268" w:lineRule="auto"/>
        <w:tabs>
          <w:tab w:leader="none" w:pos="1217" w:val="left"/>
        </w:tabs>
        <w:numPr>
          <w:ilvl w:val="0"/>
          <w:numId w:val="3"/>
        </w:numPr>
        <w:rPr>
          <w:rFonts w:ascii="Arial" w:cs="Arial" w:eastAsia="Arial" w:hAnsi="Arial"/>
          <w:sz w:val="30"/>
          <w:szCs w:val="30"/>
          <w:color w:val="C0C0C0"/>
        </w:rPr>
      </w:pPr>
      <w:r>
        <w:rPr>
          <w:rFonts w:ascii="Arial" w:cs="Arial" w:eastAsia="Arial" w:hAnsi="Arial"/>
          <w:sz w:val="37"/>
          <w:szCs w:val="37"/>
          <w:color w:val="auto"/>
        </w:rPr>
        <w:t>44 thousand video customers</w:t>
      </w:r>
    </w:p>
    <w:p>
      <w:pPr>
        <w:spacing w:after="0" w:line="118" w:lineRule="exact"/>
        <w:rPr>
          <w:rFonts w:ascii="Arial" w:cs="Arial" w:eastAsia="Arial" w:hAnsi="Arial"/>
          <w:sz w:val="30"/>
          <w:szCs w:val="30"/>
          <w:color w:val="C0C0C0"/>
        </w:rPr>
      </w:pPr>
    </w:p>
    <w:p>
      <w:pPr>
        <w:ind w:left="1340" w:right="958" w:hanging="431"/>
        <w:spacing w:after="0" w:line="282" w:lineRule="auto"/>
        <w:tabs>
          <w:tab w:leader="none" w:pos="1217" w:val="left"/>
        </w:tabs>
        <w:numPr>
          <w:ilvl w:val="0"/>
          <w:numId w:val="3"/>
        </w:numPr>
        <w:rPr>
          <w:rFonts w:ascii="Arial" w:cs="Arial" w:eastAsia="Arial" w:hAnsi="Arial"/>
          <w:sz w:val="29"/>
          <w:szCs w:val="29"/>
          <w:color w:val="C0C0C0"/>
        </w:rPr>
      </w:pPr>
      <w:r>
        <w:rPr>
          <w:rFonts w:ascii="Arial" w:cs="Arial" w:eastAsia="Arial" w:hAnsi="Arial"/>
          <w:sz w:val="36"/>
          <w:szCs w:val="36"/>
          <w:color w:val="auto"/>
        </w:rPr>
        <w:t>21 thousand data customers</w:t>
      </w:r>
    </w:p>
    <w:p>
      <w:pPr>
        <w:spacing w:after="0" w:line="96" w:lineRule="exact"/>
        <w:rPr>
          <w:rFonts w:ascii="Arial" w:cs="Arial" w:eastAsia="Arial" w:hAnsi="Arial"/>
          <w:sz w:val="29"/>
          <w:szCs w:val="29"/>
          <w:color w:val="C0C0C0"/>
        </w:rPr>
      </w:pPr>
    </w:p>
    <w:p>
      <w:pPr>
        <w:ind w:left="1340" w:right="958" w:hanging="431"/>
        <w:spacing w:after="0" w:line="313" w:lineRule="auto"/>
        <w:tabs>
          <w:tab w:leader="none" w:pos="1217" w:val="left"/>
        </w:tabs>
        <w:numPr>
          <w:ilvl w:val="0"/>
          <w:numId w:val="3"/>
        </w:numPr>
        <w:rPr>
          <w:rFonts w:ascii="Arial" w:cs="Arial" w:eastAsia="Arial" w:hAnsi="Arial"/>
          <w:sz w:val="28"/>
          <w:szCs w:val="28"/>
          <w:color w:val="C0C0C0"/>
        </w:rPr>
      </w:pPr>
      <w:r>
        <w:rPr>
          <w:rFonts w:ascii="Arial" w:cs="Arial" w:eastAsia="Arial" w:hAnsi="Arial"/>
          <w:sz w:val="34"/>
          <w:szCs w:val="34"/>
          <w:color w:val="auto"/>
        </w:rPr>
        <w:t>2 thousand voice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2" w:hanging="342"/>
        <w:spacing w:after="0"/>
        <w:tabs>
          <w:tab w:leader="none" w:pos="342" w:val="left"/>
        </w:tabs>
        <w:numPr>
          <w:ilvl w:val="0"/>
          <w:numId w:val="4"/>
        </w:numPr>
        <w:rPr>
          <w:rFonts w:ascii="Arial" w:cs="Arial" w:eastAsia="Arial" w:hAnsi="Arial"/>
          <w:sz w:val="38"/>
          <w:szCs w:val="38"/>
          <w:color w:val="840039"/>
        </w:rPr>
      </w:pPr>
      <w:r>
        <w:rPr>
          <w:rFonts w:ascii="Arial" w:cs="Arial" w:eastAsia="Arial" w:hAnsi="Arial"/>
          <w:sz w:val="38"/>
          <w:szCs w:val="38"/>
          <w:color w:val="auto"/>
        </w:rPr>
        <w:t>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-1227455</wp:posOffset>
            </wp:positionV>
            <wp:extent cx="7317740" cy="5492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192" w:lineRule="exact"/>
        <w:rPr>
          <w:sz w:val="20"/>
          <w:szCs w:val="20"/>
          <w:color w:val="auto"/>
        </w:rPr>
      </w:pPr>
    </w:p>
    <w:p>
      <w:pPr>
        <w:ind w:left="822" w:hanging="317"/>
        <w:spacing w:after="0"/>
        <w:tabs>
          <w:tab w:leader="none" w:pos="822" w:val="left"/>
        </w:tabs>
        <w:numPr>
          <w:ilvl w:val="0"/>
          <w:numId w:val="5"/>
        </w:numPr>
        <w:rPr>
          <w:rFonts w:ascii="Arial" w:cs="Arial" w:eastAsia="Arial" w:hAnsi="Arial"/>
          <w:sz w:val="31"/>
          <w:szCs w:val="31"/>
          <w:color w:val="C0C0C0"/>
        </w:rPr>
      </w:pPr>
      <w:r>
        <w:rPr>
          <w:rFonts w:ascii="Arial" w:cs="Arial" w:eastAsia="Arial" w:hAnsi="Arial"/>
          <w:sz w:val="38"/>
          <w:szCs w:val="38"/>
          <w:color w:val="auto"/>
        </w:rPr>
        <w:t>3,200 miles</w:t>
      </w:r>
    </w:p>
    <w:p>
      <w:pPr>
        <w:spacing w:after="0" w:line="223" w:lineRule="exact"/>
        <w:rPr>
          <w:rFonts w:ascii="Arial" w:cs="Arial" w:eastAsia="Arial" w:hAnsi="Arial"/>
          <w:sz w:val="31"/>
          <w:szCs w:val="31"/>
          <w:color w:val="C0C0C0"/>
        </w:rPr>
      </w:pPr>
    </w:p>
    <w:p>
      <w:pPr>
        <w:ind w:left="822" w:hanging="317"/>
        <w:spacing w:after="0"/>
        <w:tabs>
          <w:tab w:leader="none" w:pos="822" w:val="left"/>
        </w:tabs>
        <w:numPr>
          <w:ilvl w:val="0"/>
          <w:numId w:val="5"/>
        </w:numPr>
        <w:rPr>
          <w:rFonts w:ascii="Arial" w:cs="Arial" w:eastAsia="Arial" w:hAnsi="Arial"/>
          <w:sz w:val="31"/>
          <w:szCs w:val="31"/>
          <w:color w:val="C0C0C0"/>
        </w:rPr>
      </w:pPr>
      <w:r>
        <w:rPr>
          <w:rFonts w:ascii="Arial" w:cs="Arial" w:eastAsia="Arial" w:hAnsi="Arial"/>
          <w:sz w:val="38"/>
          <w:szCs w:val="38"/>
          <w:color w:val="auto"/>
        </w:rPr>
        <w:t>900 miles of fiber</w:t>
      </w:r>
    </w:p>
    <w:p>
      <w:pPr>
        <w:spacing w:after="0" w:line="211" w:lineRule="exact"/>
        <w:rPr>
          <w:rFonts w:ascii="Arial" w:cs="Arial" w:eastAsia="Arial" w:hAnsi="Arial"/>
          <w:sz w:val="31"/>
          <w:szCs w:val="31"/>
          <w:color w:val="C0C0C0"/>
        </w:rPr>
      </w:pPr>
    </w:p>
    <w:p>
      <w:pPr>
        <w:ind w:left="822" w:hanging="317"/>
        <w:spacing w:after="0"/>
        <w:tabs>
          <w:tab w:leader="none" w:pos="822" w:val="left"/>
        </w:tabs>
        <w:numPr>
          <w:ilvl w:val="0"/>
          <w:numId w:val="5"/>
        </w:numPr>
        <w:rPr>
          <w:rFonts w:ascii="Arial" w:cs="Arial" w:eastAsia="Arial" w:hAnsi="Arial"/>
          <w:sz w:val="31"/>
          <w:szCs w:val="31"/>
          <w:color w:val="C0C0C0"/>
        </w:rPr>
      </w:pPr>
      <w:r>
        <w:rPr>
          <w:rFonts w:ascii="Arial" w:cs="Arial" w:eastAsia="Arial" w:hAnsi="Arial"/>
          <w:sz w:val="38"/>
          <w:szCs w:val="38"/>
          <w:color w:val="auto"/>
        </w:rPr>
        <w:t>84% two way</w:t>
      </w:r>
    </w:p>
    <w:p>
      <w:pPr>
        <w:spacing w:after="0" w:line="224" w:lineRule="exact"/>
        <w:rPr>
          <w:sz w:val="20"/>
          <w:szCs w:val="20"/>
          <w:color w:val="auto"/>
        </w:rPr>
      </w:pPr>
    </w:p>
    <w:p>
      <w:pPr>
        <w:ind w:left="342" w:hanging="342"/>
        <w:spacing w:after="0"/>
        <w:tabs>
          <w:tab w:leader="none" w:pos="342" w:val="left"/>
        </w:tabs>
        <w:numPr>
          <w:ilvl w:val="0"/>
          <w:numId w:val="6"/>
        </w:numPr>
        <w:rPr>
          <w:rFonts w:ascii="Arial" w:cs="Arial" w:eastAsia="Arial" w:hAnsi="Arial"/>
          <w:sz w:val="38"/>
          <w:szCs w:val="38"/>
          <w:color w:val="840039"/>
        </w:rPr>
      </w:pPr>
      <w:r>
        <w:rPr>
          <w:rFonts w:ascii="Arial" w:cs="Arial" w:eastAsia="Arial" w:hAnsi="Arial"/>
          <w:sz w:val="38"/>
          <w:szCs w:val="38"/>
          <w:color w:val="auto"/>
        </w:rPr>
        <w:t>Competition</w:t>
      </w:r>
    </w:p>
    <w:p>
      <w:pPr>
        <w:spacing w:after="0" w:line="212" w:lineRule="exact"/>
        <w:rPr>
          <w:sz w:val="20"/>
          <w:szCs w:val="20"/>
          <w:color w:val="auto"/>
        </w:rPr>
      </w:pPr>
    </w:p>
    <w:p>
      <w:pPr>
        <w:ind w:left="822" w:hanging="317"/>
        <w:spacing w:after="0"/>
        <w:tabs>
          <w:tab w:leader="none" w:pos="822" w:val="left"/>
        </w:tabs>
        <w:numPr>
          <w:ilvl w:val="0"/>
          <w:numId w:val="7"/>
        </w:numPr>
        <w:rPr>
          <w:rFonts w:ascii="Arial" w:cs="Arial" w:eastAsia="Arial" w:hAnsi="Arial"/>
          <w:sz w:val="31"/>
          <w:szCs w:val="31"/>
          <w:color w:val="C0C0C0"/>
        </w:rPr>
      </w:pPr>
      <w:r>
        <w:rPr>
          <w:rFonts w:ascii="Arial" w:cs="Arial" w:eastAsia="Arial" w:hAnsi="Arial"/>
          <w:sz w:val="38"/>
          <w:szCs w:val="38"/>
          <w:color w:val="auto"/>
        </w:rPr>
        <w:t>No fiber to the home</w:t>
      </w:r>
    </w:p>
    <w:p>
      <w:pPr>
        <w:spacing w:after="0" w:line="223" w:lineRule="exact"/>
        <w:rPr>
          <w:rFonts w:ascii="Arial" w:cs="Arial" w:eastAsia="Arial" w:hAnsi="Arial"/>
          <w:sz w:val="31"/>
          <w:szCs w:val="31"/>
          <w:color w:val="C0C0C0"/>
        </w:rPr>
      </w:pPr>
    </w:p>
    <w:p>
      <w:pPr>
        <w:ind w:left="942" w:right="1680" w:hanging="437"/>
        <w:spacing w:after="0" w:line="254" w:lineRule="auto"/>
        <w:tabs>
          <w:tab w:leader="none" w:pos="819" w:val="left"/>
        </w:tabs>
        <w:numPr>
          <w:ilvl w:val="0"/>
          <w:numId w:val="7"/>
        </w:numPr>
        <w:rPr>
          <w:rFonts w:ascii="Arial" w:cs="Arial" w:eastAsia="Arial" w:hAnsi="Arial"/>
          <w:sz w:val="31"/>
          <w:szCs w:val="31"/>
          <w:color w:val="C0C0C0"/>
        </w:rPr>
      </w:pPr>
      <w:r>
        <w:rPr>
          <w:rFonts w:ascii="Arial" w:cs="Arial" w:eastAsia="Arial" w:hAnsi="Arial"/>
          <w:sz w:val="38"/>
          <w:szCs w:val="38"/>
          <w:color w:val="auto"/>
        </w:rPr>
        <w:t>CenturyLink and Verizon</w:t>
      </w:r>
    </w:p>
    <w:p>
      <w:pPr>
        <w:spacing w:after="0" w:line="144" w:lineRule="exact"/>
        <w:rPr>
          <w:rFonts w:ascii="Arial" w:cs="Arial" w:eastAsia="Arial" w:hAnsi="Arial"/>
          <w:sz w:val="31"/>
          <w:szCs w:val="31"/>
          <w:color w:val="C0C0C0"/>
        </w:rPr>
      </w:pPr>
    </w:p>
    <w:p>
      <w:pPr>
        <w:ind w:left="822" w:hanging="317"/>
        <w:spacing w:after="0"/>
        <w:tabs>
          <w:tab w:leader="none" w:pos="822" w:val="left"/>
        </w:tabs>
        <w:numPr>
          <w:ilvl w:val="0"/>
          <w:numId w:val="7"/>
        </w:numPr>
        <w:rPr>
          <w:rFonts w:ascii="Arial" w:cs="Arial" w:eastAsia="Arial" w:hAnsi="Arial"/>
          <w:sz w:val="31"/>
          <w:szCs w:val="31"/>
          <w:color w:val="C0C0C0"/>
        </w:rPr>
      </w:pPr>
      <w:r>
        <w:rPr>
          <w:rFonts w:ascii="Arial" w:cs="Arial" w:eastAsia="Arial" w:hAnsi="Arial"/>
          <w:sz w:val="38"/>
          <w:szCs w:val="38"/>
          <w:color w:val="auto"/>
        </w:rPr>
        <w:t>Satellite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396875</wp:posOffset>
            </wp:positionV>
            <wp:extent cx="726694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2">
            <w:col w:w="4778" w:space="720"/>
            <w:col w:w="5102"/>
          </w:cols>
          <w:pgMar w:left="600" w:top="990" w:right="699" w:bottom="1440" w:gutter="0" w:footer="0" w:header="0"/>
        </w:sectPr>
      </w:pPr>
    </w:p>
    <w:bookmarkStart w:id="6" w:name="page7"/>
    <w:bookmarkEnd w:id="6"/>
    <w:p>
      <w:pPr>
        <w:spacing w:after="0"/>
        <w:rPr>
          <w:sz w:val="20"/>
          <w:szCs w:val="20"/>
          <w:color w:val="auto"/>
        </w:rPr>
      </w:pPr>
      <w:r>
        <w:rPr>
          <w:rFonts w:ascii="Arial" w:cs="Arial" w:eastAsia="Arial" w:hAnsi="Arial"/>
          <w:sz w:val="36"/>
          <w:szCs w:val="36"/>
          <w:b w:val="1"/>
          <w:bCs w:val="1"/>
          <w:color w:val="auto"/>
        </w:rPr>
        <w:t>Deal Highlights - Continued</w:t>
      </w:r>
    </w:p>
    <w:p>
      <w:pPr>
        <w:spacing w:after="0" w:line="200" w:lineRule="exact"/>
        <w:rPr>
          <w:sz w:val="20"/>
          <w:szCs w:val="20"/>
          <w:color w:val="auto"/>
        </w:rPr>
      </w:pPr>
    </w:p>
    <w:p>
      <w:pPr>
        <w:spacing w:after="0" w:line="249" w:lineRule="exact"/>
        <w:rPr>
          <w:sz w:val="20"/>
          <w:szCs w:val="20"/>
          <w:color w:val="auto"/>
        </w:rPr>
      </w:pPr>
    </w:p>
    <w:p>
      <w:pPr>
        <w:jc w:val="both"/>
        <w:ind w:left="840" w:right="80" w:hanging="435"/>
        <w:spacing w:after="0" w:line="313" w:lineRule="auto"/>
        <w:tabs>
          <w:tab w:leader="none" w:pos="744" w:val="left"/>
        </w:tabs>
        <w:numPr>
          <w:ilvl w:val="0"/>
          <w:numId w:val="8"/>
        </w:numPr>
        <w:rPr>
          <w:rFonts w:ascii="Arial" w:cs="Arial" w:eastAsia="Arial" w:hAnsi="Arial"/>
          <w:sz w:val="34"/>
          <w:szCs w:val="34"/>
          <w:color w:val="840039"/>
        </w:rPr>
      </w:pPr>
      <w:r>
        <w:rPr>
          <w:rFonts w:ascii="Arial" w:cs="Arial" w:eastAsia="Arial" w:hAnsi="Arial"/>
          <w:sz w:val="34"/>
          <w:szCs w:val="34"/>
          <w:color w:val="auto"/>
        </w:rPr>
        <w:t>Operating Income before Interest and Depreciation</w:t>
      </w:r>
    </w:p>
    <w:p>
      <w:pPr>
        <w:spacing w:after="0" w:line="61" w:lineRule="exact"/>
        <w:rPr>
          <w:sz w:val="20"/>
          <w:szCs w:val="20"/>
          <w:color w:val="auto"/>
        </w:rPr>
      </w:pPr>
    </w:p>
    <w:p>
      <w:pPr>
        <w:ind w:left="1340" w:hanging="431"/>
        <w:spacing w:after="0" w:line="297" w:lineRule="auto"/>
        <w:tabs>
          <w:tab w:leader="none" w:pos="1217" w:val="left"/>
        </w:tabs>
        <w:numPr>
          <w:ilvl w:val="0"/>
          <w:numId w:val="9"/>
        </w:numPr>
        <w:rPr>
          <w:rFonts w:ascii="Arial" w:cs="Arial" w:eastAsia="Arial" w:hAnsi="Arial"/>
          <w:sz w:val="28"/>
          <w:szCs w:val="28"/>
          <w:color w:val="C0C0C0"/>
        </w:rPr>
      </w:pPr>
      <w:r>
        <w:rPr>
          <w:rFonts w:ascii="Arial" w:cs="Arial" w:eastAsia="Arial" w:hAnsi="Arial"/>
          <w:sz w:val="35"/>
          <w:szCs w:val="35"/>
          <w:color w:val="auto"/>
        </w:rPr>
        <w:t>$15.5 before Corporate office costs</w:t>
      </w:r>
    </w:p>
    <w:p>
      <w:pPr>
        <w:spacing w:after="0" w:line="73" w:lineRule="exact"/>
        <w:rPr>
          <w:rFonts w:ascii="Arial" w:cs="Arial" w:eastAsia="Arial" w:hAnsi="Arial"/>
          <w:sz w:val="28"/>
          <w:szCs w:val="28"/>
          <w:color w:val="C0C0C0"/>
        </w:rPr>
      </w:pPr>
    </w:p>
    <w:p>
      <w:pPr>
        <w:ind w:left="1340" w:right="280" w:hanging="431"/>
        <w:spacing w:after="0" w:line="313" w:lineRule="auto"/>
        <w:tabs>
          <w:tab w:leader="none" w:pos="1217" w:val="left"/>
        </w:tabs>
        <w:numPr>
          <w:ilvl w:val="0"/>
          <w:numId w:val="9"/>
        </w:numPr>
        <w:rPr>
          <w:rFonts w:ascii="Arial" w:cs="Arial" w:eastAsia="Arial" w:hAnsi="Arial"/>
          <w:sz w:val="28"/>
          <w:szCs w:val="28"/>
          <w:color w:val="C0C0C0"/>
        </w:rPr>
      </w:pPr>
      <w:r>
        <w:rPr>
          <w:rFonts w:ascii="Arial" w:cs="Arial" w:eastAsia="Arial" w:hAnsi="Arial"/>
          <w:sz w:val="34"/>
          <w:szCs w:val="34"/>
          <w:color w:val="auto"/>
        </w:rPr>
        <w:t>$13.8 after Corporate office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2" w:hanging="342"/>
        <w:spacing w:after="0"/>
        <w:tabs>
          <w:tab w:leader="none" w:pos="342" w:val="left"/>
        </w:tabs>
        <w:numPr>
          <w:ilvl w:val="0"/>
          <w:numId w:val="10"/>
        </w:numPr>
        <w:rPr>
          <w:rFonts w:ascii="Arial" w:cs="Arial" w:eastAsia="Arial" w:hAnsi="Arial"/>
          <w:sz w:val="38"/>
          <w:szCs w:val="38"/>
          <w:color w:val="840039"/>
        </w:rPr>
      </w:pPr>
      <w:r>
        <w:rPr>
          <w:rFonts w:ascii="Arial" w:cs="Arial" w:eastAsia="Arial" w:hAnsi="Arial"/>
          <w:sz w:val="38"/>
          <w:szCs w:val="38"/>
          <w:color w:val="auto"/>
        </w:rPr>
        <w:t>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-1166495</wp:posOffset>
            </wp:positionV>
            <wp:extent cx="7317740" cy="5492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192" w:lineRule="exact"/>
        <w:rPr>
          <w:sz w:val="20"/>
          <w:szCs w:val="20"/>
          <w:color w:val="auto"/>
        </w:rPr>
      </w:pPr>
    </w:p>
    <w:p>
      <w:pPr>
        <w:ind w:left="822" w:hanging="317"/>
        <w:spacing w:after="0"/>
        <w:tabs>
          <w:tab w:leader="none" w:pos="822" w:val="left"/>
        </w:tabs>
        <w:numPr>
          <w:ilvl w:val="0"/>
          <w:numId w:val="11"/>
        </w:numPr>
        <w:rPr>
          <w:rFonts w:ascii="Arial" w:cs="Arial" w:eastAsia="Arial" w:hAnsi="Arial"/>
          <w:sz w:val="28"/>
          <w:szCs w:val="28"/>
          <w:color w:val="C0C0C0"/>
        </w:rPr>
      </w:pPr>
      <w:r>
        <w:rPr>
          <w:rFonts w:ascii="Arial" w:cs="Arial" w:eastAsia="Arial" w:hAnsi="Arial"/>
          <w:sz w:val="34"/>
          <w:szCs w:val="34"/>
          <w:color w:val="auto"/>
        </w:rPr>
        <w:t>Syndicated debt deal</w:t>
      </w:r>
    </w:p>
    <w:p>
      <w:pPr>
        <w:spacing w:after="0" w:line="269" w:lineRule="exact"/>
        <w:rPr>
          <w:rFonts w:ascii="Arial" w:cs="Arial" w:eastAsia="Arial" w:hAnsi="Arial"/>
          <w:sz w:val="28"/>
          <w:szCs w:val="28"/>
          <w:color w:val="C0C0C0"/>
        </w:rPr>
      </w:pPr>
    </w:p>
    <w:p>
      <w:pPr>
        <w:ind w:left="822" w:hanging="317"/>
        <w:spacing w:after="0"/>
        <w:tabs>
          <w:tab w:leader="none" w:pos="822" w:val="left"/>
        </w:tabs>
        <w:numPr>
          <w:ilvl w:val="0"/>
          <w:numId w:val="11"/>
        </w:numPr>
        <w:rPr>
          <w:rFonts w:ascii="Arial" w:cs="Arial" w:eastAsia="Arial" w:hAnsi="Arial"/>
          <w:sz w:val="31"/>
          <w:szCs w:val="31"/>
          <w:color w:val="C0C0C0"/>
        </w:rPr>
      </w:pPr>
      <w:r>
        <w:rPr>
          <w:rFonts w:ascii="Arial" w:cs="Arial" w:eastAsia="Arial" w:hAnsi="Arial"/>
          <w:sz w:val="38"/>
          <w:szCs w:val="38"/>
          <w:color w:val="auto"/>
        </w:rPr>
        <w:t>$198m Term Loan</w:t>
      </w:r>
    </w:p>
    <w:p>
      <w:pPr>
        <w:spacing w:after="0" w:line="211" w:lineRule="exact"/>
        <w:rPr>
          <w:rFonts w:ascii="Arial" w:cs="Arial" w:eastAsia="Arial" w:hAnsi="Arial"/>
          <w:sz w:val="31"/>
          <w:szCs w:val="31"/>
          <w:color w:val="C0C0C0"/>
        </w:rPr>
      </w:pPr>
    </w:p>
    <w:p>
      <w:pPr>
        <w:ind w:left="942" w:right="1880" w:hanging="437"/>
        <w:spacing w:after="0" w:line="297" w:lineRule="auto"/>
        <w:tabs>
          <w:tab w:leader="none" w:pos="819" w:val="left"/>
        </w:tabs>
        <w:numPr>
          <w:ilvl w:val="0"/>
          <w:numId w:val="11"/>
        </w:numPr>
        <w:rPr>
          <w:rFonts w:ascii="Arial" w:cs="Arial" w:eastAsia="Arial" w:hAnsi="Arial"/>
          <w:sz w:val="28"/>
          <w:szCs w:val="28"/>
          <w:color w:val="C0C0C0"/>
        </w:rPr>
      </w:pPr>
      <w:r>
        <w:rPr>
          <w:rFonts w:ascii="Arial" w:cs="Arial" w:eastAsia="Arial" w:hAnsi="Arial"/>
          <w:sz w:val="35"/>
          <w:szCs w:val="35"/>
          <w:color w:val="auto"/>
        </w:rPr>
        <w:t>$50m Undrawn Revolver</w:t>
      </w:r>
    </w:p>
    <w:p>
      <w:pPr>
        <w:spacing w:after="0" w:line="73" w:lineRule="exact"/>
        <w:rPr>
          <w:rFonts w:ascii="Arial" w:cs="Arial" w:eastAsia="Arial" w:hAnsi="Arial"/>
          <w:sz w:val="28"/>
          <w:szCs w:val="28"/>
          <w:color w:val="C0C0C0"/>
        </w:rPr>
      </w:pPr>
    </w:p>
    <w:p>
      <w:pPr>
        <w:ind w:left="942" w:right="1200" w:hanging="437"/>
        <w:spacing w:after="0" w:line="239" w:lineRule="auto"/>
        <w:tabs>
          <w:tab w:leader="none" w:pos="819" w:val="left"/>
        </w:tabs>
        <w:numPr>
          <w:ilvl w:val="0"/>
          <w:numId w:val="11"/>
        </w:numPr>
        <w:rPr>
          <w:rFonts w:ascii="Arial" w:cs="Arial" w:eastAsia="Arial" w:hAnsi="Arial"/>
          <w:sz w:val="31"/>
          <w:szCs w:val="31"/>
          <w:color w:val="C0C0C0"/>
        </w:rPr>
      </w:pPr>
      <w:r>
        <w:rPr>
          <w:rFonts w:ascii="Arial" w:cs="Arial" w:eastAsia="Arial" w:hAnsi="Arial"/>
          <w:sz w:val="38"/>
          <w:szCs w:val="38"/>
          <w:color w:val="auto"/>
        </w:rPr>
        <w:t>Oversubscribed at more than 150% of needs</w:t>
      </w:r>
    </w:p>
    <w:p>
      <w:pPr>
        <w:spacing w:after="0" w:line="200" w:lineRule="exact"/>
        <w:rPr>
          <w:sz w:val="20"/>
          <w:szCs w:val="20"/>
          <w:color w:val="auto"/>
        </w:rPr>
      </w:pPr>
    </w:p>
    <w:p>
      <w:pPr>
        <w:sectPr>
          <w:pgSz w:w="11900" w:h="16838" w:orient="portrait"/>
          <w:cols w:equalWidth="0" w:num="2">
            <w:col w:w="4800" w:space="698"/>
            <w:col w:w="5102"/>
          </w:cols>
          <w:pgMar w:left="600" w:top="894"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5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411480</wp:posOffset>
            </wp:positionV>
            <wp:extent cx="726694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894" w:right="6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JBB Acquisition - Rationale</w:t>
      </w:r>
    </w:p>
    <w:p>
      <w:pPr>
        <w:spacing w:after="0" w:line="200" w:lineRule="exact"/>
        <w:rPr>
          <w:sz w:val="20"/>
          <w:szCs w:val="20"/>
          <w:color w:val="auto"/>
        </w:rPr>
      </w:pPr>
    </w:p>
    <w:p>
      <w:pPr>
        <w:spacing w:after="0" w:line="214" w:lineRule="exact"/>
        <w:rPr>
          <w:sz w:val="20"/>
          <w:szCs w:val="20"/>
          <w:color w:val="auto"/>
        </w:rPr>
      </w:pPr>
    </w:p>
    <w:p>
      <w:pPr>
        <w:ind w:left="580" w:hanging="279"/>
        <w:spacing w:after="0"/>
        <w:tabs>
          <w:tab w:leader="none" w:pos="580" w:val="left"/>
        </w:tabs>
        <w:numPr>
          <w:ilvl w:val="0"/>
          <w:numId w:val="12"/>
        </w:numPr>
        <w:rPr>
          <w:rFonts w:ascii="Arial" w:cs="Arial" w:eastAsia="Arial" w:hAnsi="Arial"/>
          <w:sz w:val="38"/>
          <w:szCs w:val="38"/>
          <w:color w:val="840039"/>
        </w:rPr>
      </w:pPr>
      <w:r>
        <w:rPr>
          <w:rFonts w:ascii="Arial" w:cs="Arial" w:eastAsia="Arial" w:hAnsi="Arial"/>
          <w:sz w:val="38"/>
          <w:szCs w:val="38"/>
          <w:color w:val="auto"/>
        </w:rPr>
        <w:t>Diversification</w:t>
      </w:r>
    </w:p>
    <w:p>
      <w:pPr>
        <w:spacing w:after="0" w:line="211" w:lineRule="exact"/>
        <w:rPr>
          <w:rFonts w:ascii="Arial" w:cs="Arial" w:eastAsia="Arial" w:hAnsi="Arial"/>
          <w:sz w:val="38"/>
          <w:szCs w:val="38"/>
          <w:color w:val="840039"/>
        </w:rPr>
      </w:pPr>
    </w:p>
    <w:p>
      <w:pPr>
        <w:ind w:left="580" w:hanging="279"/>
        <w:spacing w:after="0"/>
        <w:tabs>
          <w:tab w:leader="none" w:pos="580" w:val="left"/>
        </w:tabs>
        <w:numPr>
          <w:ilvl w:val="0"/>
          <w:numId w:val="12"/>
        </w:numPr>
        <w:rPr>
          <w:rFonts w:ascii="Arial" w:cs="Arial" w:eastAsia="Arial" w:hAnsi="Arial"/>
          <w:sz w:val="38"/>
          <w:szCs w:val="38"/>
          <w:color w:val="840039"/>
        </w:rPr>
      </w:pPr>
      <w:r>
        <w:rPr>
          <w:rFonts w:ascii="Arial" w:cs="Arial" w:eastAsia="Arial" w:hAnsi="Arial"/>
          <w:sz w:val="38"/>
          <w:szCs w:val="38"/>
          <w:color w:val="auto"/>
        </w:rPr>
        <w:t>Scale</w:t>
      </w:r>
    </w:p>
    <w:p>
      <w:pPr>
        <w:spacing w:after="0" w:line="223" w:lineRule="exact"/>
        <w:rPr>
          <w:rFonts w:ascii="Arial" w:cs="Arial" w:eastAsia="Arial" w:hAnsi="Arial"/>
          <w:sz w:val="38"/>
          <w:szCs w:val="38"/>
          <w:color w:val="840039"/>
        </w:rPr>
      </w:pPr>
    </w:p>
    <w:p>
      <w:pPr>
        <w:ind w:left="580" w:hanging="279"/>
        <w:spacing w:after="0"/>
        <w:tabs>
          <w:tab w:leader="none" w:pos="580" w:val="left"/>
        </w:tabs>
        <w:numPr>
          <w:ilvl w:val="0"/>
          <w:numId w:val="12"/>
        </w:numPr>
        <w:rPr>
          <w:rFonts w:ascii="Arial" w:cs="Arial" w:eastAsia="Arial" w:hAnsi="Arial"/>
          <w:sz w:val="38"/>
          <w:szCs w:val="38"/>
          <w:color w:val="840039"/>
        </w:rPr>
      </w:pPr>
      <w:r>
        <w:rPr>
          <w:rFonts w:ascii="Arial" w:cs="Arial" w:eastAsia="Arial" w:hAnsi="Arial"/>
          <w:sz w:val="38"/>
          <w:szCs w:val="38"/>
          <w:color w:val="auto"/>
        </w:rPr>
        <w:t>Below Market Penetration</w:t>
      </w:r>
    </w:p>
    <w:p>
      <w:pPr>
        <w:spacing w:after="0" w:line="211" w:lineRule="exact"/>
        <w:rPr>
          <w:rFonts w:ascii="Arial" w:cs="Arial" w:eastAsia="Arial" w:hAnsi="Arial"/>
          <w:sz w:val="38"/>
          <w:szCs w:val="38"/>
          <w:color w:val="840039"/>
        </w:rPr>
      </w:pPr>
    </w:p>
    <w:p>
      <w:pPr>
        <w:ind w:left="580" w:hanging="279"/>
        <w:spacing w:after="0"/>
        <w:tabs>
          <w:tab w:leader="none" w:pos="580" w:val="left"/>
        </w:tabs>
        <w:numPr>
          <w:ilvl w:val="0"/>
          <w:numId w:val="12"/>
        </w:numPr>
        <w:rPr>
          <w:rFonts w:ascii="Arial" w:cs="Arial" w:eastAsia="Arial" w:hAnsi="Arial"/>
          <w:sz w:val="38"/>
          <w:szCs w:val="38"/>
          <w:color w:val="840039"/>
        </w:rPr>
      </w:pPr>
      <w:r>
        <w:rPr>
          <w:rFonts w:ascii="Arial" w:cs="Arial" w:eastAsia="Arial" w:hAnsi="Arial"/>
          <w:sz w:val="38"/>
          <w:szCs w:val="38"/>
          <w:color w:val="auto"/>
        </w:rPr>
        <w:t>Geographic Fit</w:t>
      </w:r>
    </w:p>
    <w:p>
      <w:pPr>
        <w:spacing w:after="0" w:line="223" w:lineRule="exact"/>
        <w:rPr>
          <w:rFonts w:ascii="Arial" w:cs="Arial" w:eastAsia="Arial" w:hAnsi="Arial"/>
          <w:sz w:val="38"/>
          <w:szCs w:val="38"/>
          <w:color w:val="840039"/>
        </w:rPr>
      </w:pPr>
    </w:p>
    <w:p>
      <w:pPr>
        <w:ind w:left="580" w:hanging="279"/>
        <w:spacing w:after="0"/>
        <w:tabs>
          <w:tab w:leader="none" w:pos="580" w:val="left"/>
        </w:tabs>
        <w:numPr>
          <w:ilvl w:val="0"/>
          <w:numId w:val="12"/>
        </w:numPr>
        <w:rPr>
          <w:rFonts w:ascii="Arial" w:cs="Arial" w:eastAsia="Arial" w:hAnsi="Arial"/>
          <w:sz w:val="38"/>
          <w:szCs w:val="38"/>
          <w:color w:val="840039"/>
        </w:rPr>
      </w:pPr>
      <w:r>
        <w:rPr>
          <w:rFonts w:ascii="Arial" w:cs="Arial" w:eastAsia="Arial" w:hAnsi="Arial"/>
          <w:sz w:val="38"/>
          <w:szCs w:val="38"/>
          <w:color w:val="auto"/>
        </w:rPr>
        <w:t>Synergies</w:t>
      </w:r>
    </w:p>
    <w:p>
      <w:pPr>
        <w:spacing w:after="0" w:line="211" w:lineRule="exact"/>
        <w:rPr>
          <w:rFonts w:ascii="Arial" w:cs="Arial" w:eastAsia="Arial" w:hAnsi="Arial"/>
          <w:sz w:val="38"/>
          <w:szCs w:val="38"/>
          <w:color w:val="840039"/>
        </w:rPr>
      </w:pPr>
    </w:p>
    <w:p>
      <w:pPr>
        <w:ind w:left="580" w:hanging="279"/>
        <w:spacing w:after="0"/>
        <w:tabs>
          <w:tab w:leader="none" w:pos="580" w:val="left"/>
        </w:tabs>
        <w:numPr>
          <w:ilvl w:val="0"/>
          <w:numId w:val="12"/>
        </w:numPr>
        <w:rPr>
          <w:rFonts w:ascii="Arial" w:cs="Arial" w:eastAsia="Arial" w:hAnsi="Arial"/>
          <w:sz w:val="38"/>
          <w:szCs w:val="38"/>
          <w:color w:val="840039"/>
        </w:rPr>
      </w:pPr>
      <w:r>
        <w:rPr>
          <w:rFonts w:ascii="Arial" w:cs="Arial" w:eastAsia="Arial" w:hAnsi="Arial"/>
          <w:sz w:val="38"/>
          <w:szCs w:val="38"/>
          <w:color w:val="auto"/>
        </w:rPr>
        <w:t>Leveraging Core Competencies</w:t>
      </w:r>
    </w:p>
    <w:p>
      <w:pPr>
        <w:spacing w:after="0" w:line="223" w:lineRule="exact"/>
        <w:rPr>
          <w:rFonts w:ascii="Arial" w:cs="Arial" w:eastAsia="Arial" w:hAnsi="Arial"/>
          <w:sz w:val="38"/>
          <w:szCs w:val="38"/>
          <w:color w:val="840039"/>
        </w:rPr>
      </w:pPr>
    </w:p>
    <w:p>
      <w:pPr>
        <w:ind w:left="580" w:hanging="279"/>
        <w:spacing w:after="0"/>
        <w:tabs>
          <w:tab w:leader="none" w:pos="580" w:val="left"/>
        </w:tabs>
        <w:numPr>
          <w:ilvl w:val="0"/>
          <w:numId w:val="12"/>
        </w:numPr>
        <w:rPr>
          <w:rFonts w:ascii="Arial" w:cs="Arial" w:eastAsia="Arial" w:hAnsi="Arial"/>
          <w:sz w:val="38"/>
          <w:szCs w:val="38"/>
          <w:color w:val="840039"/>
        </w:rPr>
      </w:pPr>
      <w:r>
        <w:rPr>
          <w:rFonts w:ascii="Arial" w:cs="Arial" w:eastAsia="Arial" w:hAnsi="Arial"/>
          <w:sz w:val="38"/>
          <w:szCs w:val="38"/>
          <w:color w:val="auto"/>
        </w:rPr>
        <w:t>Coaxial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396875</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1014" w:right="699" w:bottom="1440" w:gutter="0" w:footer="0" w:header="0"/>
        </w:sectPr>
      </w:pPr>
    </w:p>
    <w:bookmarkStart w:id="8" w:name="page9"/>
    <w:bookmarkEnd w:id="8"/>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Percent of Homes Passed with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9" w:name="page10"/>
    <w:bookmarkEnd w:id="9"/>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JBB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396875</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1014" w:right="699" w:bottom="1440" w:gutter="0" w:footer="0" w:header="0"/>
        </w:sectPr>
      </w:pPr>
    </w:p>
    <w:bookmarkStart w:id="10" w:name="page11"/>
    <w:bookmarkEnd w:id="10"/>
    <w:p>
      <w:pPr>
        <w:spacing w:after="0"/>
        <w:rPr>
          <w:sz w:val="20"/>
          <w:szCs w:val="20"/>
          <w:color w:val="auto"/>
        </w:rPr>
      </w:pPr>
      <w:r>
        <w:rPr>
          <w:rFonts w:ascii="Arial" w:cs="Arial" w:eastAsia="Arial" w:hAnsi="Arial"/>
          <w:sz w:val="38"/>
          <w:szCs w:val="38"/>
          <w:b w:val="1"/>
          <w:bCs w:val="1"/>
          <w:color w:val="auto"/>
        </w:rPr>
        <w:t>Key Operational Metrics - With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 Forma for Periods Ending December 31, 2009</w:t>
      </w:r>
    </w:p>
    <w:p>
      <w:pPr>
        <w:spacing w:after="0" w:line="396" w:lineRule="exact"/>
        <w:rPr>
          <w:sz w:val="20"/>
          <w:szCs w:val="20"/>
          <w:color w:val="auto"/>
        </w:rPr>
      </w:pPr>
    </w:p>
    <w:p>
      <w:pPr>
        <w:ind w:left="1000"/>
        <w:spacing w:after="0"/>
        <w:tabs>
          <w:tab w:leader="none" w:pos="7040" w:val="left"/>
        </w:tabs>
        <w:rPr>
          <w:sz w:val="20"/>
          <w:szCs w:val="20"/>
          <w:color w:val="auto"/>
        </w:rPr>
      </w:pPr>
      <w:r>
        <w:rPr>
          <w:rFonts w:ascii="Arial" w:cs="Arial" w:eastAsia="Arial" w:hAnsi="Arial"/>
          <w:sz w:val="26"/>
          <w:szCs w:val="26"/>
          <w:b w:val="1"/>
          <w:bCs w:val="1"/>
          <w:color w:val="FFFFFF"/>
        </w:rPr>
        <w:t>Cable Homes Passed (in 000’s)</w:t>
      </w:r>
      <w:r>
        <w:rPr>
          <w:sz w:val="20"/>
          <w:szCs w:val="20"/>
          <w:color w:val="auto"/>
        </w:rPr>
        <w:tab/>
      </w:r>
      <w:r>
        <w:rPr>
          <w:rFonts w:ascii="Arial" w:cs="Arial" w:eastAsia="Arial" w:hAnsi="Arial"/>
          <w:sz w:val="23"/>
          <w:szCs w:val="23"/>
          <w:b w:val="1"/>
          <w:bCs w:val="1"/>
          <w:color w:val="FFFFFF"/>
        </w:rPr>
        <w:t>RGUs (in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60"/>
        <w:spacing w:after="0"/>
        <w:tabs>
          <w:tab w:leader="none" w:pos="6800" w:val="left"/>
        </w:tabs>
        <w:rPr>
          <w:sz w:val="20"/>
          <w:szCs w:val="20"/>
          <w:color w:val="auto"/>
        </w:rPr>
      </w:pPr>
      <w:r>
        <w:rPr>
          <w:rFonts w:ascii="Arial" w:cs="Arial" w:eastAsia="Arial" w:hAnsi="Arial"/>
          <w:sz w:val="26"/>
          <w:szCs w:val="26"/>
          <w:b w:val="1"/>
          <w:bCs w:val="1"/>
          <w:color w:val="FFFFFF"/>
        </w:rPr>
        <w:t>Revenues (in millions)</w:t>
      </w:r>
      <w:r>
        <w:rPr>
          <w:sz w:val="20"/>
          <w:szCs w:val="20"/>
          <w:color w:val="auto"/>
        </w:rPr>
        <w:tab/>
      </w:r>
      <w:r>
        <w:rPr>
          <w:rFonts w:ascii="Arial" w:cs="Arial" w:eastAsia="Arial" w:hAnsi="Arial"/>
          <w:sz w:val="23"/>
          <w:szCs w:val="23"/>
          <w:b w:val="1"/>
          <w:bCs w:val="1"/>
          <w:color w:val="FFFFFF"/>
        </w:rPr>
        <w:t>OIBDA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00"/>
          </w:cols>
          <w:pgMar w:left="700" w:top="1002" w:right="699" w:bottom="1440" w:gutter="0" w:footer="0" w:header="0"/>
        </w:sectPr>
      </w:pPr>
    </w:p>
    <w:bookmarkStart w:id="11" w:name="page12"/>
    <w:bookmarkEnd w:id="11"/>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Level of Debt</w:t>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 Forma for Periods Ending December 31, 2009</w:t>
      </w:r>
    </w:p>
    <w:p>
      <w:pPr>
        <w:spacing w:after="0" w:line="59" w:lineRule="exact"/>
        <w:rPr>
          <w:sz w:val="20"/>
          <w:szCs w:val="20"/>
          <w:color w:val="auto"/>
        </w:rPr>
      </w:pPr>
    </w:p>
    <w:p>
      <w:pPr>
        <w:ind w:left="1640"/>
        <w:spacing w:after="0"/>
        <w:tabs>
          <w:tab w:leader="none" w:pos="6800" w:val="left"/>
        </w:tabs>
        <w:rPr>
          <w:sz w:val="20"/>
          <w:szCs w:val="20"/>
          <w:color w:val="auto"/>
        </w:rPr>
      </w:pPr>
      <w:r>
        <w:rPr>
          <w:rFonts w:ascii="Arial" w:cs="Arial" w:eastAsia="Arial" w:hAnsi="Arial"/>
          <w:sz w:val="26"/>
          <w:szCs w:val="26"/>
          <w:b w:val="1"/>
          <w:bCs w:val="1"/>
          <w:color w:val="FFFFFF"/>
        </w:rPr>
        <w:t>Debt (in millions)</w:t>
      </w:r>
      <w:r>
        <w:rPr>
          <w:sz w:val="20"/>
          <w:szCs w:val="20"/>
          <w:color w:val="auto"/>
        </w:rPr>
        <w:tab/>
      </w:r>
      <w:r>
        <w:rPr>
          <w:rFonts w:ascii="Arial" w:cs="Arial" w:eastAsia="Arial" w:hAnsi="Arial"/>
          <w:sz w:val="23"/>
          <w:szCs w:val="23"/>
          <w:b w:val="1"/>
          <w:bCs w:val="1"/>
          <w:color w:val="FFFFFF"/>
        </w:rPr>
        <w:t>Debt to EBITDA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396875</wp:posOffset>
            </wp:positionV>
            <wp:extent cx="726694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60"/>
          </w:cols>
          <w:pgMar w:left="620" w:top="1086" w:right="619" w:bottom="1440" w:gutter="0" w:footer="0" w:header="0"/>
        </w:sectPr>
      </w:pPr>
    </w:p>
    <w:bookmarkStart w:id="12" w:name="page13"/>
    <w:bookmarkEnd w:id="12"/>
    <w:p>
      <w:pPr>
        <w:spacing w:after="0" w:line="1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ind w:left="2220"/>
        <w:spacing w:after="0"/>
        <w:rPr>
          <w:sz w:val="20"/>
          <w:szCs w:val="20"/>
          <w:color w:val="auto"/>
        </w:rPr>
      </w:pPr>
      <w:r>
        <w:rPr>
          <w:rFonts w:ascii="Arial" w:cs="Arial" w:eastAsia="Arial" w:hAnsi="Arial"/>
          <w:sz w:val="26"/>
          <w:szCs w:val="26"/>
          <w:b w:val="1"/>
          <w:bCs w:val="1"/>
          <w:color w:val="FFFFFF"/>
        </w:rPr>
        <w:t>Capital Expenditures by Segment ($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13" w:name="page14"/>
    <w:bookmarkEnd w:id="13"/>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JBB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38"/>
          <w:szCs w:val="38"/>
          <w:color w:val="840039"/>
        </w:rPr>
        <w:t xml:space="preserve">q </w:t>
      </w:r>
      <w:r>
        <w:rPr>
          <w:rFonts w:ascii="Arial" w:cs="Arial" w:eastAsia="Arial" w:hAnsi="Arial"/>
          <w:sz w:val="38"/>
          <w:szCs w:val="38"/>
          <w:color w:val="000000"/>
        </w:rPr>
        <w:t>Success with Rapid Acquisition</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38"/>
          <w:szCs w:val="38"/>
          <w:color w:val="840039"/>
        </w:rPr>
        <w:t xml:space="preserve">q </w:t>
      </w:r>
      <w:r>
        <w:rPr>
          <w:rFonts w:ascii="Arial" w:cs="Arial" w:eastAsia="Arial" w:hAnsi="Arial"/>
          <w:sz w:val="38"/>
          <w:szCs w:val="38"/>
          <w:color w:val="000000"/>
        </w:rPr>
        <w:t>Network Interconnection</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38"/>
          <w:szCs w:val="38"/>
          <w:color w:val="840039"/>
        </w:rPr>
        <w:t xml:space="preserve">q </w:t>
      </w:r>
      <w:r>
        <w:rPr>
          <w:rFonts w:ascii="Arial" w:cs="Arial" w:eastAsia="Arial" w:hAnsi="Arial"/>
          <w:sz w:val="38"/>
          <w:szCs w:val="38"/>
          <w:color w:val="000000"/>
        </w:rPr>
        <w:t>Proven Technologies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38"/>
          <w:szCs w:val="38"/>
          <w:color w:val="840039"/>
        </w:rPr>
        <w:t xml:space="preserve">q </w:t>
      </w:r>
      <w:r>
        <w:rPr>
          <w:rFonts w:ascii="Arial" w:cs="Arial" w:eastAsia="Arial" w:hAnsi="Arial"/>
          <w:sz w:val="38"/>
          <w:szCs w:val="38"/>
          <w:color w:val="000000"/>
        </w:rPr>
        <w:t>Similar Demographics</w:t>
      </w:r>
    </w:p>
    <w:p>
      <w:pPr>
        <w:spacing w:after="0" w:line="212" w:lineRule="exact"/>
        <w:rPr>
          <w:sz w:val="20"/>
          <w:szCs w:val="20"/>
          <w:color w:val="auto"/>
        </w:rPr>
      </w:pPr>
    </w:p>
    <w:p>
      <w:pPr>
        <w:ind w:left="580" w:hanging="279"/>
        <w:spacing w:after="0"/>
        <w:tabs>
          <w:tab w:leader="none" w:pos="580" w:val="left"/>
        </w:tabs>
        <w:numPr>
          <w:ilvl w:val="0"/>
          <w:numId w:val="13"/>
        </w:numPr>
        <w:rPr>
          <w:rFonts w:ascii="Arial" w:cs="Arial" w:eastAsia="Arial" w:hAnsi="Arial"/>
          <w:sz w:val="38"/>
          <w:szCs w:val="38"/>
          <w:color w:val="840039"/>
        </w:rPr>
      </w:pPr>
      <w:r>
        <w:rPr>
          <w:rFonts w:ascii="Arial" w:cs="Arial" w:eastAsia="Arial" w:hAnsi="Arial"/>
          <w:sz w:val="38"/>
          <w:szCs w:val="38"/>
          <w:color w:val="auto"/>
        </w:rPr>
        <w:t>Proximity</w:t>
      </w:r>
    </w:p>
    <w:p>
      <w:pPr>
        <w:spacing w:after="0" w:line="223" w:lineRule="exact"/>
        <w:rPr>
          <w:rFonts w:ascii="Arial" w:cs="Arial" w:eastAsia="Arial" w:hAnsi="Arial"/>
          <w:sz w:val="38"/>
          <w:szCs w:val="38"/>
          <w:color w:val="840039"/>
        </w:rPr>
      </w:pPr>
    </w:p>
    <w:p>
      <w:pPr>
        <w:ind w:left="580" w:hanging="279"/>
        <w:spacing w:after="0"/>
        <w:tabs>
          <w:tab w:leader="none" w:pos="580" w:val="left"/>
        </w:tabs>
        <w:numPr>
          <w:ilvl w:val="0"/>
          <w:numId w:val="13"/>
        </w:numPr>
        <w:rPr>
          <w:rFonts w:ascii="Arial" w:cs="Arial" w:eastAsia="Arial" w:hAnsi="Arial"/>
          <w:sz w:val="38"/>
          <w:szCs w:val="38"/>
          <w:color w:val="840039"/>
        </w:rPr>
      </w:pPr>
      <w:r>
        <w:rPr>
          <w:rFonts w:ascii="Arial" w:cs="Arial" w:eastAsia="Arial" w:hAnsi="Arial"/>
          <w:sz w:val="38"/>
          <w:szCs w:val="38"/>
          <w:color w:val="auto"/>
        </w:rPr>
        <w:t>Low Regulatory Risk</w:t>
      </w:r>
    </w:p>
    <w:p>
      <w:pPr>
        <w:spacing w:after="0" w:line="211" w:lineRule="exact"/>
        <w:rPr>
          <w:rFonts w:ascii="Arial" w:cs="Arial" w:eastAsia="Arial" w:hAnsi="Arial"/>
          <w:sz w:val="38"/>
          <w:szCs w:val="38"/>
          <w:color w:val="840039"/>
        </w:rPr>
      </w:pPr>
    </w:p>
    <w:p>
      <w:pPr>
        <w:ind w:left="580" w:hanging="279"/>
        <w:spacing w:after="0"/>
        <w:tabs>
          <w:tab w:leader="none" w:pos="580" w:val="left"/>
        </w:tabs>
        <w:numPr>
          <w:ilvl w:val="0"/>
          <w:numId w:val="13"/>
        </w:numPr>
        <w:rPr>
          <w:rFonts w:ascii="Arial" w:cs="Arial" w:eastAsia="Arial" w:hAnsi="Arial"/>
          <w:sz w:val="38"/>
          <w:szCs w:val="38"/>
          <w:color w:val="840039"/>
        </w:rPr>
      </w:pPr>
      <w:r>
        <w:rPr>
          <w:rFonts w:ascii="Arial" w:cs="Arial" w:eastAsia="Arial" w:hAnsi="Arial"/>
          <w:sz w:val="38"/>
          <w:szCs w:val="38"/>
          <w:color w:val="auto"/>
        </w:rPr>
        <w:t>Strategic Owner Appeal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396875</wp:posOffset>
            </wp:positionV>
            <wp:extent cx="726694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80" w:top="1014" w:right="6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360"/>
        <w:spacing w:after="0"/>
        <w:rPr>
          <w:sz w:val="20"/>
          <w:szCs w:val="20"/>
          <w:color w:val="auto"/>
        </w:rPr>
      </w:pPr>
      <w:r>
        <w:rPr>
          <w:rFonts w:ascii="Arial" w:cs="Arial" w:eastAsia="Arial" w:hAnsi="Arial"/>
          <w:sz w:val="160"/>
          <w:szCs w:val="160"/>
          <w:b w:val="1"/>
          <w:bCs w:val="1"/>
          <w:color w:val="840039"/>
        </w:rPr>
        <w:t>Q&amp;A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366395</wp:posOffset>
            </wp:positionV>
            <wp:extent cx="728218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sectPr>
      <w:pgSz w:w="11900" w:h="16838" w:orient="portrait"/>
      <w:cols w:equalWidth="0" w:num="1">
        <w:col w:w="9840"/>
      </w:cols>
      <w:pgMar w:left="144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n"/>
      <w:numFmt w:val="bullet"/>
      <w:start w:val="1"/>
    </w:lvl>
  </w:abstractNum>
  <w:abstractNum w:abstractNumId="2">
    <w:nsid w:val="7545E146"/>
    <w:multiLevelType w:val="hybridMultilevel"/>
    <w:lvl w:ilvl="0">
      <w:lvlJc w:val="left"/>
      <w:lvlText w:val="u"/>
      <w:numFmt w:val="bullet"/>
      <w:start w:val="1"/>
    </w:lvl>
  </w:abstractNum>
  <w:abstractNum w:abstractNumId="3">
    <w:nsid w:val="515F007C"/>
    <w:multiLevelType w:val="hybridMultilevel"/>
    <w:lvl w:ilvl="0">
      <w:lvlJc w:val="left"/>
      <w:lvlText w:val="n"/>
      <w:numFmt w:val="bullet"/>
      <w:start w:val="1"/>
    </w:lvl>
  </w:abstractNum>
  <w:abstractNum w:abstractNumId="4">
    <w:nsid w:val="5BD062C2"/>
    <w:multiLevelType w:val="hybridMultilevel"/>
    <w:lvl w:ilvl="0">
      <w:lvlJc w:val="left"/>
      <w:lvlText w:val="u"/>
      <w:numFmt w:val="bullet"/>
      <w:start w:val="1"/>
    </w:lvl>
  </w:abstractNum>
  <w:abstractNum w:abstractNumId="5">
    <w:nsid w:val="12200854"/>
    <w:multiLevelType w:val="hybridMultilevel"/>
    <w:lvl w:ilvl="0">
      <w:lvlJc w:val="left"/>
      <w:lvlText w:val="n"/>
      <w:numFmt w:val="bullet"/>
      <w:start w:val="1"/>
    </w:lvl>
  </w:abstractNum>
  <w:abstractNum w:abstractNumId="6">
    <w:nsid w:val="4DB127F8"/>
    <w:multiLevelType w:val="hybridMultilevel"/>
    <w:lvl w:ilvl="0">
      <w:lvlJc w:val="left"/>
      <w:lvlText w:val="u"/>
      <w:numFmt w:val="bullet"/>
      <w:start w:val="1"/>
    </w:lvl>
  </w:abstractNum>
  <w:abstractNum w:abstractNumId="7">
    <w:nsid w:val="216231B"/>
    <w:multiLevelType w:val="hybridMultilevel"/>
    <w:lvl w:ilvl="0">
      <w:lvlJc w:val="left"/>
      <w:lvlText w:val="n"/>
      <w:numFmt w:val="bullet"/>
      <w:start w:val="1"/>
    </w:lvl>
  </w:abstractNum>
  <w:abstractNum w:abstractNumId="8">
    <w:nsid w:val="1F16E9E8"/>
    <w:multiLevelType w:val="hybridMultilevel"/>
    <w:lvl w:ilvl="0">
      <w:lvlJc w:val="left"/>
      <w:lvlText w:val="u"/>
      <w:numFmt w:val="bullet"/>
      <w:start w:val="1"/>
    </w:lvl>
  </w:abstractNum>
  <w:abstractNum w:abstractNumId="9">
    <w:nsid w:val="1190CDE7"/>
    <w:multiLevelType w:val="hybridMultilevel"/>
    <w:lvl w:ilvl="0">
      <w:lvlJc w:val="left"/>
      <w:lvlText w:val="n"/>
      <w:numFmt w:val="bullet"/>
      <w:start w:val="1"/>
    </w:lvl>
  </w:abstractNum>
  <w:abstractNum w:abstractNumId="10">
    <w:nsid w:val="66EF438D"/>
    <w:multiLevelType w:val="hybridMultilevel"/>
    <w:lvl w:ilvl="0">
      <w:lvlJc w:val="left"/>
      <w:lvlText w:val="u"/>
      <w:numFmt w:val="bullet"/>
      <w:start w:val="1"/>
    </w:lvl>
  </w:abstractNum>
  <w:abstractNum w:abstractNumId="11">
    <w:nsid w:val="140E0F76"/>
    <w:multiLevelType w:val="hybridMultilevel"/>
    <w:lvl w:ilvl="0">
      <w:lvlJc w:val="left"/>
      <w:lvlText w:val="q"/>
      <w:numFmt w:val="bullet"/>
      <w:start w:val="1"/>
    </w:lvl>
  </w:abstractNum>
  <w:abstractNum w:abstractNumId="12">
    <w:nsid w:val="3352255A"/>
    <w:multiLevelType w:val="hybridMultilevel"/>
    <w:lvl w:ilvl="0">
      <w:lvlJc w:val="left"/>
      <w:lvlText w:val="q"/>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2019-12-10T04:29:13Z</dcterms:created>
  <dcterms:modified xsi:type="dcterms:W3CDTF">2019-12-10T04:29:13Z</dcterms:modified>
</cp:coreProperties>
</file>