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quarterly period ended March 31, 2018</w:t>
      </w:r>
    </w:p>
    <w:p>
      <w:pPr>
        <w:spacing w:after="0" w:line="198"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15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54-1162807</w:t>
      </w:r>
    </w:p>
    <w:p>
      <w:pPr>
        <w:spacing w:after="0" w:line="89" w:lineRule="exact"/>
        <w:rPr>
          <w:sz w:val="24"/>
          <w:szCs w:val="24"/>
          <w:color w:val="auto"/>
        </w:rPr>
      </w:pPr>
    </w:p>
    <w:p>
      <w:pPr>
        <w:sectPr>
          <w:pgSz w:w="11900" w:h="16838" w:orient="portrait"/>
          <w:cols w:equalWidth="0" w:num="2">
            <w:col w:w="7540" w:space="720"/>
            <w:col w:w="3160"/>
          </w:cols>
          <w:pgMar w:left="240" w:top="52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28"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type w:val="continuous"/>
        </w:sectPr>
      </w:pPr>
    </w:p>
    <w:p>
      <w:pPr>
        <w:spacing w:after="0" w:line="9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2840" w:space="720"/>
            <w:col w:w="2160" w:space="720"/>
            <w:col w:w="4980"/>
          </w:cols>
          <w:pgMar w:left="240" w:top="52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Smaller reporting company</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840" w:space="720"/>
            <w:col w:w="7860"/>
          </w:cols>
          <w:pgMar w:left="240" w:top="528" w:right="239" w:bottom="1440" w:gutter="0" w:footer="0" w:header="0"/>
          <w:type w:val="continuous"/>
        </w:sectPr>
      </w:pPr>
    </w:p>
    <w:p>
      <w:pPr>
        <w:spacing w:after="0" w:line="9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April 27, 2018 was 49,539,170.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6"/>
          </w:tcPr>
          <w:p>
            <w:pPr>
              <w:jc w:val="right"/>
              <w:ind w:right="50"/>
              <w:spacing w:after="0"/>
              <w:rPr>
                <w:sz w:val="20"/>
                <w:szCs w:val="20"/>
                <w:color w:val="auto"/>
              </w:rPr>
            </w:pPr>
            <w:r>
              <w:rPr>
                <w:rFonts w:ascii="Arial" w:cs="Arial" w:eastAsia="Arial" w:hAnsi="Arial"/>
                <w:sz w:val="18"/>
                <w:szCs w:val="18"/>
                <w:color w:val="auto"/>
                <w:w w:val="90"/>
              </w:rPr>
              <w:t>Page</w:t>
            </w: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8"/>
          </w:tcPr>
          <w:p>
            <w:pPr>
              <w:jc w:val="right"/>
              <w:spacing w:after="0"/>
              <w:rPr>
                <w:sz w:val="20"/>
                <w:szCs w:val="20"/>
                <w:color w:val="auto"/>
              </w:rPr>
            </w:pPr>
            <w:r>
              <w:rPr>
                <w:rFonts w:ascii="Arial" w:cs="Arial" w:eastAsia="Arial" w:hAnsi="Arial"/>
                <w:sz w:val="18"/>
                <w:szCs w:val="18"/>
                <w:color w:val="auto"/>
              </w:rPr>
              <w:t>Numbers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956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708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as of March 31, 2018 and December 31, 2017</w:t>
              </w:r>
            </w:hyperlink>
          </w:p>
        </w:tc>
        <w:tc>
          <w:tcPr>
            <w:tcW w:w="24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1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Income (Loss) for the Three Months Ended</w:t>
              </w:r>
            </w:hyperlink>
          </w:p>
        </w:tc>
        <w:tc>
          <w:tcPr>
            <w:tcW w:w="4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860" w:type="dxa"/>
            <w:vAlign w:val="bottom"/>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March 31, 2018 and 2017</w:t>
              </w:r>
            </w:hyperlink>
          </w:p>
        </w:tc>
        <w:tc>
          <w:tcPr>
            <w:tcW w:w="770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4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Shareholders’ Equity for the Three Months Ended March 31, 2018 and the Year</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December 31, 2017</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50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Three Months Ended March 31, 2018 and 2017</w:t>
              </w:r>
            </w:hyperlink>
          </w:p>
        </w:tc>
        <w:tc>
          <w:tcPr>
            <w:tcW w:w="10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0"/>
        </w:trPr>
        <w:tc>
          <w:tcPr>
            <w:tcW w:w="80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700" w:type="dxa"/>
            <w:vAlign w:val="bottom"/>
            <w:tcBorders>
              <w:top w:val="single" w:sz="8" w:color="0000EE"/>
            </w:tcBorders>
            <w:gridSpan w:val="3"/>
          </w:tcPr>
          <w:p>
            <w:pPr>
              <w:spacing w:after="0"/>
              <w:rPr>
                <w:sz w:val="24"/>
                <w:szCs w:val="24"/>
                <w:color w:val="auto"/>
              </w:rPr>
            </w:pPr>
          </w:p>
        </w:tc>
        <w:tc>
          <w:tcPr>
            <w:tcW w:w="106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ind w:right="8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1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2">
              <w:r>
                <w:rPr>
                  <w:rFonts w:ascii="Arial" w:cs="Arial" w:eastAsia="Arial" w:hAnsi="Arial"/>
                  <w:sz w:val="15"/>
                  <w:szCs w:val="15"/>
                  <w:color w:val="0000EE"/>
                  <w:w w:val="71"/>
                </w:rPr>
                <w:t>32</w:t>
              </w:r>
            </w:hyperlink>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2540" w:type="dxa"/>
            <w:vAlign w:val="bottom"/>
            <w:gridSpan w:val="3"/>
          </w:tcPr>
          <w:p>
            <w:pPr>
              <w:spacing w:after="0"/>
              <w:rPr>
                <w:sz w:val="24"/>
                <w:szCs w:val="24"/>
                <w:color w:val="auto"/>
              </w:rPr>
            </w:pPr>
          </w:p>
        </w:tc>
        <w:tc>
          <w:tcPr>
            <w:tcW w:w="52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3">
              <w:r>
                <w:rPr>
                  <w:rFonts w:ascii="Arial" w:cs="Arial" w:eastAsia="Arial" w:hAnsi="Arial"/>
                  <w:sz w:val="15"/>
                  <w:szCs w:val="15"/>
                  <w:color w:val="0000EE"/>
                  <w:w w:val="71"/>
                </w:rPr>
                <w:t>33</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560" w:type="dxa"/>
            <w:vAlign w:val="bottom"/>
            <w:gridSpan w:val="16"/>
          </w:tcPr>
          <w:p>
            <w:pPr>
              <w:spacing w:after="0"/>
              <w:rPr>
                <w:sz w:val="20"/>
                <w:szCs w:val="20"/>
                <w:color w:val="auto"/>
              </w:rPr>
            </w:pPr>
            <w:r>
              <w:rPr>
                <w:rFonts w:ascii="Arial" w:cs="Arial" w:eastAsia="Arial" w:hAnsi="Arial"/>
                <w:sz w:val="18"/>
                <w:szCs w:val="18"/>
                <w:color w:val="auto"/>
              </w:rPr>
              <w:t>OTHER INFORMATION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864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34</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20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34</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20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35</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5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5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Exhibit Index</w:t>
              </w:r>
            </w:hyperlink>
          </w:p>
        </w:tc>
        <w:tc>
          <w:tcPr>
            <w:tcW w:w="856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36</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140"/>
          </w:cols>
          <w:pgMar w:left="280" w:top="584" w:right="4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8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49,448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51,095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54,184</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181,264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172,895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including $3,268 and $3,279 carried at fair value</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413,537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33,934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64"/>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1,458,966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74,486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64,397</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liabilities and other</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130,604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137,584</w:t>
            </w:r>
          </w:p>
        </w:tc>
        <w:tc>
          <w:tcPr>
            <w:tcW w:w="0" w:type="dxa"/>
            <w:vAlign w:val="bottom"/>
          </w:tcPr>
          <w:p>
            <w:pPr>
              <w:spacing w:after="0"/>
              <w:rPr>
                <w:sz w:val="1"/>
                <w:szCs w:val="1"/>
                <w:color w:val="auto"/>
              </w:rPr>
            </w:pPr>
          </w:p>
        </w:tc>
      </w:tr>
      <w:tr>
        <w:trPr>
          <w:trHeight w:val="27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736,387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757,561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115,809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lease</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19,543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Asset retirement obligations</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21,211</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Retirement plan obligations</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13,787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15,293</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other long-term liabilities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183,539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166,493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5"/>
              </w:rPr>
              <w:t>Common stock, no par value, authorized 96,000 shares; issued and outstanding 49,539 shares in 2018 and</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49,328 shares in 2017.</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352,069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11,292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408,436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350,222</w:t>
            </w:r>
          </w:p>
        </w:tc>
        <w:tc>
          <w:tcPr>
            <w:tcW w:w="0" w:type="dxa"/>
            <w:vAlign w:val="bottom"/>
          </w:tcPr>
          <w:p>
            <w:pPr>
              <w:spacing w:after="0"/>
              <w:rPr>
                <w:sz w:val="1"/>
                <w:szCs w:val="1"/>
                <w:color w:val="auto"/>
              </w:rPr>
            </w:pPr>
          </w:p>
        </w:tc>
      </w:tr>
      <w:tr>
        <w:trPr>
          <w:trHeight w:val="264"/>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1,458,966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57" w:lineRule="exact"/>
        <w:rPr>
          <w:sz w:val="20"/>
          <w:szCs w:val="20"/>
          <w:color w:val="auto"/>
        </w:rPr>
      </w:pPr>
    </w:p>
    <w:p>
      <w:pPr>
        <w:jc w:val="center"/>
        <w:ind w:left="838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38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22860</wp:posOffset>
            </wp:positionV>
            <wp:extent cx="1946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8320" w:type="dxa"/>
            <w:vAlign w:val="bottom"/>
          </w:tcPr>
          <w:p>
            <w:pPr>
              <w:ind w:left="140"/>
              <w:spacing w:after="0"/>
              <w:rPr>
                <w:sz w:val="20"/>
                <w:szCs w:val="20"/>
                <w:color w:val="auto"/>
              </w:rPr>
            </w:pPr>
            <w:r>
              <w:rPr>
                <w:rFonts w:ascii="Arial" w:cs="Arial" w:eastAsia="Arial" w:hAnsi="Arial"/>
                <w:sz w:val="18"/>
                <w:szCs w:val="18"/>
                <w:color w:val="auto"/>
              </w:rPr>
              <w:t>Service revenues and other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134,153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150,521</w:t>
            </w:r>
          </w:p>
        </w:tc>
        <w:tc>
          <w:tcPr>
            <w:tcW w:w="0" w:type="dxa"/>
            <w:vAlign w:val="bottom"/>
          </w:tcPr>
          <w:p>
            <w:pPr>
              <w:spacing w:after="0"/>
              <w:rPr>
                <w:sz w:val="1"/>
                <w:szCs w:val="1"/>
                <w:color w:val="auto"/>
              </w:rPr>
            </w:pPr>
          </w:p>
        </w:tc>
      </w:tr>
      <w:tr>
        <w:trPr>
          <w:trHeight w:val="304"/>
        </w:trPr>
        <w:tc>
          <w:tcPr>
            <w:tcW w:w="8320" w:type="dxa"/>
            <w:vAlign w:val="bottom"/>
          </w:tcPr>
          <w:p>
            <w:pPr>
              <w:ind w:left="140"/>
              <w:spacing w:after="0"/>
              <w:rPr>
                <w:sz w:val="20"/>
                <w:szCs w:val="20"/>
                <w:color w:val="auto"/>
              </w:rPr>
            </w:pPr>
            <w:r>
              <w:rPr>
                <w:rFonts w:ascii="Arial" w:cs="Arial" w:eastAsia="Arial" w:hAnsi="Arial"/>
                <w:sz w:val="18"/>
                <w:szCs w:val="18"/>
                <w:color w:val="auto"/>
              </w:rPr>
              <w:t>Equipment revenues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7"/>
        </w:trPr>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Total operating revenues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151,732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153,880</w:t>
            </w:r>
          </w:p>
        </w:tc>
        <w:tc>
          <w:tcPr>
            <w:tcW w:w="0" w:type="dxa"/>
            <w:vAlign w:val="bottom"/>
          </w:tcPr>
          <w:p>
            <w:pPr>
              <w:spacing w:after="0"/>
              <w:rPr>
                <w:sz w:val="1"/>
                <w:szCs w:val="1"/>
                <w:color w:val="auto"/>
              </w:rPr>
            </w:pPr>
          </w:p>
        </w:tc>
      </w:tr>
      <w:tr>
        <w:trPr>
          <w:trHeight w:val="540"/>
        </w:trPr>
        <w:tc>
          <w:tcPr>
            <w:tcW w:w="832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48,776</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40,153</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Acquisition, integration and migration expenses</w:t>
            </w: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304"/>
        </w:trPr>
        <w:tc>
          <w:tcPr>
            <w:tcW w:w="83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43,487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44,804</w:t>
            </w:r>
          </w:p>
        </w:tc>
        <w:tc>
          <w:tcPr>
            <w:tcW w:w="0" w:type="dxa"/>
            <w:vAlign w:val="bottom"/>
          </w:tcPr>
          <w:p>
            <w:pPr>
              <w:spacing w:after="0"/>
              <w:rPr>
                <w:sz w:val="1"/>
                <w:szCs w:val="1"/>
                <w:color w:val="auto"/>
              </w:rPr>
            </w:pPr>
          </w:p>
        </w:tc>
      </w:tr>
      <w:tr>
        <w:trPr>
          <w:trHeight w:val="277"/>
        </w:trPr>
        <w:tc>
          <w:tcPr>
            <w:tcW w:w="832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137,384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143,207</w:t>
            </w:r>
          </w:p>
        </w:tc>
        <w:tc>
          <w:tcPr>
            <w:tcW w:w="0" w:type="dxa"/>
            <w:vAlign w:val="bottom"/>
          </w:tcPr>
          <w:p>
            <w:pPr>
              <w:spacing w:after="0"/>
              <w:rPr>
                <w:sz w:val="1"/>
                <w:szCs w:val="1"/>
                <w:color w:val="auto"/>
              </w:rPr>
            </w:pPr>
          </w:p>
        </w:tc>
      </w:tr>
      <w:tr>
        <w:trPr>
          <w:trHeight w:val="277"/>
        </w:trPr>
        <w:tc>
          <w:tcPr>
            <w:tcW w:w="8320" w:type="dxa"/>
            <w:vAlign w:val="bottom"/>
          </w:tcPr>
          <w:p>
            <w:pPr>
              <w:ind w:left="46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540"/>
        </w:trPr>
        <w:tc>
          <w:tcPr>
            <w:tcW w:w="832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Gain (loss) on investments,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04"/>
        </w:trPr>
        <w:tc>
          <w:tcPr>
            <w:tcW w:w="8320" w:type="dxa"/>
            <w:vAlign w:val="bottom"/>
          </w:tcPr>
          <w:p>
            <w:pPr>
              <w:ind w:left="140"/>
              <w:spacing w:after="0"/>
              <w:rPr>
                <w:sz w:val="20"/>
                <w:szCs w:val="20"/>
                <w:color w:val="auto"/>
              </w:rPr>
            </w:pPr>
            <w:r>
              <w:rPr>
                <w:rFonts w:ascii="Arial" w:cs="Arial" w:eastAsia="Arial" w:hAnsi="Arial"/>
                <w:sz w:val="18"/>
                <w:szCs w:val="18"/>
                <w:color w:val="auto"/>
              </w:rPr>
              <w:t>Non-operating income (loss),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8320" w:type="dxa"/>
            <w:vAlign w:val="bottom"/>
          </w:tcPr>
          <w:p>
            <w:pPr>
              <w:ind w:left="46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601"/>
        </w:trPr>
        <w:tc>
          <w:tcPr>
            <w:tcW w:w="83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8320" w:type="dxa"/>
            <w:vAlign w:val="bottom"/>
          </w:tcPr>
          <w:p>
            <w:pPr>
              <w:ind w:left="46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567"/>
        </w:trPr>
        <w:tc>
          <w:tcPr>
            <w:tcW w:w="8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320" w:type="dxa"/>
            <w:vAlign w:val="bottom"/>
          </w:tcPr>
          <w:p>
            <w:pPr>
              <w:ind w:left="140"/>
              <w:spacing w:after="0"/>
              <w:rPr>
                <w:sz w:val="20"/>
                <w:szCs w:val="20"/>
                <w:color w:val="auto"/>
              </w:rPr>
            </w:pPr>
            <w:r>
              <w:rPr>
                <w:rFonts w:ascii="Arial" w:cs="Arial" w:eastAsia="Arial" w:hAnsi="Arial"/>
                <w:sz w:val="18"/>
                <w:szCs w:val="18"/>
                <w:color w:val="auto"/>
              </w:rPr>
              <w:t>Unrealized gain (loss) on interest rate hedge, net of tax</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64"/>
        </w:trPr>
        <w:tc>
          <w:tcPr>
            <w:tcW w:w="8320" w:type="dxa"/>
            <w:vAlign w:val="bottom"/>
          </w:tcPr>
          <w:p>
            <w:pPr>
              <w:ind w:left="46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8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8320" w:type="dxa"/>
            <w:vAlign w:val="bottom"/>
          </w:tcPr>
          <w:p>
            <w:pPr>
              <w:ind w:left="340"/>
              <w:spacing w:after="0"/>
              <w:rPr>
                <w:sz w:val="20"/>
                <w:szCs w:val="20"/>
                <w:color w:val="auto"/>
              </w:rPr>
            </w:pPr>
            <w:r>
              <w:rPr>
                <w:rFonts w:ascii="Arial" w:cs="Arial" w:eastAsia="Arial" w:hAnsi="Arial"/>
                <w:sz w:val="18"/>
                <w:szCs w:val="18"/>
                <w:color w:val="auto"/>
              </w:rPr>
              <w:t>Weighted average shares outstanding, basic</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49,050</w:t>
            </w:r>
          </w:p>
        </w:tc>
        <w:tc>
          <w:tcPr>
            <w:tcW w:w="0" w:type="dxa"/>
            <w:vAlign w:val="bottom"/>
          </w:tcPr>
          <w:p>
            <w:pPr>
              <w:spacing w:after="0"/>
              <w:rPr>
                <w:sz w:val="1"/>
                <w:szCs w:val="1"/>
                <w:color w:val="auto"/>
              </w:rPr>
            </w:pPr>
          </w:p>
        </w:tc>
      </w:tr>
      <w:tr>
        <w:trPr>
          <w:trHeight w:val="270"/>
        </w:trPr>
        <w:tc>
          <w:tcPr>
            <w:tcW w:w="8320" w:type="dxa"/>
            <w:vAlign w:val="bottom"/>
          </w:tcPr>
          <w:p>
            <w:pPr>
              <w:ind w:left="340"/>
              <w:spacing w:after="0"/>
              <w:rPr>
                <w:sz w:val="20"/>
                <w:szCs w:val="20"/>
                <w:color w:val="auto"/>
              </w:rPr>
            </w:pPr>
            <w:r>
              <w:rPr>
                <w:rFonts w:ascii="Arial" w:cs="Arial" w:eastAsia="Arial" w:hAnsi="Arial"/>
                <w:sz w:val="18"/>
                <w:szCs w:val="18"/>
                <w:color w:val="auto"/>
              </w:rPr>
              <w:t>Weighted average shares outstanding, diluted</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3"/>
              <w:spacing w:after="0"/>
              <w:rPr>
                <w:sz w:val="20"/>
                <w:szCs w:val="20"/>
                <w:color w:val="auto"/>
              </w:rPr>
            </w:pPr>
            <w:r>
              <w:rPr>
                <w:rFonts w:ascii="Arial" w:cs="Arial" w:eastAsia="Arial" w:hAnsi="Arial"/>
                <w:sz w:val="16"/>
                <w:szCs w:val="16"/>
                <w:color w:val="auto"/>
                <w:w w:val="95"/>
              </w:rPr>
              <w:t>Accumulated</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7"/>
              </w:rPr>
              <w:t>Shares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3"/>
              <w:spacing w:after="0"/>
              <w:rPr>
                <w:sz w:val="20"/>
                <w:szCs w:val="20"/>
                <w:color w:val="auto"/>
              </w:rPr>
            </w:pPr>
            <w:r>
              <w:rPr>
                <w:rFonts w:ascii="Arial" w:cs="Arial" w:eastAsia="Arial" w:hAnsi="Arial"/>
                <w:sz w:val="16"/>
                <w:szCs w:val="16"/>
                <w:color w:val="auto"/>
                <w:w w:val="89"/>
              </w:rPr>
              <w:t>Other</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320" w:type="dxa"/>
            <w:vAlign w:val="bottom"/>
          </w:tcPr>
          <w:p>
            <w:pPr>
              <w:jc w:val="center"/>
              <w:ind w:left="12"/>
              <w:spacing w:after="0"/>
              <w:rPr>
                <w:sz w:val="20"/>
                <w:szCs w:val="20"/>
                <w:color w:val="auto"/>
              </w:rPr>
            </w:pPr>
            <w:r>
              <w:rPr>
                <w:rFonts w:ascii="Arial" w:cs="Arial" w:eastAsia="Arial" w:hAnsi="Arial"/>
                <w:sz w:val="16"/>
                <w:szCs w:val="16"/>
                <w:color w:val="auto"/>
                <w:w w:val="93"/>
              </w:rPr>
              <w:t>Common Stock</w:t>
            </w:r>
          </w:p>
        </w:tc>
        <w:tc>
          <w:tcPr>
            <w:tcW w:w="1280" w:type="dxa"/>
            <w:vAlign w:val="bottom"/>
            <w:gridSpan w:val="2"/>
          </w:tcPr>
          <w:p>
            <w:pPr>
              <w:jc w:val="right"/>
              <w:ind w:right="11"/>
              <w:spacing w:after="0"/>
              <w:rPr>
                <w:sz w:val="20"/>
                <w:szCs w:val="20"/>
                <w:color w:val="auto"/>
              </w:rPr>
            </w:pPr>
            <w:r>
              <w:rPr>
                <w:rFonts w:ascii="Arial" w:cs="Arial" w:eastAsia="Arial" w:hAnsi="Arial"/>
                <w:sz w:val="16"/>
                <w:szCs w:val="16"/>
                <w:color w:val="auto"/>
              </w:rPr>
              <w:t>Additional Paid</w:t>
            </w:r>
          </w:p>
        </w:tc>
        <w:tc>
          <w:tcPr>
            <w:tcW w:w="260" w:type="dxa"/>
            <w:vAlign w:val="bottom"/>
          </w:tcPr>
          <w:p>
            <w:pPr>
              <w:spacing w:after="0"/>
              <w:rPr>
                <w:sz w:val="17"/>
                <w:szCs w:val="17"/>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color w:val="auto"/>
                <w:w w:val="99"/>
              </w:rPr>
              <w:t>Retained</w:t>
            </w:r>
          </w:p>
        </w:tc>
        <w:tc>
          <w:tcPr>
            <w:tcW w:w="260" w:type="dxa"/>
            <w:vAlign w:val="bottom"/>
          </w:tcPr>
          <w:p>
            <w:pPr>
              <w:spacing w:after="0"/>
              <w:rPr>
                <w:sz w:val="17"/>
                <w:szCs w:val="17"/>
                <w:color w:val="auto"/>
              </w:rPr>
            </w:pPr>
          </w:p>
        </w:tc>
        <w:tc>
          <w:tcPr>
            <w:tcW w:w="1320" w:type="dxa"/>
            <w:vAlign w:val="bottom"/>
          </w:tcPr>
          <w:p>
            <w:pPr>
              <w:jc w:val="center"/>
              <w:ind w:right="93"/>
              <w:spacing w:after="0"/>
              <w:rPr>
                <w:sz w:val="20"/>
                <w:szCs w:val="20"/>
                <w:color w:val="auto"/>
              </w:rPr>
            </w:pPr>
            <w:r>
              <w:rPr>
                <w:rFonts w:ascii="Arial" w:cs="Arial" w:eastAsia="Arial" w:hAnsi="Arial"/>
                <w:sz w:val="16"/>
                <w:szCs w:val="16"/>
                <w:color w:val="auto"/>
                <w:w w:val="91"/>
              </w:rPr>
              <w:t>Comprehensive</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1320" w:type="dxa"/>
            <w:vAlign w:val="bottom"/>
          </w:tcPr>
          <w:p>
            <w:pPr>
              <w:jc w:val="center"/>
              <w:ind w:left="12"/>
              <w:spacing w:after="0"/>
              <w:rPr>
                <w:sz w:val="20"/>
                <w:szCs w:val="20"/>
                <w:color w:val="auto"/>
              </w:rPr>
            </w:pPr>
            <w:r>
              <w:rPr>
                <w:rFonts w:ascii="Arial" w:cs="Arial" w:eastAsia="Arial" w:hAnsi="Arial"/>
                <w:sz w:val="16"/>
                <w:szCs w:val="16"/>
                <w:color w:val="auto"/>
                <w:w w:val="91"/>
              </w:rPr>
              <w:t>(no par value)</w:t>
            </w:r>
          </w:p>
        </w:tc>
        <w:tc>
          <w:tcPr>
            <w:tcW w:w="280" w:type="dxa"/>
            <w:vAlign w:val="bottom"/>
          </w:tcPr>
          <w:p>
            <w:pPr>
              <w:spacing w:after="0"/>
              <w:rPr>
                <w:sz w:val="17"/>
                <w:szCs w:val="17"/>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color w:val="auto"/>
              </w:rPr>
              <w:t>in Capital</w:t>
            </w:r>
          </w:p>
        </w:tc>
        <w:tc>
          <w:tcPr>
            <w:tcW w:w="260" w:type="dxa"/>
            <w:vAlign w:val="bottom"/>
          </w:tcPr>
          <w:p>
            <w:pPr>
              <w:spacing w:after="0"/>
              <w:rPr>
                <w:sz w:val="17"/>
                <w:szCs w:val="17"/>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color w:val="auto"/>
              </w:rPr>
              <w:t>Earnings</w:t>
            </w:r>
          </w:p>
        </w:tc>
        <w:tc>
          <w:tcPr>
            <w:tcW w:w="260" w:type="dxa"/>
            <w:vAlign w:val="bottom"/>
          </w:tcPr>
          <w:p>
            <w:pPr>
              <w:spacing w:after="0"/>
              <w:rPr>
                <w:sz w:val="17"/>
                <w:szCs w:val="17"/>
                <w:color w:val="auto"/>
              </w:rPr>
            </w:pPr>
          </w:p>
        </w:tc>
        <w:tc>
          <w:tcPr>
            <w:tcW w:w="1320" w:type="dxa"/>
            <w:vAlign w:val="bottom"/>
          </w:tcPr>
          <w:p>
            <w:pPr>
              <w:jc w:val="center"/>
              <w:ind w:right="93"/>
              <w:spacing w:after="0"/>
              <w:rPr>
                <w:sz w:val="20"/>
                <w:szCs w:val="20"/>
                <w:color w:val="auto"/>
              </w:rPr>
            </w:pPr>
            <w:r>
              <w:rPr>
                <w:rFonts w:ascii="Arial" w:cs="Arial" w:eastAsia="Arial" w:hAnsi="Arial"/>
                <w:sz w:val="16"/>
                <w:szCs w:val="16"/>
                <w:color w:val="auto"/>
                <w:w w:val="92"/>
              </w:rPr>
              <w:t>Income (Loss)</w:t>
            </w:r>
          </w:p>
        </w:tc>
        <w:tc>
          <w:tcPr>
            <w:tcW w:w="34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Total</w:t>
            </w:r>
          </w:p>
        </w:tc>
      </w:tr>
      <w:tr>
        <w:trPr>
          <w:trHeight w:val="40"/>
        </w:trPr>
        <w:tc>
          <w:tcPr>
            <w:tcW w:w="48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49,328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44,787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297,205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8,230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350,222</w:t>
            </w:r>
          </w:p>
        </w:tc>
      </w:tr>
      <w:tr>
        <w:trPr>
          <w:trHeight w:val="526"/>
        </w:trPr>
        <w:tc>
          <w:tcPr>
            <w:tcW w:w="4800" w:type="dxa"/>
            <w:vAlign w:val="bottom"/>
          </w:tcPr>
          <w:p>
            <w:pPr>
              <w:ind w:left="180"/>
              <w:spacing w:after="0"/>
              <w:rPr>
                <w:sz w:val="20"/>
                <w:szCs w:val="20"/>
                <w:color w:val="auto"/>
              </w:rPr>
            </w:pPr>
            <w:r>
              <w:rPr>
                <w:rFonts w:ascii="Arial" w:cs="Arial" w:eastAsia="Arial" w:hAnsi="Arial"/>
                <w:sz w:val="18"/>
                <w:szCs w:val="18"/>
                <w:color w:val="auto"/>
              </w:rPr>
              <w:t>Change in accounting principle - adoption of accounting</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standard (Note 2)</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50,035</w:t>
            </w:r>
          </w:p>
        </w:tc>
        <w:tc>
          <w:tcPr>
            <w:tcW w:w="260" w:type="dxa"/>
            <w:vAlign w:val="bottom"/>
          </w:tcPr>
          <w:p>
            <w:pPr>
              <w:spacing w:after="0"/>
              <w:rPr>
                <w:sz w:val="20"/>
                <w:szCs w:val="20"/>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50,035</w:t>
            </w: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4,829</w:t>
            </w:r>
          </w:p>
        </w:tc>
        <w:tc>
          <w:tcPr>
            <w:tcW w:w="260" w:type="dxa"/>
            <w:vAlign w:val="bottom"/>
          </w:tcPr>
          <w:p>
            <w:pPr>
              <w:spacing w:after="0"/>
              <w:rPr>
                <w:sz w:val="23"/>
                <w:szCs w:val="23"/>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4,829</w:t>
            </w: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w w:val="99"/>
              </w:rPr>
              <w:t>Other comprehensive gain (loss), net of tax of $1.1 million</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3,062</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3,062</w:t>
            </w: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2,037</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2,037</w:t>
            </w: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0"/>
        </w:trPr>
        <w:tc>
          <w:tcPr>
            <w:tcW w:w="480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56"/>
        </w:trPr>
        <w:tc>
          <w:tcPr>
            <w:tcW w:w="4800" w:type="dxa"/>
            <w:vAlign w:val="bottom"/>
          </w:tcPr>
          <w:p>
            <w:pPr>
              <w:ind w:left="180"/>
              <w:spacing w:after="0"/>
              <w:rPr>
                <w:sz w:val="20"/>
                <w:szCs w:val="20"/>
                <w:color w:val="auto"/>
              </w:rPr>
            </w:pPr>
            <w:r>
              <w:rPr>
                <w:rFonts w:ascii="Arial" w:cs="Arial" w:eastAsia="Arial" w:hAnsi="Arial"/>
                <w:sz w:val="18"/>
                <w:szCs w:val="18"/>
                <w:color w:val="auto"/>
                <w:w w:val="92"/>
              </w:rPr>
              <w:t>Shares retired for settlement of employee taxes upon issuance</w:t>
            </w: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of vested equity awards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(1,858)</w:t>
            </w: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(1,858)</w:t>
            </w:r>
          </w:p>
        </w:tc>
      </w:tr>
      <w:tr>
        <w:trPr>
          <w:trHeight w:val="256"/>
        </w:trPr>
        <w:tc>
          <w:tcPr>
            <w:tcW w:w="4800" w:type="dxa"/>
            <w:vAlign w:val="bottom"/>
          </w:tcPr>
          <w:p>
            <w:pPr>
              <w:ind w:left="180"/>
              <w:spacing w:after="0"/>
              <w:rPr>
                <w:sz w:val="20"/>
                <w:szCs w:val="20"/>
                <w:color w:val="auto"/>
              </w:rPr>
            </w:pPr>
            <w:r>
              <w:rPr>
                <w:rFonts w:ascii="Arial" w:cs="Arial" w:eastAsia="Arial" w:hAnsi="Arial"/>
                <w:sz w:val="18"/>
                <w:szCs w:val="18"/>
                <w:color w:val="auto"/>
                <w:w w:val="96"/>
              </w:rPr>
              <w:t>Common stock issued to acquire non-controlling interests of</w:t>
            </w:r>
          </w:p>
        </w:tc>
        <w:tc>
          <w:tcPr>
            <w:tcW w:w="1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nTelos</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4"/>
        </w:trPr>
        <w:tc>
          <w:tcPr>
            <w:tcW w:w="4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Balance, March 31, 2018</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49,539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45,075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352,069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11,292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408,436</w:t>
            </w:r>
          </w:p>
        </w:tc>
      </w:tr>
      <w:tr>
        <w:trPr>
          <w:trHeight w:val="27"/>
        </w:trPr>
        <w:tc>
          <w:tcPr>
            <w:tcW w:w="4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126"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4"/>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8760" w:type="dxa"/>
            <w:vAlign w:val="bottom"/>
            <w:vMerge w:val="restart"/>
          </w:tcPr>
          <w:p>
            <w:pPr>
              <w:spacing w:after="0"/>
              <w:rPr>
                <w:sz w:val="20"/>
                <w:szCs w:val="20"/>
                <w:color w:val="auto"/>
              </w:rPr>
            </w:pPr>
            <w:r>
              <w:rPr>
                <w:rFonts w:ascii="Arial" w:cs="Arial" w:eastAsia="Arial" w:hAnsi="Arial"/>
                <w:sz w:val="17"/>
                <w:szCs w:val="17"/>
                <w:color w:val="auto"/>
              </w:rPr>
              <w:t>Cash Flows From Operating Activities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4,829</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2,341</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36,634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37,878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Amortization reflected as operating expense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6,853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Amortization reflected as rent expense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Bad debt expense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Stock based compensation expense, net of amount capitalized</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2,037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1,566</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Waived Management Fee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9,048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9,184</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(2,910)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Net (gain) loss on disposal of equipment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(Gain) loss on investments</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Net (gain) loss from patronage and equity investments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Amortization of long-term debt issuance costs</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1,129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Accrued interest on long-term debt</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7"/>
                <w:szCs w:val="17"/>
                <w:color w:val="auto"/>
              </w:rPr>
              <w:t>Changes in assets and liabilities: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3,271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1,629</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Inventory, net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14,188</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Income taxes receivable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8,950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(39,399)</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3,523</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7"/>
                <w:szCs w:val="17"/>
                <w:color w:val="auto"/>
              </w:rPr>
              <w:t>Deferred lease</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95"/>
        </w:trPr>
        <w:tc>
          <w:tcPr>
            <w:tcW w:w="8760" w:type="dxa"/>
            <w:vAlign w:val="bottom"/>
          </w:tcPr>
          <w:p>
            <w:pPr>
              <w:ind w:left="780"/>
              <w:spacing w:after="0"/>
              <w:rPr>
                <w:sz w:val="20"/>
                <w:szCs w:val="20"/>
                <w:color w:val="auto"/>
              </w:rPr>
            </w:pPr>
            <w:r>
              <w:rPr>
                <w:rFonts w:ascii="Arial" w:cs="Arial" w:eastAsia="Arial" w:hAnsi="Arial"/>
                <w:sz w:val="17"/>
                <w:szCs w:val="17"/>
                <w:color w:val="auto"/>
              </w:rPr>
              <w:t>Other deferrals and accruals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(13,194)</w:t>
            </w:r>
          </w:p>
        </w:tc>
        <w:tc>
          <w:tcPr>
            <w:tcW w:w="0" w:type="dxa"/>
            <w:vAlign w:val="bottom"/>
          </w:tcPr>
          <w:p>
            <w:pPr>
              <w:spacing w:after="0"/>
              <w:rPr>
                <w:sz w:val="1"/>
                <w:szCs w:val="1"/>
                <w:color w:val="auto"/>
              </w:rPr>
            </w:pPr>
          </w:p>
        </w:tc>
      </w:tr>
      <w:tr>
        <w:trPr>
          <w:trHeight w:val="264"/>
        </w:trPr>
        <w:tc>
          <w:tcPr>
            <w:tcW w:w="8760" w:type="dxa"/>
            <w:vAlign w:val="bottom"/>
          </w:tcPr>
          <w:p>
            <w:pPr>
              <w:ind w:left="88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60,860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24,498</w:t>
            </w:r>
          </w:p>
        </w:tc>
        <w:tc>
          <w:tcPr>
            <w:tcW w:w="0" w:type="dxa"/>
            <w:vAlign w:val="bottom"/>
          </w:tcPr>
          <w:p>
            <w:pPr>
              <w:spacing w:after="0"/>
              <w:rPr>
                <w:sz w:val="1"/>
                <w:szCs w:val="1"/>
                <w:color w:val="auto"/>
              </w:rPr>
            </w:pPr>
          </w:p>
        </w:tc>
      </w:tr>
      <w:tr>
        <w:trPr>
          <w:trHeight w:val="226"/>
        </w:trPr>
        <w:tc>
          <w:tcPr>
            <w:tcW w:w="87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Acquisition of property, plant and equipment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(24,382)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(38,587)</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Proceeds from sale of assets</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Cash distributions (contributions) from investments</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95"/>
        </w:trPr>
        <w:tc>
          <w:tcPr>
            <w:tcW w:w="8760" w:type="dxa"/>
            <w:vAlign w:val="bottom"/>
          </w:tcPr>
          <w:p>
            <w:pPr>
              <w:ind w:left="140"/>
              <w:spacing w:after="0"/>
              <w:rPr>
                <w:sz w:val="20"/>
                <w:szCs w:val="20"/>
                <w:color w:val="auto"/>
              </w:rPr>
            </w:pPr>
            <w:r>
              <w:rPr>
                <w:rFonts w:ascii="Arial" w:cs="Arial" w:eastAsia="Arial" w:hAnsi="Arial"/>
                <w:sz w:val="17"/>
                <w:szCs w:val="17"/>
                <w:color w:val="auto"/>
              </w:rPr>
              <w:t>Sprint expansion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4"/>
        </w:trPr>
        <w:tc>
          <w:tcPr>
            <w:tcW w:w="8760" w:type="dxa"/>
            <w:vAlign w:val="bottom"/>
          </w:tcPr>
          <w:p>
            <w:pPr>
              <w:ind w:left="78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(76,118)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(38,481)</w:t>
            </w:r>
          </w:p>
        </w:tc>
        <w:tc>
          <w:tcPr>
            <w:tcW w:w="0" w:type="dxa"/>
            <w:vAlign w:val="bottom"/>
          </w:tcPr>
          <w:p>
            <w:pPr>
              <w:spacing w:after="0"/>
              <w:rPr>
                <w:sz w:val="1"/>
                <w:szCs w:val="1"/>
                <w:color w:val="auto"/>
              </w:rPr>
            </w:pPr>
          </w:p>
        </w:tc>
      </w:tr>
      <w:tr>
        <w:trPr>
          <w:trHeight w:val="239"/>
        </w:trPr>
        <w:tc>
          <w:tcPr>
            <w:tcW w:w="876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Principal payments on long-term debt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(12,125)</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(6,062)</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Proceeds from credit facility borrowings</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Proceeds from revolving credit facility borrowings</w:t>
            </w:r>
          </w:p>
        </w:tc>
        <w:tc>
          <w:tcPr>
            <w:tcW w:w="28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Principal payments on revolving credit facility</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Taxes paid for equity award issuances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(1,226)</w:t>
            </w:r>
          </w:p>
        </w:tc>
        <w:tc>
          <w:tcPr>
            <w:tcW w:w="0" w:type="dxa"/>
            <w:vAlign w:val="bottom"/>
          </w:tcPr>
          <w:p>
            <w:pPr>
              <w:spacing w:after="0"/>
              <w:rPr>
                <w:sz w:val="1"/>
                <w:szCs w:val="1"/>
                <w:color w:val="auto"/>
              </w:rPr>
            </w:pPr>
          </w:p>
        </w:tc>
      </w:tr>
      <w:tr>
        <w:trPr>
          <w:trHeight w:val="257"/>
        </w:trPr>
        <w:tc>
          <w:tcPr>
            <w:tcW w:w="8760" w:type="dxa"/>
            <w:vAlign w:val="bottom"/>
          </w:tcPr>
          <w:p>
            <w:pPr>
              <w:ind w:left="140"/>
              <w:spacing w:after="0"/>
              <w:rPr>
                <w:sz w:val="20"/>
                <w:szCs w:val="20"/>
                <w:color w:val="auto"/>
              </w:rPr>
            </w:pPr>
            <w:r>
              <w:rPr>
                <w:rFonts w:ascii="Arial" w:cs="Arial" w:eastAsia="Arial" w:hAnsi="Arial"/>
                <w:sz w:val="17"/>
                <w:szCs w:val="17"/>
                <w:color w:val="auto"/>
              </w:rPr>
              <w:t>Proceeds from issuance of common stock</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8"/>
        </w:trPr>
        <w:tc>
          <w:tcPr>
            <w:tcW w:w="87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760" w:type="dxa"/>
            <w:vAlign w:val="bottom"/>
          </w:tcPr>
          <w:p>
            <w:pPr>
              <w:ind w:left="56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(13,879)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17,717</w:t>
            </w:r>
          </w:p>
        </w:tc>
        <w:tc>
          <w:tcPr>
            <w:tcW w:w="0" w:type="dxa"/>
            <w:vAlign w:val="bottom"/>
          </w:tcPr>
          <w:p>
            <w:pPr>
              <w:spacing w:after="0"/>
              <w:rPr>
                <w:sz w:val="1"/>
                <w:szCs w:val="1"/>
                <w:color w:val="auto"/>
              </w:rPr>
            </w:pPr>
          </w:p>
        </w:tc>
      </w:tr>
      <w:tr>
        <w:trPr>
          <w:trHeight w:val="226"/>
        </w:trPr>
        <w:tc>
          <w:tcPr>
            <w:tcW w:w="8760" w:type="dxa"/>
            <w:vAlign w:val="bottom"/>
          </w:tcPr>
          <w:p>
            <w:pPr>
              <w:ind w:left="56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(29,137)</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3,734</w:t>
            </w:r>
          </w:p>
        </w:tc>
        <w:tc>
          <w:tcPr>
            <w:tcW w:w="0" w:type="dxa"/>
            <w:vAlign w:val="bottom"/>
          </w:tcPr>
          <w:p>
            <w:pPr>
              <w:spacing w:after="0"/>
              <w:rPr>
                <w:sz w:val="1"/>
                <w:szCs w:val="1"/>
                <w:color w:val="auto"/>
              </w:rPr>
            </w:pPr>
          </w:p>
        </w:tc>
      </w:tr>
      <w:tr>
        <w:trPr>
          <w:trHeight w:val="295"/>
        </w:trPr>
        <w:tc>
          <w:tcPr>
            <w:tcW w:w="8760" w:type="dxa"/>
            <w:vAlign w:val="bottom"/>
          </w:tcPr>
          <w:p>
            <w:pPr>
              <w:ind w:left="140"/>
              <w:spacing w:after="0"/>
              <w:rPr>
                <w:sz w:val="20"/>
                <w:szCs w:val="20"/>
                <w:color w:val="auto"/>
              </w:rPr>
            </w:pPr>
            <w:r>
              <w:rPr>
                <w:rFonts w:ascii="Arial" w:cs="Arial" w:eastAsia="Arial" w:hAnsi="Arial"/>
                <w:sz w:val="17"/>
                <w:szCs w:val="17"/>
                <w:color w:val="auto"/>
              </w:rPr>
              <w:t>Cash and cash equivalents, beginning of period</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78,585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36,193</w:t>
            </w:r>
          </w:p>
        </w:tc>
        <w:tc>
          <w:tcPr>
            <w:tcW w:w="0" w:type="dxa"/>
            <w:vAlign w:val="bottom"/>
          </w:tcPr>
          <w:p>
            <w:pPr>
              <w:spacing w:after="0"/>
              <w:rPr>
                <w:sz w:val="1"/>
                <w:szCs w:val="1"/>
                <w:color w:val="auto"/>
              </w:rPr>
            </w:pPr>
          </w:p>
        </w:tc>
      </w:tr>
      <w:tr>
        <w:trPr>
          <w:trHeight w:val="250"/>
        </w:trPr>
        <w:tc>
          <w:tcPr>
            <w:tcW w:w="8760" w:type="dxa"/>
            <w:vAlign w:val="bottom"/>
          </w:tcPr>
          <w:p>
            <w:pPr>
              <w:ind w:left="140"/>
              <w:spacing w:after="0"/>
              <w:rPr>
                <w:sz w:val="20"/>
                <w:szCs w:val="20"/>
                <w:color w:val="auto"/>
              </w:rPr>
            </w:pPr>
            <w:r>
              <w:rPr>
                <w:rFonts w:ascii="Arial" w:cs="Arial" w:eastAsia="Arial" w:hAnsi="Arial"/>
                <w:sz w:val="17"/>
                <w:szCs w:val="17"/>
                <w:color w:val="auto"/>
              </w:rPr>
              <w:t>Cash and cash equivalents, end of period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49,448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39,927</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7"/>
                <w:szCs w:val="17"/>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7"/>
                <w:szCs w:val="17"/>
                <w:color w:val="auto"/>
              </w:rPr>
              <w:t>Cash payments for:</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760" w:type="dxa"/>
            <w:vAlign w:val="bottom"/>
          </w:tcPr>
          <w:p>
            <w:pPr>
              <w:ind w:left="340"/>
              <w:spacing w:after="0"/>
              <w:rPr>
                <w:sz w:val="20"/>
                <w:szCs w:val="20"/>
                <w:color w:val="auto"/>
              </w:rPr>
            </w:pPr>
            <w:r>
              <w:rPr>
                <w:rFonts w:ascii="Arial" w:cs="Arial" w:eastAsia="Arial" w:hAnsi="Arial"/>
                <w:sz w:val="17"/>
                <w:szCs w:val="17"/>
                <w:color w:val="auto"/>
              </w:rPr>
              <w:t>Interest, net of capitalized interest of $309 and $577, respectively</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8,513</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8,380</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Pr>
          <w:p>
            <w:pPr>
              <w:ind w:left="340"/>
              <w:spacing w:after="0"/>
              <w:rPr>
                <w:sz w:val="20"/>
                <w:szCs w:val="20"/>
                <w:color w:val="auto"/>
              </w:rPr>
            </w:pPr>
            <w:r>
              <w:rPr>
                <w:rFonts w:ascii="Arial" w:cs="Arial" w:eastAsia="Arial" w:hAnsi="Arial"/>
                <w:sz w:val="17"/>
                <w:szCs w:val="17"/>
                <w:color w:val="auto"/>
              </w:rPr>
              <w:t>Income tax refunds received, net of taxes paid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Pr>
          <w:p>
            <w:pPr>
              <w:ind w:left="340"/>
              <w:spacing w:after="0"/>
              <w:rPr>
                <w:sz w:val="20"/>
                <w:szCs w:val="20"/>
                <w:color w:val="auto"/>
              </w:rPr>
            </w:pPr>
            <w:r>
              <w:rPr>
                <w:rFonts w:ascii="Arial" w:cs="Arial" w:eastAsia="Arial" w:hAnsi="Arial"/>
                <w:sz w:val="17"/>
                <w:szCs w:val="17"/>
                <w:color w:val="auto"/>
              </w:rPr>
              <w:t>Capital expenditures payable</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5,279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6,366</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420"/>
          </w:cols>
          <w:pgMar w:left="240" w:top="125" w:right="239" w:bottom="422"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422"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S-X. Accordingly, the unaudited condensed consolidated financial statements may not include all of the information and notes required by GAAP for audited financial statements. The information contained herein should be read in conjunction with the audited financial statements included in the Company's Annual Report on Form 10-K for the year ended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2017 Annual Report on Form 10-K, that would be expected to impact the Company except for the topics discussed below.</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The Company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all related amendments, effective January 1, 2018, using the modified retrospective method as discussed in Note 2</w:t>
      </w:r>
      <w:r>
        <w:rPr>
          <w:rFonts w:ascii="Arial" w:cs="Arial" w:eastAsia="Arial" w:hAnsi="Arial"/>
          <w:sz w:val="17"/>
          <w:szCs w:val="17"/>
          <w:i w:val="1"/>
          <w:iCs w:val="1"/>
          <w:color w:val="auto"/>
        </w:rPr>
        <w:t>, Revenue from Contracts with Customers.</w:t>
      </w:r>
      <w:r>
        <w:rPr>
          <w:rFonts w:ascii="Arial" w:cs="Arial" w:eastAsia="Arial" w:hAnsi="Arial"/>
          <w:sz w:val="17"/>
          <w:szCs w:val="17"/>
          <w:color w:val="auto"/>
        </w:rPr>
        <w:t xml:space="preserve"> The Company recognized the cumulative effect of applying the new revenue standard as an adjustment to the opening balance of retained earnings. The comparative information has not been retrospectively modified and continues to be reported under the accounting standards in effect for those periods.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a right-of-use asset and a lease liability for all leases with terms greater than 12 months. The standard also requires disclosures by lessees and lessors about the amount, timing and uncertainty of cash flows arising from leases, as well as changes in the categorization of rental costs, from rent expense to interest and depreciation expense. Other effects may occur depending on the types of leases and the specific terms of them utilized by particular lessees. The ASU is effective for the Company on January 1, 2019, and early application is permitted. Modified retrospective application is required. In September 2017 and January 2018, the FASB issued ASU No. 2017-13, R</w:t>
      </w:r>
      <w:r>
        <w:rPr>
          <w:rFonts w:ascii="Arial" w:cs="Arial" w:eastAsia="Arial" w:hAnsi="Arial"/>
          <w:sz w:val="17"/>
          <w:szCs w:val="17"/>
          <w:i w:val="1"/>
          <w:iCs w:val="1"/>
          <w:color w:val="auto"/>
        </w:rPr>
        <w:t>evenue Recognition (Topic 605), Revenue from Contracts with Customers (Topic 606), Leases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840), and Leases (Topic 842), and ASU No. 2018-01, Leases (Topic 842), Land Easement Practical Expedient for Transition to Topic 842</w:t>
      </w:r>
      <w:r>
        <w:rPr>
          <w:rFonts w:ascii="Arial" w:cs="Arial" w:eastAsia="Arial" w:hAnsi="Arial"/>
          <w:sz w:val="17"/>
          <w:szCs w:val="17"/>
          <w:color w:val="auto"/>
        </w:rPr>
        <w:t>, which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implementation guidance on the previously issued ASU. Management has not yet completed its assessment of the impact of the new standard on the Company’s Consolidated Financial Statements. The Company is in the early stages of implementation and currently believes that the most notable impact to its financial statements upon the adoption of this ASU will be the recognition of a material right-of-use asset and a lease liability for its real estate and equipment leases.</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February 2018, the FASB issued ASU No. 2018-02, "Income Statement - Reporting Comprehensive Income (Topic 220): Reclassification of Certain Tax Effects from Accumulated Other Comprehensive Income" (ASU 2018-02).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2018-02 allow a reclassification from accumulated other comprehensive income to retained earnings for stranded tax effects resulting from the 2017 Tax Cuts and Jobs Act. The amendments in this ASU also require certain disclosures about stranded tax effects. The guidance is effective for fiscal years beginning after December 15, 2018, and interim periods within those fiscal years. Early adoption in any period is permitted. The Company is currently evaluating the timing and impact of adopting ASU 2018-02.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earns revenue primarily through the sale of our wireless telecommunications services, wireless equipment, and business, residential, and enterprise cable and wireline services that include video, internet, voice, and data services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3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Wireless</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Cable</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Wireline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Consolidated</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Wireless service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89,760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89,760</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Wireless equipment</w:t>
            </w:r>
          </w:p>
        </w:tc>
        <w:tc>
          <w:tcPr>
            <w:tcW w:w="3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17,374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17,374</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Business, residential and enterprise</w:t>
            </w:r>
          </w:p>
        </w:tc>
        <w:tc>
          <w:tcPr>
            <w:tcW w:w="380" w:type="dxa"/>
            <w:vAlign w:val="bottom"/>
          </w:tcPr>
          <w:p>
            <w:pPr>
              <w:spacing w:after="0"/>
              <w:rPr>
                <w:sz w:val="23"/>
                <w:szCs w:val="23"/>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29,131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39,822</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Tower</w:t>
            </w:r>
          </w:p>
        </w:tc>
        <w:tc>
          <w:tcPr>
            <w:tcW w:w="3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9,607</w:t>
            </w:r>
          </w:p>
        </w:tc>
      </w:tr>
      <w:tr>
        <w:trPr>
          <w:trHeight w:val="304"/>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5,253</w:t>
            </w:r>
          </w:p>
        </w:tc>
      </w:tr>
      <w:tr>
        <w:trPr>
          <w:trHeight w:val="243"/>
        </w:trPr>
        <w:tc>
          <w:tcPr>
            <w:tcW w:w="33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110,398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31,711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161,816</w:t>
            </w:r>
          </w:p>
        </w:tc>
      </w:tr>
      <w:tr>
        <w:trPr>
          <w:trHeight w:val="304"/>
        </w:trPr>
        <w:tc>
          <w:tcPr>
            <w:tcW w:w="3300" w:type="dxa"/>
            <w:vAlign w:val="bottom"/>
          </w:tcPr>
          <w:p>
            <w:pPr>
              <w:spacing w:after="0"/>
              <w:rPr>
                <w:sz w:val="20"/>
                <w:szCs w:val="20"/>
                <w:color w:val="auto"/>
              </w:rPr>
            </w:pPr>
            <w:r>
              <w:rPr>
                <w:rFonts w:ascii="Arial" w:cs="Arial" w:eastAsia="Arial" w:hAnsi="Arial"/>
                <w:sz w:val="18"/>
                <w:szCs w:val="18"/>
                <w:color w:val="auto"/>
              </w:rPr>
              <w:t>Internal revenues</w:t>
            </w: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w:t>
            </w:r>
          </w:p>
        </w:tc>
      </w:tr>
      <w:tr>
        <w:trPr>
          <w:trHeight w:val="243"/>
        </w:trPr>
        <w:tc>
          <w:tcPr>
            <w:tcW w:w="33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109,159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30,680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151,732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service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the Company's revenue is earned through providing network access to Sprint under the affiliate agreement, which represents approximately 59% of consolidated revenues. Wireless service revenue is variable based on billed revenues to Sprint’s subscribers in the Company's affiliate area, less applicable fees retained by Sprint. The Company's fee related to Sprint’s postpaid customers is the amount Sprint bills its subscribers that is reduced by customer credits, write-offs of subscriber receivables, and an 8% management and 8.6% service fee retained by Sprint. The Company is also charged for the costs of subsidized handsets sold through Sprint’s national channels as well as commissions paid by Sprint to third-party resellers in the Company's service territory.</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fee related to Sprint’s prepaid customers is the amount Sprint bills its customer less certain charges to acquire and support the customer, based on national averages for Sprint’s prepaid programs. Sprint retains a 6% management fee on prepaid wireless revenues, and costs to provide support to Sprint’s prepaid customers.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considers Sprint, rather than Sprint's subscribers, to be the customer under the new revenue standard and the Company's performance obligation is to provide Sprint a series of continuous network access services. Under Topic 606, the Company's revenues are variable based on the amount Sprint bills its customer each month reduced by the retained management and service fees. The reimbursement to Sprint for the costs of subsidized handsets sold through Sprint’s national channels, as well as commissions paid by Sprint to third-party resellers in our service territory represent consideration payable to a customer that is not in exchange for a distinct service under Topic 606. Therefore, these reimbursements result in increases to our contract asset position that are subsequently recognized as a reduction of revenue over the average subscriber life of approximately two years which is the period the Company expects those payments to result in increased revenues. Historically, under ASC 605 the customer was considered the Sprint subscriber rather than Sprint and as a result, reimbursement payments to Sprint for costs of subsidized handsets and commissions were recorded as operating expenses in the period incurred. During 2017, these costs totaled $63.5 million recorded in cost of goods and services, and $16.9 million recorded in selling, general and administrative costs. On January 1, 2018, upon adoption, the Company recorded a wireless contract asset of approximately $42.8 million. During the three month period ended March 31, 2018, payments that increased the wireless contract asset balance totaled $13.8 and amortization reflected as a reduction of revenue totaled approximately $13.4 million. The wireless contract asset balance as of March 31, 2018 was approximately$43.2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equipment</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owns and operates Sprint-branded retail stores within their geographic territory from which the Company sells equipment, primarily wireless handsets, and service to Sprint subscribers. Equipment is generally purchased from Sprint and resold to subscribers under subsidized plans or under equipment financing plans. The equipment financing plans are operated by Sprint who purchases equipment from the Company and resells the equipment to subscribers under financing plans. Historically, under ASC 605, the Company concluded that the Company was the agent in these equipment financing transactions and recorded revenues net of related handset costs which were approximately $63.8 million in 2017. Under Topic 606 the Company concluded that the Company is the principal in the transaction as the Company controls the inventory prior to sale and accordingly revenues and handset costs are recorded on a gross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residential and enterprise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earns revenue in the cable and wireline segments from business, residential, and enterprise customers where the performance obligations are to provide cable and telephone network services, sell and lease equipment and wiring services,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lease fiber-optic cable strands. The Company's arrangements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recognized these revenues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Topic 606, the Company concluded that installation services do not represent a separate performance obligation. Accordingly, installation fees are allocated to services and are recognized ratably over the longer of the contract term or the period the unrecognized portion of the fee remains material to the contract, typically 10 and 11 months for cable and wireline customers, respectively. Historically, the Company deferred these fees over the estimated customer life of 42 months. Additionally, the Company incurs commission and installation costs related to in-house and third-party vendors that were previously expensed as incurred. Under Topic 606, the Company capitalizes and amortizes these commission and installation costs over the expected benefit period which is approximately 44 months, 72 months, and 46 months, for cable, wireline, and enterprise business,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 Other</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Tower revenues consist primarily of tower space leases accounted for under Topic 840, </w:t>
      </w:r>
      <w:r>
        <w:rPr>
          <w:rFonts w:ascii="Arial" w:cs="Arial" w:eastAsia="Arial" w:hAnsi="Arial"/>
          <w:sz w:val="18"/>
          <w:szCs w:val="18"/>
          <w:i w:val="1"/>
          <w:iCs w:val="1"/>
          <w:color w:val="auto"/>
        </w:rPr>
        <w:t>Leases</w:t>
      </w:r>
      <w:r>
        <w:rPr>
          <w:rFonts w:ascii="Arial" w:cs="Arial" w:eastAsia="Arial" w:hAnsi="Arial"/>
          <w:sz w:val="18"/>
          <w:szCs w:val="18"/>
          <w:color w:val="auto"/>
        </w:rPr>
        <w:t>, and Other revenues include network access-related charges to for service provided to customers across all three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effect of the changes made to our consolidated January 1, 2018 balance sheet for the adoption of the new revenue standard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w w:val="95"/>
              </w:rPr>
              <w:t>Balance at December 31,</w:t>
            </w:r>
          </w:p>
        </w:tc>
        <w:tc>
          <w:tcPr>
            <w:tcW w:w="18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 due to</w:t>
            </w:r>
          </w:p>
        </w:tc>
        <w:tc>
          <w:tcPr>
            <w:tcW w:w="160" w:type="dxa"/>
            <w:vAlign w:val="bottom"/>
          </w:tcPr>
          <w:p>
            <w:pPr>
              <w:spacing w:after="0"/>
              <w:rPr>
                <w:sz w:val="18"/>
                <w:szCs w:val="18"/>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w w:val="88"/>
              </w:rPr>
              <w:t>Balance at January 1,</w:t>
            </w:r>
          </w:p>
        </w:tc>
      </w:tr>
      <w:tr>
        <w:trPr>
          <w:trHeight w:val="264"/>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2"/>
                <w:szCs w:val="22"/>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Topic 606</w:t>
            </w:r>
          </w:p>
        </w:tc>
        <w:tc>
          <w:tcPr>
            <w:tcW w:w="160" w:type="dxa"/>
            <w:vAlign w:val="bottom"/>
          </w:tcPr>
          <w:p>
            <w:pPr>
              <w:spacing w:after="0"/>
              <w:rPr>
                <w:sz w:val="22"/>
                <w:szCs w:val="22"/>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2018</w:t>
            </w:r>
          </w:p>
        </w:tc>
      </w:tr>
      <w:tr>
        <w:trPr>
          <w:trHeight w:val="243"/>
        </w:trPr>
        <w:tc>
          <w:tcPr>
            <w:tcW w:w="400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4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36,577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53,688</w:t>
            </w: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Deferred charges and other</w:t>
            </w: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16,107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29,797</w:t>
            </w:r>
          </w:p>
        </w:tc>
      </w:tr>
      <w:tr>
        <w:trPr>
          <w:trHeight w:val="270"/>
        </w:trPr>
        <w:tc>
          <w:tcPr>
            <w:tcW w:w="400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Advanced billing and customer deposits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6,851</w:t>
            </w: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18,151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119,030</w:t>
            </w: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14,093</w:t>
            </w: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50,035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347,240</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our consolidated income statement and balance sheet was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6"/>
          </w:tcPr>
          <w:p>
            <w:pPr>
              <w:jc w:val="center"/>
              <w:ind w:left="1190"/>
              <w:spacing w:after="0"/>
              <w:rPr>
                <w:sz w:val="20"/>
                <w:szCs w:val="20"/>
                <w:color w:val="auto"/>
              </w:rPr>
            </w:pPr>
            <w:r>
              <w:rPr>
                <w:rFonts w:ascii="Arial" w:cs="Arial" w:eastAsia="Arial" w:hAnsi="Arial"/>
                <w:sz w:val="18"/>
                <w:szCs w:val="18"/>
                <w:color w:val="auto"/>
                <w:w w:val="90"/>
              </w:rPr>
              <w:t>Three Months Ended March 31, 2018</w:t>
            </w:r>
          </w:p>
        </w:tc>
        <w:tc>
          <w:tcPr>
            <w:tcW w:w="1560" w:type="dxa"/>
            <w:vAlign w:val="bottom"/>
          </w:tcPr>
          <w:p>
            <w:pPr>
              <w:spacing w:after="0"/>
              <w:rPr>
                <w:sz w:val="20"/>
                <w:szCs w:val="20"/>
                <w:color w:val="auto"/>
              </w:rPr>
            </w:pPr>
          </w:p>
        </w:tc>
      </w:tr>
      <w:tr>
        <w:trPr>
          <w:trHeight w:val="34"/>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Balances without</w:t>
            </w:r>
          </w:p>
        </w:tc>
        <w:tc>
          <w:tcPr>
            <w:tcW w:w="340" w:type="dxa"/>
            <w:vAlign w:val="bottom"/>
          </w:tcPr>
          <w:p>
            <w:pPr>
              <w:spacing w:after="0"/>
              <w:rPr>
                <w:sz w:val="19"/>
                <w:szCs w:val="19"/>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w w:val="89"/>
              </w:rPr>
              <w:t>Effect of Change</w:t>
            </w:r>
          </w:p>
        </w:tc>
      </w:tr>
      <w:tr>
        <w:trPr>
          <w:trHeight w:val="264"/>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2"/>
                <w:szCs w:val="22"/>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color w:val="auto"/>
              </w:rPr>
              <w:t>As Reported</w:t>
            </w:r>
          </w:p>
        </w:tc>
        <w:tc>
          <w:tcPr>
            <w:tcW w:w="12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Adoption of Topic 606</w:t>
            </w:r>
          </w:p>
        </w:tc>
        <w:tc>
          <w:tcPr>
            <w:tcW w:w="340" w:type="dxa"/>
            <w:vAlign w:val="bottom"/>
          </w:tcPr>
          <w:p>
            <w:pPr>
              <w:spacing w:after="0"/>
              <w:rPr>
                <w:sz w:val="22"/>
                <w:szCs w:val="22"/>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color w:val="auto"/>
                <w:w w:val="97"/>
              </w:rPr>
              <w:t>Higher/(Lower)</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Operating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151,732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155,871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(4,139)</w:t>
            </w: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49,342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49,199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42,968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(14,218)</w:t>
            </w:r>
          </w:p>
        </w:tc>
      </w:tr>
      <w:tr>
        <w:trPr>
          <w:trHeight w:val="702"/>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40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4300" w:type="dxa"/>
            <w:vAlign w:val="bottom"/>
            <w:gridSpan w:val="5"/>
          </w:tcPr>
          <w:p>
            <w:pPr>
              <w:jc w:val="center"/>
              <w:ind w:left="1490"/>
              <w:spacing w:after="0"/>
              <w:rPr>
                <w:sz w:val="20"/>
                <w:szCs w:val="20"/>
                <w:color w:val="auto"/>
              </w:rPr>
            </w:pPr>
            <w:r>
              <w:rPr>
                <w:rFonts w:ascii="Arial" w:cs="Arial" w:eastAsia="Arial" w:hAnsi="Arial"/>
                <w:sz w:val="18"/>
                <w:szCs w:val="18"/>
                <w:color w:val="auto"/>
                <w:w w:val="91"/>
              </w:rPr>
              <w:t>Three Months Ended March 31, 2018</w:t>
            </w:r>
          </w:p>
        </w:tc>
        <w:tc>
          <w:tcPr>
            <w:tcW w:w="1540" w:type="dxa"/>
            <w:vAlign w:val="bottom"/>
          </w:tcPr>
          <w:p>
            <w:pPr>
              <w:spacing w:after="0"/>
              <w:rPr>
                <w:sz w:val="24"/>
                <w:szCs w:val="24"/>
                <w:color w:val="auto"/>
              </w:rPr>
            </w:pPr>
          </w:p>
        </w:tc>
      </w:tr>
      <w:tr>
        <w:trPr>
          <w:trHeight w:val="34"/>
        </w:trPr>
        <w:tc>
          <w:tcPr>
            <w:tcW w:w="4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9"/>
        </w:trPr>
        <w:tc>
          <w:tcPr>
            <w:tcW w:w="4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Balances without</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w w:val="89"/>
              </w:rPr>
              <w:t>Effect of Change</w:t>
            </w:r>
          </w:p>
        </w:tc>
      </w:tr>
      <w:tr>
        <w:trPr>
          <w:trHeight w:val="264"/>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gridSpan w:val="2"/>
          </w:tcPr>
          <w:p>
            <w:pPr>
              <w:ind w:left="480"/>
              <w:spacing w:after="0"/>
              <w:rPr>
                <w:sz w:val="20"/>
                <w:szCs w:val="20"/>
                <w:color w:val="auto"/>
              </w:rPr>
            </w:pPr>
            <w:r>
              <w:rPr>
                <w:rFonts w:ascii="Arial" w:cs="Arial" w:eastAsia="Arial" w:hAnsi="Arial"/>
                <w:sz w:val="18"/>
                <w:szCs w:val="18"/>
                <w:color w:val="auto"/>
              </w:rPr>
              <w:t>As Reported</w:t>
            </w:r>
          </w:p>
        </w:tc>
        <w:tc>
          <w:tcPr>
            <w:tcW w:w="232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Adoption of Topic 606</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w w:val="97"/>
              </w:rPr>
              <w:t>Higher/(Lower)</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Assets</w:t>
            </w: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64,200</w:t>
            </w:r>
          </w:p>
        </w:tc>
        <w:tc>
          <w:tcPr>
            <w:tcW w:w="1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27,086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37,114</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33,934</w:t>
            </w:r>
          </w:p>
        </w:tc>
        <w:tc>
          <w:tcPr>
            <w:tcW w:w="1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18,115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15,819</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Liabilities</w:t>
            </w: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115,809</w:t>
            </w:r>
          </w:p>
        </w:tc>
        <w:tc>
          <w:tcPr>
            <w:tcW w:w="1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97,591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18,218</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Advanced billing and customer deposits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21,221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(14,302)</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13,787</w:t>
            </w:r>
          </w:p>
        </w:tc>
        <w:tc>
          <w:tcPr>
            <w:tcW w:w="1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14,987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352,069</w:t>
            </w:r>
          </w:p>
        </w:tc>
        <w:tc>
          <w:tcPr>
            <w:tcW w:w="1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301,852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50,217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 and transaction price allocated</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March 31, 2018, the Company had approximately $2.5 million of transaction price allocated to unsatisfied performance obligations, which is exclusive of contracts with original expected duration of one year or less. The Company expects to recognize approximately $0.5 million of this amount as revenue during the remaining three quarters of 2018, $0.5 million in 2019, an additional $0.4 million by 2020, and the balance thereafter.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 and costs to fulfill contracts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Capitalized contract costs represent contract fulfillment costs and contract acquisition costs which include commissions and installation costs in our cable and wireline segments. Capitalized contract costs are amortized on a straight line basis over the contract term plus expected renewals. The Company applies the practical expedient to expense contract acquisition costs when incurred if the amortization period would be twelve months or less. The amortization of these costs is included in cost of services, and selling, general and administrative expenses. Amounts capitalized were approximately $9.7 million as of March 31, 2018 of which $4.6 million is presented as prepaid expenses and other and $5.1 million is presented as deferred charges and other assets, net. Amortization recognized during the three-month period ended at March 31, 2018 was approximately $1.3 million. There was no impairment loss in relation to the costs capitalized.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Sprint Territory Expansion: </w:t>
      </w:r>
      <w:r>
        <w:rPr>
          <w:rFonts w:ascii="Arial" w:cs="Arial" w:eastAsia="Arial" w:hAnsi="Arial"/>
          <w:sz w:val="18"/>
          <w:szCs w:val="18"/>
          <w:color w:val="auto"/>
        </w:rPr>
        <w:t>Effective February 1, 2018, the Company signed an expansion agreement with Sprint to expand our wireless service area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certain areas in Kentucky, Pennsylvania, Virginia and West Virginia, (the “Expansion Area”). The agreement includes certain network build out requirements in the Expansion Area, and the ability to utilize Sprint’s spectrum in the Expansion Area. Pursuant to the expansion agreement, Sprint agreed to, among other things, transition the provision of network coverage in the Expansion Area from Sprint to the Company. The Expansion Agreement required a payment of $52.0 million for the right to service the Expansion Area pursuant to the Affiliate Agreements plus an optional payment of up to $5.0 million for certain equipment at the Sprint cell sites in the Expansion Area. The option is exercisable at the Company's discretion. The acquisition was accounted for as an asset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in the wireless segment: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Estimated Useful</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64"/>
        </w:trPr>
        <w:tc>
          <w:tcPr>
            <w:tcW w:w="3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rPr>
              <w:t>Life</w:t>
            </w:r>
          </w:p>
        </w:tc>
        <w:tc>
          <w:tcPr>
            <w:tcW w:w="240" w:type="dxa"/>
            <w:vAlign w:val="bottom"/>
          </w:tcPr>
          <w:p>
            <w:pPr>
              <w:spacing w:after="0"/>
              <w:rPr>
                <w:sz w:val="22"/>
                <w:szCs w:val="22"/>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w w:val="97"/>
              </w:rPr>
              <w:t>February 1, 2018</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45,148</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Option to acquire tangible assets</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6,497</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Off-market leases - favorable</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16.5*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3,665</w:t>
            </w:r>
          </w:p>
        </w:tc>
      </w:tr>
      <w:tr>
        <w:trPr>
          <w:trHeight w:val="304"/>
        </w:trPr>
        <w:tc>
          <w:tcPr>
            <w:tcW w:w="3320" w:type="dxa"/>
            <w:vAlign w:val="bottom"/>
          </w:tcPr>
          <w:p>
            <w:pPr>
              <w:spacing w:after="0"/>
              <w:rPr>
                <w:sz w:val="20"/>
                <w:szCs w:val="20"/>
                <w:color w:val="auto"/>
              </w:rPr>
            </w:pPr>
            <w:r>
              <w:rPr>
                <w:rFonts w:ascii="Arial" w:cs="Arial" w:eastAsia="Arial" w:hAnsi="Arial"/>
                <w:sz w:val="18"/>
                <w:szCs w:val="18"/>
                <w:color w:val="auto"/>
              </w:rPr>
              <w:t>Off-market leases - unfavorable</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8890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approximate and represent the average of the remaining useful lives of the underlying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-130175</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The options to acquire tangible assets are classified as "Prepaid expenses and other" within current assets on the Company's balance sheet. The option is exercisable at any time and expires in two years. The option was measured for fair value using a cost approach on a recurring basis and using Level 3 inputs. The off-market leases - favorable and off-market leases - unfavorable, are classified as "Intangible assets, net" and "Deferred lease", respectively, on the Company's balance sheet. Refer to Note 6,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for additional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Customer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Contractual Relationship</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1999, the Company executed a Management Agreement (the “Agreement”) with Sprint whereby the Company committed to construct and operate a PCS network using CDMA air interface technology. Under the Agreement, the Company was the exclusive PCS Affiliate of Sprint providing wireless mobility communications network products and services on the 1900 MHz band in its territory across a multi-state area covering large portions of central and western Virginia, south-central Pennsylvania, West Virginia, and portions of Maryland, North Carolina, Kentucky, and Ohio. Since then, the Company’s wireless service area has expanded to include new portions of south-central and western Virginia, West Virginia, and small portions of Kentucky and Ohio.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term of the Agreement was initially set for 20 years and was automatically renewable for three 10-year options, unless terminated by either party under provisions outlined in the Agreement. Upon non-renewal by either party, the Company has the obligation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 The Agreement has been amended numerous times.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Amendment to the Affiliate agreement related to the acquisition of Expansion Area</w:t>
      </w:r>
      <w:r>
        <w:rPr>
          <w:rFonts w:ascii="Arial" w:cs="Arial" w:eastAsia="Arial" w:hAnsi="Arial"/>
          <w:sz w:val="18"/>
          <w:szCs w:val="18"/>
          <w:color w:val="auto"/>
        </w:rPr>
        <w:t>: Effective with the acquisition of Expansion Area on February 1,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amended its Agreement with Sprint to expand our wireless service area to include certain areas in Kentucky, Pennsylvania, Virginia and West Virginia.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(Loss)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EPS was computed by dividing net income or loss by the weighted average number of shares of common stock outstanding during the period. Diluted net income (loss) per share was computed under the treasury stock method, assuming the conversion as of the beginning of the period, for all dilutive stock options. Diluted EPS was computed by dividing net income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 for the three months ended March 31, 2018 and 2017:</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Calculation of net income (loss) per share: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w:t>
      </w:r>
    </w:p>
    <w:p>
      <w:pPr>
        <w:spacing w:after="0" w:line="77" w:lineRule="exact"/>
        <w:rPr>
          <w:sz w:val="20"/>
          <w:szCs w:val="20"/>
          <w:color w:val="auto"/>
        </w:rPr>
      </w:pPr>
    </w:p>
    <w:p>
      <w:pPr>
        <w:ind w:left="40" w:right="1220" w:firstLine="135"/>
        <w:spacing w:after="0" w:line="494" w:lineRule="auto"/>
        <w:rPr>
          <w:sz w:val="20"/>
          <w:szCs w:val="20"/>
          <w:color w:val="auto"/>
        </w:rPr>
      </w:pPr>
      <w:r>
        <w:rPr>
          <w:rFonts w:ascii="Arial" w:cs="Arial" w:eastAsia="Arial" w:hAnsi="Arial"/>
          <w:sz w:val="15"/>
          <w:szCs w:val="15"/>
          <w:color w:val="auto"/>
        </w:rPr>
        <w:t>Weighted average shares outstanding Basic income (loss) per share</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stock options outstanding:</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weighted average shares 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from dilutive shares and options outstanding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weighted average shares outstanding</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income (loss) per share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36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43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4236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34"/>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1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34"/>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49,050</w:t>
            </w:r>
          </w:p>
        </w:tc>
      </w:tr>
      <w:tr>
        <w:trPr>
          <w:trHeight w:val="34"/>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18"/>
        </w:trPr>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49,474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49,050</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34"/>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49,834</w:t>
            </w:r>
          </w:p>
        </w:tc>
      </w:tr>
      <w:tr>
        <w:trPr>
          <w:trHeight w:val="34"/>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60" w:space="720"/>
            <w:col w:w="6620"/>
          </w:cols>
          <w:pgMar w:left="240" w:top="125" w:right="259" w:bottom="1440" w:gutter="0" w:footer="0" w:header="0"/>
          <w:type w:val="continuous"/>
        </w:sectPr>
      </w:pP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are as follows: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Awards excluded from the computation of diluted net income per share because their inclusion would have been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8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98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22860</wp:posOffset>
            </wp:positionV>
            <wp:extent cx="17151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5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31750</wp:posOffset>
            </wp:positionV>
            <wp:extent cx="17151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5135" cy="17145"/>
                    </a:xfrm>
                    <a:prstGeom prst="rect">
                      <a:avLst/>
                    </a:prstGeom>
                    <a:noFill/>
                  </pic:spPr>
                </pic:pic>
              </a:graphicData>
            </a:graphic>
          </wp:anchor>
        </w:drawing>
      </w:r>
    </w:p>
    <w:p>
      <w:pPr>
        <w:spacing w:after="0" w:line="259" w:lineRule="exact"/>
        <w:rPr>
          <w:sz w:val="20"/>
          <w:szCs w:val="20"/>
          <w:color w:val="auto"/>
        </w:rPr>
      </w:pPr>
    </w:p>
    <w:p>
      <w:pPr>
        <w:jc w:val="both"/>
        <w:ind w:left="480"/>
        <w:spacing w:after="0"/>
        <w:tabs>
          <w:tab w:leader="none" w:pos="18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31750</wp:posOffset>
            </wp:positionV>
            <wp:extent cx="17151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5135" cy="2603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5780" w:space="680"/>
            <w:col w:w="4780"/>
          </w:cols>
          <w:pgMar w:left="240" w:top="125" w:right="419" w:bottom="1440" w:gutter="0" w:footer="0" w:header="0"/>
        </w:sectPr>
      </w:pP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hierarchy for financial assets and liabilities measured at fair value on a recurring basis as of March 31, 2018 and December 31, 2017:</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37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March 31, 2018</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77"/>
        </w:trPr>
        <w:tc>
          <w:tcPr>
            <w:tcW w:w="374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0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70"/>
        </w:trPr>
        <w:tc>
          <w:tcPr>
            <w:tcW w:w="374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Prepaid expenses &amp; other:</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74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3,673</w:t>
            </w:r>
          </w:p>
        </w:tc>
      </w:tr>
      <w:tr>
        <w:trPr>
          <w:trHeight w:val="270"/>
        </w:trPr>
        <w:tc>
          <w:tcPr>
            <w:tcW w:w="3740" w:type="dxa"/>
            <w:vAlign w:val="bottom"/>
          </w:tcPr>
          <w:p>
            <w:pPr>
              <w:ind w:left="320"/>
              <w:spacing w:after="0"/>
              <w:rPr>
                <w:sz w:val="20"/>
                <w:szCs w:val="20"/>
                <w:color w:val="auto"/>
              </w:rPr>
            </w:pPr>
            <w:r>
              <w:rPr>
                <w:rFonts w:ascii="Arial" w:cs="Arial" w:eastAsia="Arial" w:hAnsi="Arial"/>
                <w:sz w:val="18"/>
                <w:szCs w:val="18"/>
                <w:color w:val="auto"/>
              </w:rPr>
              <w:t>Option to acquire tangible assets</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6,497</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Deferred charges &amp; other assets, net:</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04"/>
        </w:trPr>
        <w:tc>
          <w:tcPr>
            <w:tcW w:w="374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13,692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13,692</w:t>
            </w:r>
          </w:p>
        </w:tc>
      </w:tr>
      <w:tr>
        <w:trPr>
          <w:trHeight w:val="264"/>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17,365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24,013</w:t>
            </w:r>
          </w:p>
        </w:tc>
      </w:tr>
      <w:tr>
        <w:trPr>
          <w:trHeight w:val="20"/>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December 31, 2017</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77"/>
        </w:trPr>
        <w:tc>
          <w:tcPr>
            <w:tcW w:w="3580" w:type="dxa"/>
            <w:vAlign w:val="bottom"/>
          </w:tcPr>
          <w:p>
            <w:pPr>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4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70"/>
        </w:trPr>
        <w:tc>
          <w:tcPr>
            <w:tcW w:w="358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3"/>
                <w:szCs w:val="23"/>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Prepaid expenses &amp; other:</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58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2,411</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Deferred charges &amp; other assets, net: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04"/>
        </w:trPr>
        <w:tc>
          <w:tcPr>
            <w:tcW w:w="358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10,776</w:t>
            </w:r>
          </w:p>
        </w:tc>
      </w:tr>
      <w:tr>
        <w:trPr>
          <w:trHeight w:val="264"/>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13,337</w:t>
            </w:r>
          </w:p>
        </w:tc>
      </w:tr>
      <w:tr>
        <w:trPr>
          <w:trHeight w:val="20"/>
        </w:trPr>
        <w:tc>
          <w:tcPr>
            <w:tcW w:w="374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9"/>
        </w:trPr>
        <w:tc>
          <w:tcPr>
            <w:tcW w:w="8680" w:type="dxa"/>
            <w:vAlign w:val="bottom"/>
            <w:gridSpan w:val="14"/>
          </w:tcPr>
          <w:p>
            <w:pPr>
              <w:spacing w:after="0"/>
              <w:rPr>
                <w:sz w:val="20"/>
                <w:szCs w:val="20"/>
                <w:color w:val="auto"/>
              </w:rPr>
            </w:pPr>
            <w:r>
              <w:rPr>
                <w:rFonts w:ascii="Arial" w:cs="Arial" w:eastAsia="Arial" w:hAnsi="Arial"/>
                <w:sz w:val="18"/>
                <w:szCs w:val="18"/>
                <w:color w:val="auto"/>
                <w:w w:val="96"/>
              </w:rPr>
              <w:t>The following table presents our financial instruments measured at fair value using unobservable inputs (Level 3):</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0"/>
        </w:trPr>
        <w:tc>
          <w:tcPr>
            <w:tcW w:w="3580" w:type="dxa"/>
            <w:vAlign w:val="bottom"/>
          </w:tcPr>
          <w:p>
            <w:pPr>
              <w:spacing w:after="0"/>
              <w:rPr>
                <w:sz w:val="24"/>
                <w:szCs w:val="24"/>
                <w:color w:val="auto"/>
              </w:rPr>
            </w:pPr>
          </w:p>
        </w:tc>
        <w:tc>
          <w:tcPr>
            <w:tcW w:w="5100" w:type="dxa"/>
            <w:vAlign w:val="bottom"/>
            <w:gridSpan w:val="13"/>
          </w:tcPr>
          <w:p>
            <w:pPr>
              <w:ind w:left="40"/>
              <w:spacing w:after="0"/>
              <w:rPr>
                <w:sz w:val="20"/>
                <w:szCs w:val="20"/>
                <w:color w:val="auto"/>
              </w:rPr>
            </w:pPr>
            <w:r>
              <w:rPr>
                <w:rFonts w:ascii="Arial" w:cs="Arial" w:eastAsia="Arial" w:hAnsi="Arial"/>
                <w:sz w:val="18"/>
                <w:szCs w:val="18"/>
                <w:b w:val="1"/>
                <w:bCs w:val="1"/>
                <w:color w:val="auto"/>
              </w:rPr>
              <w:t>Fair Value Measurements Using Unobservable Inputs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60" w:type="dxa"/>
            <w:vAlign w:val="bottom"/>
            <w:gridSpan w:val="6"/>
          </w:tcPr>
          <w:p>
            <w:pPr>
              <w:ind w:left="8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8"/>
              </w:rPr>
              <w:t>March 31, 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 2017</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Sprint Territory Expansion (Note 3):</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04"/>
        </w:trPr>
        <w:tc>
          <w:tcPr>
            <w:tcW w:w="3580" w:type="dxa"/>
            <w:vAlign w:val="bottom"/>
          </w:tcPr>
          <w:p>
            <w:pPr>
              <w:ind w:left="220"/>
              <w:spacing w:after="0"/>
              <w:rPr>
                <w:sz w:val="20"/>
                <w:szCs w:val="20"/>
                <w:color w:val="auto"/>
              </w:rPr>
            </w:pPr>
            <w:r>
              <w:rPr>
                <w:rFonts w:ascii="Arial" w:cs="Arial" w:eastAsia="Arial" w:hAnsi="Arial"/>
                <w:sz w:val="18"/>
                <w:szCs w:val="18"/>
                <w:color w:val="auto"/>
              </w:rPr>
              <w:t>Option to acquire tangible assets</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option is exercisable at any time and expires in two years. The option was measured for fair value using a cost approach on a recurring basis and using Level 3 inputs including the cost of the underlying assets to be acquired and the contractual selling price of those assets.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125" w:right="41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5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2"/>
                <w:szCs w:val="22"/>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200" w:type="dxa"/>
            <w:vAlign w:val="bottom"/>
          </w:tcPr>
          <w:p>
            <w:pPr>
              <w:spacing w:after="0"/>
              <w:rPr>
                <w:sz w:val="22"/>
                <w:szCs w:val="22"/>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Plant in service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1,245,079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1,219,185</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57,005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62,202</w:t>
            </w:r>
          </w:p>
        </w:tc>
        <w:tc>
          <w:tcPr>
            <w:tcW w:w="0" w:type="dxa"/>
            <w:vAlign w:val="bottom"/>
          </w:tcPr>
          <w:p>
            <w:pPr>
              <w:spacing w:after="0"/>
              <w:rPr>
                <w:sz w:val="1"/>
                <w:szCs w:val="1"/>
                <w:color w:val="auto"/>
              </w:rPr>
            </w:pPr>
          </w:p>
        </w:tc>
      </w:tr>
      <w:tr>
        <w:trPr>
          <w:trHeight w:val="34"/>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1,302,084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1,281,387</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630,067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595,060</w:t>
            </w:r>
          </w:p>
        </w:tc>
        <w:tc>
          <w:tcPr>
            <w:tcW w:w="0" w:type="dxa"/>
            <w:vAlign w:val="bottom"/>
          </w:tcPr>
          <w:p>
            <w:pPr>
              <w:spacing w:after="0"/>
              <w:rPr>
                <w:sz w:val="1"/>
                <w:szCs w:val="1"/>
                <w:color w:val="auto"/>
              </w:rPr>
            </w:pPr>
          </w:p>
        </w:tc>
      </w:tr>
      <w:tr>
        <w:trPr>
          <w:trHeight w:val="34"/>
        </w:trPr>
        <w:tc>
          <w:tcPr>
            <w:tcW w:w="4520" w:type="dxa"/>
            <w:vAlign w:val="bottom"/>
            <w:vMerge w:val="restart"/>
          </w:tcPr>
          <w:p>
            <w:pPr>
              <w:ind w:left="14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672,017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w w:val="90"/>
              </w:rPr>
              <w:t>Note 8. Goodwill and Other Intangible Assets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Goodwill consisted of the following:</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5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March 31, 2018</w:t>
            </w:r>
          </w:p>
        </w:tc>
        <w:tc>
          <w:tcPr>
            <w:tcW w:w="20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Goodwill - Wireless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146,383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Goodwill - Cable</w:t>
            </w:r>
          </w:p>
        </w:tc>
        <w:tc>
          <w:tcPr>
            <w:tcW w:w="2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Goodwill - Wireline</w:t>
            </w:r>
          </w:p>
        </w:tc>
        <w:tc>
          <w:tcPr>
            <w:tcW w:w="2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4"/>
        </w:trPr>
        <w:tc>
          <w:tcPr>
            <w:tcW w:w="3500" w:type="dxa"/>
            <w:vAlign w:val="bottom"/>
            <w:vMerge w:val="restart"/>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at March 31, 2018 and December 31, 2017:</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March 31, 2018</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Gross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2"/>
              <w:spacing w:after="0"/>
              <w:rPr>
                <w:sz w:val="20"/>
                <w:szCs w:val="20"/>
                <w:color w:val="auto"/>
              </w:rPr>
            </w:pPr>
            <w:r>
              <w:rPr>
                <w:rFonts w:ascii="Arial" w:cs="Arial" w:eastAsia="Arial" w:hAnsi="Arial"/>
                <w:sz w:val="16"/>
                <w:szCs w:val="16"/>
                <w:color w:val="auto"/>
                <w:w w:val="88"/>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Carrying</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color w:val="auto"/>
              </w:rPr>
              <w:t>Accumulated</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152"/>
              <w:spacing w:after="0"/>
              <w:rPr>
                <w:sz w:val="20"/>
                <w:szCs w:val="20"/>
                <w:color w:val="auto"/>
              </w:rPr>
            </w:pPr>
            <w:r>
              <w:rPr>
                <w:rFonts w:ascii="Arial" w:cs="Arial" w:eastAsia="Arial" w:hAnsi="Arial"/>
                <w:sz w:val="16"/>
                <w:szCs w:val="16"/>
                <w:color w:val="auto"/>
                <w:w w:val="95"/>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Amount</w:t>
            </w:r>
          </w:p>
        </w:tc>
        <w:tc>
          <w:tcPr>
            <w:tcW w:w="16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21"/>
                <w:szCs w:val="21"/>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Net</w:t>
            </w:r>
          </w:p>
        </w:tc>
        <w:tc>
          <w:tcPr>
            <w:tcW w:w="240" w:type="dxa"/>
            <w:vAlign w:val="bottom"/>
          </w:tcPr>
          <w:p>
            <w:pPr>
              <w:spacing w:after="0"/>
              <w:rPr>
                <w:sz w:val="21"/>
                <w:szCs w:val="21"/>
                <w:color w:val="auto"/>
              </w:rPr>
            </w:pPr>
          </w:p>
        </w:tc>
        <w:tc>
          <w:tcPr>
            <w:tcW w:w="1020" w:type="dxa"/>
            <w:vAlign w:val="bottom"/>
          </w:tcPr>
          <w:p>
            <w:pPr>
              <w:jc w:val="center"/>
              <w:ind w:right="152"/>
              <w:spacing w:after="0"/>
              <w:rPr>
                <w:sz w:val="20"/>
                <w:szCs w:val="20"/>
                <w:color w:val="auto"/>
              </w:rPr>
            </w:pPr>
            <w:r>
              <w:rPr>
                <w:rFonts w:ascii="Arial" w:cs="Arial" w:eastAsia="Arial" w:hAnsi="Arial"/>
                <w:sz w:val="16"/>
                <w:szCs w:val="16"/>
                <w:color w:val="auto"/>
                <w:w w:val="97"/>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Amortization</w:t>
            </w:r>
          </w:p>
        </w:tc>
        <w:tc>
          <w:tcPr>
            <w:tcW w:w="300" w:type="dxa"/>
            <w:vAlign w:val="bottom"/>
          </w:tcPr>
          <w:p>
            <w:pPr>
              <w:spacing w:after="0"/>
              <w:rPr>
                <w:sz w:val="21"/>
                <w:szCs w:val="21"/>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304"/>
        </w:trPr>
        <w:tc>
          <w:tcPr>
            <w:tcW w:w="3280" w:type="dxa"/>
            <w:vAlign w:val="bottom"/>
          </w:tcPr>
          <w:p>
            <w:pPr>
              <w:ind w:left="140"/>
              <w:spacing w:after="0"/>
              <w:rPr>
                <w:sz w:val="20"/>
                <w:szCs w:val="20"/>
                <w:color w:val="auto"/>
              </w:rPr>
            </w:pPr>
            <w:r>
              <w:rPr>
                <w:rFonts w:ascii="Arial" w:cs="Arial" w:eastAsia="Arial" w:hAnsi="Arial"/>
                <w:sz w:val="18"/>
                <w:szCs w:val="18"/>
                <w:color w:val="auto"/>
              </w:rPr>
              <w:t>Railroad crossing rights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34"/>
        </w:trPr>
        <w:tc>
          <w:tcPr>
            <w:tcW w:w="3280" w:type="dxa"/>
            <w:vAlign w:val="bottom"/>
            <w:vMerge w:val="restart"/>
          </w:tcPr>
          <w:p>
            <w:pPr>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Affiliate contract expansion - wireless</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455,306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333,498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410,157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304,193</w:t>
            </w: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16,768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15,179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04"/>
        </w:trPr>
        <w:tc>
          <w:tcPr>
            <w:tcW w:w="328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0"/>
                <w:szCs w:val="20"/>
                <w:color w:val="auto"/>
              </w:rPr>
            </w:pPr>
            <w:r>
              <w:rPr>
                <w:rFonts w:ascii="Arial" w:cs="Arial" w:eastAsia="Arial" w:hAnsi="Arial"/>
                <w:sz w:val="18"/>
                <w:szCs w:val="18"/>
                <w:color w:val="auto"/>
              </w:rPr>
              <w:t>Total finite-lived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497,802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(148,740)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349,062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448,988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(132,484)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316,504</w:t>
            </w:r>
          </w:p>
        </w:tc>
        <w:tc>
          <w:tcPr>
            <w:tcW w:w="0" w:type="dxa"/>
            <w:vAlign w:val="bottom"/>
          </w:tcPr>
          <w:p>
            <w:pPr>
              <w:spacing w:after="0"/>
              <w:rPr>
                <w:sz w:val="1"/>
                <w:szCs w:val="1"/>
                <w:color w:val="auto"/>
              </w:rPr>
            </w:pPr>
          </w:p>
        </w:tc>
      </w:tr>
      <w:tr>
        <w:trPr>
          <w:trHeight w:val="264"/>
        </w:trPr>
        <w:tc>
          <w:tcPr>
            <w:tcW w:w="32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562,277</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(148,740)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413,537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513,463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(132,484)</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Affiliate contract expansion is amortized over the expected benefit period and is further reduced by the amount of waived management fees received from Sprint which totaled $69.7 million since May 6, 2016, the date of the non-monetary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Assets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vMerge w:val="restart"/>
          </w:tcPr>
          <w:p>
            <w:pPr>
              <w:ind w:left="16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line="20" w:lineRule="exact"/>
              <w:rPr>
                <w:sz w:val="1"/>
                <w:szCs w:val="1"/>
                <w:color w:val="auto"/>
              </w:rPr>
            </w:pP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color w:val="auto"/>
                <w:w w:val="93"/>
              </w:rPr>
              <w:t>December 31, 2017</w:t>
            </w:r>
          </w:p>
        </w:tc>
        <w:tc>
          <w:tcPr>
            <w:tcW w:w="0" w:type="dxa"/>
            <w:vAlign w:val="bottom"/>
          </w:tcPr>
          <w:p>
            <w:pPr>
              <w:spacing w:after="0" w:line="20" w:lineRule="exact"/>
              <w:rPr>
                <w:sz w:val="1"/>
                <w:szCs w:val="1"/>
                <w:color w:val="auto"/>
              </w:rPr>
            </w:pPr>
          </w:p>
        </w:tc>
      </w:tr>
      <w:tr>
        <w:trPr>
          <w:trHeight w:val="676"/>
        </w:trPr>
        <w:tc>
          <w:tcPr>
            <w:tcW w:w="41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Prepaid rent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0" w:type="dxa"/>
            <w:vAlign w:val="bottom"/>
          </w:tcPr>
          <w:p>
            <w:pPr>
              <w:spacing w:after="0"/>
              <w:rPr>
                <w:sz w:val="1"/>
                <w:szCs w:val="1"/>
                <w:color w:val="auto"/>
              </w:rPr>
            </w:pPr>
          </w:p>
        </w:tc>
      </w:tr>
      <w:tr>
        <w:trPr>
          <w:trHeight w:val="27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Prepaid maintenance expenses</w:t>
            </w:r>
          </w:p>
        </w:tc>
        <w:tc>
          <w:tcPr>
            <w:tcW w:w="2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7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304"/>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Deferred contract and other costs</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57"/>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64,200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8890</wp:posOffset>
            </wp:positionV>
            <wp:extent cx="25984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contract and other costs include amounts reimbursed to Sprint for commissions and device costs, and commissions and installation costs in the Company’s Cable and Wireline segments. The deferred contract and other costs increased due to the adoption of Topic 606. Refer to Note 2, Revenue from Contracts with Customers,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-432435</wp:posOffset>
            </wp:positionV>
            <wp:extent cx="25984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2"/>
                <w:szCs w:val="22"/>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2017</w:t>
            </w:r>
          </w:p>
        </w:tc>
      </w:tr>
      <w:tr>
        <w:trPr>
          <w:trHeight w:val="243"/>
        </w:trPr>
        <w:tc>
          <w:tcPr>
            <w:tcW w:w="412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10,776</w:t>
            </w:r>
          </w:p>
        </w:tc>
      </w:tr>
      <w:tr>
        <w:trPr>
          <w:trHeight w:val="304"/>
        </w:trPr>
        <w:tc>
          <w:tcPr>
            <w:tcW w:w="4120" w:type="dxa"/>
            <w:vAlign w:val="bottom"/>
          </w:tcPr>
          <w:p>
            <w:pPr>
              <w:ind w:left="140"/>
              <w:spacing w:after="0"/>
              <w:rPr>
                <w:sz w:val="20"/>
                <w:szCs w:val="20"/>
                <w:color w:val="auto"/>
              </w:rPr>
            </w:pPr>
            <w:r>
              <w:rPr>
                <w:rFonts w:ascii="Arial" w:cs="Arial" w:eastAsia="Arial" w:hAnsi="Arial"/>
                <w:sz w:val="18"/>
                <w:szCs w:val="18"/>
                <w:color w:val="auto"/>
              </w:rPr>
              <w:t>Deferred contract and other costs</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33,934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8890</wp:posOffset>
            </wp:positionV>
            <wp:extent cx="259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Deferred contract and other costs include amounts reimbursed to Sprint for commissions and device costs, and commissions and installation costs in the Company’s Cable and Wireline segments. The deferred contract and other costs increased due to the adoption of Topic 606. Refer to Note 2, Revenue from Contracts with Customers,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-432435</wp:posOffset>
            </wp:positionV>
            <wp:extent cx="259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2"/>
                <w:szCs w:val="22"/>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2017</w:t>
            </w:r>
          </w:p>
        </w:tc>
      </w:tr>
      <w:tr>
        <w:trPr>
          <w:trHeight w:val="243"/>
        </w:trPr>
        <w:tc>
          <w:tcPr>
            <w:tcW w:w="4120" w:type="dxa"/>
            <w:vAlign w:val="bottom"/>
          </w:tcPr>
          <w:p>
            <w:pPr>
              <w:ind w:left="140"/>
              <w:spacing w:after="0"/>
              <w:rPr>
                <w:sz w:val="20"/>
                <w:szCs w:val="20"/>
                <w:color w:val="auto"/>
              </w:rPr>
            </w:pPr>
            <w:r>
              <w:rPr>
                <w:rFonts w:ascii="Arial" w:cs="Arial" w:eastAsia="Arial" w:hAnsi="Arial"/>
                <w:sz w:val="18"/>
                <w:szCs w:val="18"/>
                <w:color w:val="auto"/>
              </w:rPr>
              <w:t>Sales and property taxes payable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Severance accrual</w:t>
            </w:r>
          </w:p>
        </w:tc>
        <w:tc>
          <w:tcPr>
            <w:tcW w:w="2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2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Accrued programming costs</w:t>
            </w:r>
          </w:p>
        </w:tc>
        <w:tc>
          <w:tcPr>
            <w:tcW w:w="2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304"/>
        </w:trPr>
        <w:tc>
          <w:tcPr>
            <w:tcW w:w="41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r>
      <w:tr>
        <w:trPr>
          <w:trHeight w:val="264"/>
        </w:trPr>
        <w:tc>
          <w:tcPr>
            <w:tcW w:w="4120" w:type="dxa"/>
            <w:vAlign w:val="bottom"/>
          </w:tcPr>
          <w:p>
            <w:pPr>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classified as long-term liabilities, included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2"/>
                <w:szCs w:val="22"/>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2017</w:t>
            </w:r>
          </w:p>
        </w:tc>
      </w:tr>
      <w:tr>
        <w:trPr>
          <w:trHeight w:val="243"/>
        </w:trPr>
        <w:tc>
          <w:tcPr>
            <w:tcW w:w="4120" w:type="dxa"/>
            <w:vAlign w:val="bottom"/>
          </w:tcPr>
          <w:p>
            <w:pPr>
              <w:ind w:left="140"/>
              <w:spacing w:after="0"/>
              <w:rPr>
                <w:sz w:val="20"/>
                <w:szCs w:val="20"/>
                <w:color w:val="auto"/>
              </w:rPr>
            </w:pPr>
            <w:r>
              <w:rPr>
                <w:rFonts w:ascii="Arial" w:cs="Arial" w:eastAsia="Arial" w:hAnsi="Arial"/>
                <w:sz w:val="18"/>
                <w:szCs w:val="18"/>
                <w:color w:val="auto"/>
              </w:rPr>
              <w:t>Non-current portion of deferred revenues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14,030</w:t>
            </w:r>
          </w:p>
        </w:tc>
      </w:tr>
      <w:tr>
        <w:trPr>
          <w:trHeight w:val="304"/>
        </w:trPr>
        <w:tc>
          <w:tcPr>
            <w:tcW w:w="412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64"/>
        </w:trPr>
        <w:tc>
          <w:tcPr>
            <w:tcW w:w="412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asset retirement obligations are included in the balance sheet caption "Asset retirement obligations" and "Accrued liabilities and other". The Company records the fair value of an asset retirement obligation as a liability in the period in which it incurs a legal obligation associated with the retirement and removal of leasehold improvements or equipment. The Company also records a corresponding asset, which is depreciated over the life of the leasehold improvement or equipment. Subsequent to the initial measurement of the asset retirement obligation, the obligation is adjusted at the end of each period to reflect the passage of time and changes in the estimated future cash flows underlying the obligation. The terms associated with its operating leases, and applicable zoning ordinances of certain jurisdictions, define the Company’s obligations which are estimated and vary based on the size of the towers.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debt at March 31, 2018 and December 31, 2017 consists of the following:</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1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vMerge w:val="restart"/>
          </w:tcPr>
          <w:p>
            <w:pPr>
              <w:ind w:left="18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line="20" w:lineRule="exact"/>
              <w:rPr>
                <w:sz w:val="1"/>
                <w:szCs w:val="1"/>
                <w:color w:val="auto"/>
              </w:rPr>
            </w:pP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line="20" w:lineRule="exact"/>
              <w:rPr>
                <w:sz w:val="1"/>
                <w:szCs w:val="1"/>
                <w:color w:val="auto"/>
              </w:rPr>
            </w:pPr>
          </w:p>
        </w:tc>
      </w:tr>
      <w:tr>
        <w:trPr>
          <w:trHeight w:val="676"/>
        </w:trPr>
        <w:tc>
          <w:tcPr>
            <w:tcW w:w="66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Term loan A-1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424,375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436,500</w:t>
            </w:r>
          </w:p>
        </w:tc>
        <w:tc>
          <w:tcPr>
            <w:tcW w:w="0" w:type="dxa"/>
            <w:vAlign w:val="bottom"/>
          </w:tcPr>
          <w:p>
            <w:pPr>
              <w:spacing w:after="0"/>
              <w:rPr>
                <w:sz w:val="1"/>
                <w:szCs w:val="1"/>
                <w:color w:val="auto"/>
              </w:rPr>
            </w:pPr>
          </w:p>
        </w:tc>
      </w:tr>
      <w:tr>
        <w:trPr>
          <w:trHeight w:val="30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Term loan A-2</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824,375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836,500</w:t>
            </w:r>
          </w:p>
        </w:tc>
        <w:tc>
          <w:tcPr>
            <w:tcW w:w="0" w:type="dxa"/>
            <w:vAlign w:val="bottom"/>
          </w:tcPr>
          <w:p>
            <w:pPr>
              <w:spacing w:after="0"/>
              <w:rPr>
                <w:sz w:val="1"/>
                <w:szCs w:val="1"/>
                <w:color w:val="auto"/>
              </w:rPr>
            </w:pPr>
          </w:p>
        </w:tc>
      </w:tr>
      <w:tr>
        <w:trPr>
          <w:trHeight w:val="30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Less: unamortized loan fees</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13,502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26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Total debt, net of unamortized loan fees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810,873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821,958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74,486</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64,397</w:t>
            </w:r>
          </w:p>
        </w:tc>
        <w:tc>
          <w:tcPr>
            <w:tcW w:w="0" w:type="dxa"/>
            <w:vAlign w:val="bottom"/>
          </w:tcPr>
          <w:p>
            <w:pPr>
              <w:spacing w:after="0"/>
              <w:rPr>
                <w:sz w:val="1"/>
                <w:szCs w:val="1"/>
                <w:color w:val="auto"/>
              </w:rPr>
            </w:pPr>
          </w:p>
        </w:tc>
      </w:tr>
      <w:tr>
        <w:trPr>
          <w:trHeight w:val="27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736,387</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757,561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2018, the Company's indebtedness totaled approximately $824.4 million, excluding unamortized loan fees of $13.5 million, with an annualized overall weighted average interest rate of approximately 4.02%. As of March 31, 2018, the Term Loan A-1 bears interest at one-month LIBOR plus a margin of 2.25%, while the Term Loan A-2 bears interest at one-month LIBOR plus a margin of 2.50%. At March 31, 2018, one-month LIBOR was 1.88%. LIBOR resets monthly.</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Term Loan A-1 requires quarterly principal repayments of $6.1 million, which began on September 30, 2016 and continued through June 30, 2017, increasing to $12.1 million quarterly from September 30, 2017 through June 30, 2020; then increasing to $18.2 million quarterly from September 30, 2020 through March 31, 2021, with the remaining balance due June 30, 2021. The Term Loan A-2 requires quarterly principal repayments of $10.0 million beginning on September 30, 2018 through March 31, 2023, with the remaining balance due June 30, 2023.</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2016 credit agreement also required the Company to enter into one or more hedge agreements to manage its exposure to interest rate movements. The Company elected to hedge the minimum required under the 2016 credit agreement, and entered into a pay-fixed, receive-variable swap on 50% of the aggregate expected principal balance of the term loans outstanding. The Company will receive one month LIBOR and pay a fixed rate of 1.16%, in addition to the 2.25% initial spread on Term Loan A-1 and the 2.50% initial spread on Term Loan A-2.</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and its subsidiaries’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Facilities are secured by a pledge by the Company of its stock and membership interests in its subsidiaries, a guarantee by the Company’s subsidiaries other than Shenandoah Telephone Company, and a security interest in substantially all of the assets of the Company and the guarantors.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11" w:lineRule="exact"/>
        <w:rPr>
          <w:sz w:val="20"/>
          <w:szCs w:val="20"/>
          <w:color w:val="auto"/>
        </w:rPr>
      </w:pPr>
    </w:p>
    <w:p>
      <w:pPr>
        <w:ind w:left="660" w:right="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of greater than $25 million. The balance is defined as availability under the revolver facility plus unrestricted cash and cash equivalents on deposit in a deposit account for which a control agreement has been delivered to the administrative agent under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March 31, 2018, the Company was in compliance with the covenants in its credit agreements.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08"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40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40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Leverage Ratio</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Debt Service Coverage Ratio</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Minimum Liquidity Balance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122,834</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Credit Facility Modification: </w:t>
      </w:r>
      <w:r>
        <w:rPr>
          <w:rFonts w:ascii="Arial" w:cs="Arial" w:eastAsia="Arial" w:hAnsi="Arial"/>
          <w:sz w:val="18"/>
          <w:szCs w:val="18"/>
          <w:color w:val="auto"/>
        </w:rPr>
        <w:t>On February 16, 2018, the Company, entered into a Second Amendment to Credit Agreement (the “Second Amendment”)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CoBank, ACB, as administrative agent of its Credit Agreement and the various financial institutions party thereto (the “Lenders”), which modifies the Credit Agreement by (i) reducing the interest rate paid by the Company by approximately 50 basis points with respect to certain loans made by the Lenders to the Company under the Credit Agreement, and (ii) allowing the Company to make charitable contributions to the Shentel Foundation, a Virginia nonstock corporation, of up to $1.5 million in any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2014 are no longer subject to examination; net operating losses acquired in the nTelos acquisition are open to examination from 2002 forward. The Company is not subject to any state or federal income tax audits as of March 31, 2018.</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effective tax rate has fluctuated in recent periods due to the minimal base of pre-tax earnings or losses and has been further impacted by share based compensation tax benefits which are recognized as incurred under the provisions of ASC 740, "Income Taxes".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December 22, 2017, the Tax Cuts and Jobs Act (the “2017 Tax Act”) was enacted, substantially changing the U.S. tax system. The 2017 Tax Act includes a number of changes to existing U.S. tax laws that impact the Company, most notably a reduction of the U.S. corporate income tax rate from 35 percent to 21 percent for tax years beginning after December 31, 2017. The 2017 Tax Act also provides immediate expensing for certain qualified assets acquired and placed into service after September 27, 2017 as well as prospective changes beginning in 2018, including acceleration of tax revenue recognition, additional limitations on deductibility of executive compensation and limitations on the deductibility of interest.</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2017 Tax Act. The Company recognized the income tax effects of the 2017 Tax Act in its 2017 consolidated financial statements in accordance with SAB No. 118.</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2018, the Company is continuing to evaluate the provisional amounts recorded related to the 2017 Tax Act at December 31, 2017, and has not recognized any additional adjustments to such provisional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4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2"/>
                <w:szCs w:val="22"/>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89,759</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28,471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123,538</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Equipment revenues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151,732</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110,398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31,711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151,732</w:t>
            </w:r>
          </w:p>
        </w:tc>
        <w:tc>
          <w:tcPr>
            <w:tcW w:w="0" w:type="dxa"/>
            <w:vAlign w:val="bottom"/>
          </w:tcPr>
          <w:p>
            <w:pPr>
              <w:spacing w:after="0"/>
              <w:rPr>
                <w:sz w:val="1"/>
                <w:szCs w:val="1"/>
                <w:color w:val="auto"/>
              </w:rPr>
            </w:pPr>
          </w:p>
        </w:tc>
      </w:tr>
      <w:tr>
        <w:trPr>
          <w:trHeight w:val="41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Costs of services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Costs of goods sold</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56"/>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Acquisition, integration &amp; migration</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33,925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43,487</w:t>
            </w: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95,537</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26,184</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14,935</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137,384</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14,861</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March 31,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64"/>
        </w:trPr>
        <w:tc>
          <w:tcPr>
            <w:tcW w:w="3100" w:type="dxa"/>
            <w:vAlign w:val="bottom"/>
            <w:gridSpan w:val="2"/>
          </w:tcPr>
          <w:p>
            <w:pPr>
              <w:ind w:left="8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2"/>
                <w:szCs w:val="22"/>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108,186</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26,411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139,645</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Equipment revenues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153,880</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115,463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19,154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153,880</w:t>
            </w:r>
          </w:p>
        </w:tc>
        <w:tc>
          <w:tcPr>
            <w:tcW w:w="0" w:type="dxa"/>
            <w:vAlign w:val="bottom"/>
          </w:tcPr>
          <w:p>
            <w:pPr>
              <w:spacing w:after="0"/>
              <w:rPr>
                <w:sz w:val="1"/>
                <w:szCs w:val="1"/>
                <w:color w:val="auto"/>
              </w:rPr>
            </w:pPr>
          </w:p>
        </w:tc>
      </w:tr>
      <w:tr>
        <w:trPr>
          <w:trHeight w:val="41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Costs of services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48,776</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Costs of goods sold</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7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Selling, general &amp; administrative</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40,153</w:t>
            </w:r>
          </w:p>
        </w:tc>
        <w:tc>
          <w:tcPr>
            <w:tcW w:w="0" w:type="dxa"/>
            <w:vAlign w:val="bottom"/>
          </w:tcPr>
          <w:p>
            <w:pPr>
              <w:spacing w:after="0"/>
              <w:rPr>
                <w:sz w:val="1"/>
                <w:szCs w:val="1"/>
                <w:color w:val="auto"/>
              </w:rPr>
            </w:pPr>
          </w:p>
        </w:tc>
      </w:tr>
      <w:tr>
        <w:trPr>
          <w:trHeight w:val="256"/>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Acquisition, integration &amp; migration</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304"/>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35,752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44,804</w:t>
            </w: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106,326</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25,874</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14,081</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143,207</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9,137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of the reportable segments’ operating income (loss) to consolidated income (loss) before taxes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color w:val="auto"/>
              </w:rPr>
              <w:t>Three Months Ended</w:t>
            </w:r>
          </w:p>
        </w:tc>
      </w:tr>
      <w:tr>
        <w:trPr>
          <w:trHeight w:val="230"/>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20"/>
                <w:szCs w:val="20"/>
                <w:color w:val="auto"/>
              </w:rPr>
            </w:pPr>
          </w:p>
        </w:tc>
      </w:tr>
      <w:tr>
        <w:trPr>
          <w:trHeight w:val="34"/>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2017</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10,673</w:t>
            </w:r>
          </w:p>
        </w:tc>
      </w:tr>
      <w:tr>
        <w:trPr>
          <w:trHeight w:val="270"/>
        </w:trPr>
        <w:tc>
          <w:tcPr>
            <w:tcW w:w="45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(9,100)</w:t>
            </w:r>
          </w:p>
        </w:tc>
      </w:tr>
      <w:tr>
        <w:trPr>
          <w:trHeight w:val="304"/>
        </w:trPr>
        <w:tc>
          <w:tcPr>
            <w:tcW w:w="4500" w:type="dxa"/>
            <w:vAlign w:val="bottom"/>
          </w:tcPr>
          <w:p>
            <w:pPr>
              <w:ind w:left="140"/>
              <w:spacing w:after="0"/>
              <w:rPr>
                <w:sz w:val="20"/>
                <w:szCs w:val="20"/>
                <w:color w:val="auto"/>
              </w:rPr>
            </w:pPr>
            <w:r>
              <w:rPr>
                <w:rFonts w:ascii="Arial" w:cs="Arial" w:eastAsia="Arial" w:hAnsi="Arial"/>
                <w:sz w:val="18"/>
                <w:szCs w:val="18"/>
                <w:color w:val="auto"/>
              </w:rPr>
              <w:t>Non-operating income, net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1,375</w:t>
            </w:r>
          </w:p>
        </w:tc>
      </w:tr>
      <w:tr>
        <w:trPr>
          <w:trHeight w:val="264"/>
        </w:trPr>
        <w:tc>
          <w:tcPr>
            <w:tcW w:w="45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2,948</w:t>
            </w:r>
          </w:p>
        </w:tc>
      </w:tr>
      <w:tr>
        <w:trPr>
          <w:trHeight w:val="20"/>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125" w:right="1440"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2017. The following management’s discussion and analysis should be read in conjunction with the Company’s Annual Report on Form 10-K for its fiscal year ended December 31, 2017, including the consolidated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(the "Company", "we", "our", or "us"), is a diversified telecommunications company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integrated voice, video and data communication services including both regulated and unregulated telecommunications services through its wholly owned subsidiaries. These subsidiaries provide wireless personal communications services as a Sprint PCS affiliate, and local exchange telephone services, video, internet and data services, long distance services, fiber optics facilities and leased tower facilities. We organize and strategically manage our operations under the Company's reportable segments that include: Wireless, Cable, Wireline, and Other. See Note 16,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included with the notes to our consolidated financial statements provided within our 2017 Annual Report on Form 10-K for further information regarding our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effective January 1, 2018, using the modified retrospective method as discussed in Note 2</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xml:space="preserve"> The following table identifies the impact that the application of Topic 606 had on the Company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5797550" cy="3910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391033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80" w:type="dxa"/>
            <w:vAlign w:val="bottom"/>
            <w:tcBorders>
              <w:top w:val="single" w:sz="8" w:color="auto"/>
            </w:tcBorders>
          </w:tcPr>
          <w:p>
            <w:pPr>
              <w:ind w:left="40"/>
              <w:spacing w:after="0"/>
              <w:rPr>
                <w:sz w:val="20"/>
                <w:szCs w:val="20"/>
                <w:color w:val="auto"/>
              </w:rPr>
            </w:pPr>
            <w:r>
              <w:rPr>
                <w:rFonts w:ascii="Arial" w:cs="Arial" w:eastAsia="Arial" w:hAnsi="Arial"/>
                <w:sz w:val="16"/>
                <w:szCs w:val="16"/>
                <w:i w:val="1"/>
                <w:iCs w:val="1"/>
                <w:color w:val="auto"/>
              </w:rPr>
              <w:t>($ in thousands, except per share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3"/>
            <w:vMerge w:val="restart"/>
          </w:tcPr>
          <w:p>
            <w:pPr>
              <w:jc w:val="right"/>
              <w:ind w:right="150"/>
              <w:spacing w:after="0"/>
              <w:rPr>
                <w:sz w:val="20"/>
                <w:szCs w:val="20"/>
                <w:color w:val="auto"/>
              </w:rPr>
            </w:pPr>
            <w:r>
              <w:rPr>
                <w:rFonts w:ascii="Arial" w:cs="Arial" w:eastAsia="Arial" w:hAnsi="Arial"/>
                <w:sz w:val="18"/>
                <w:szCs w:val="18"/>
                <w:b w:val="1"/>
                <w:bCs w:val="1"/>
                <w:color w:val="auto"/>
              </w:rPr>
              <w:t>Topic 606 Impact</w:t>
            </w:r>
          </w:p>
        </w:tc>
        <w:tc>
          <w:tcPr>
            <w:tcW w:w="96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amounts)</w:t>
            </w:r>
          </w:p>
        </w:tc>
        <w:tc>
          <w:tcPr>
            <w:tcW w:w="1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Prior to</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Changes in</w:t>
            </w:r>
          </w:p>
        </w:tc>
        <w:tc>
          <w:tcPr>
            <w:tcW w:w="140" w:type="dxa"/>
            <w:vAlign w:val="bottom"/>
          </w:tcPr>
          <w:p>
            <w:pPr>
              <w:spacing w:after="0"/>
              <w:rPr>
                <w:sz w:val="18"/>
                <w:szCs w:val="18"/>
                <w:color w:val="auto"/>
              </w:rPr>
            </w:pPr>
          </w:p>
        </w:tc>
        <w:tc>
          <w:tcPr>
            <w:tcW w:w="234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4"/>
              </w:rPr>
              <w:t>Equipment   Deferred Costs</w:t>
            </w:r>
          </w:p>
        </w:tc>
        <w:tc>
          <w:tcPr>
            <w:tcW w:w="14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3/31/2018</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89"/>
              </w:rPr>
              <w:t>Adoption of</w:t>
            </w:r>
          </w:p>
        </w:tc>
        <w:tc>
          <w:tcPr>
            <w:tcW w:w="140" w:type="dxa"/>
            <w:vAlign w:val="bottom"/>
          </w:tcPr>
          <w:p>
            <w:pPr>
              <w:spacing w:after="0"/>
              <w:rPr>
                <w:sz w:val="9"/>
                <w:szCs w:val="9"/>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Presentation</w:t>
            </w:r>
          </w:p>
        </w:tc>
        <w:tc>
          <w:tcPr>
            <w:tcW w:w="140" w:type="dxa"/>
            <w:vAlign w:val="bottom"/>
          </w:tcPr>
          <w:p>
            <w:pPr>
              <w:spacing w:after="0"/>
              <w:rPr>
                <w:sz w:val="9"/>
                <w:szCs w:val="9"/>
                <w:color w:val="auto"/>
              </w:rPr>
            </w:pPr>
          </w:p>
        </w:tc>
        <w:tc>
          <w:tcPr>
            <w:tcW w:w="2340" w:type="dxa"/>
            <w:vAlign w:val="bottom"/>
            <w:tcBorders>
              <w:right w:val="single" w:sz="8" w:color="auto"/>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88"/>
              </w:rPr>
              <w:t>Revenue (2)</w:t>
            </w:r>
          </w:p>
        </w:tc>
        <w:tc>
          <w:tcPr>
            <w:tcW w:w="96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9"/>
                <w:szCs w:val="9"/>
                <w:color w:val="auto"/>
              </w:rPr>
            </w:pPr>
          </w:p>
        </w:tc>
        <w:tc>
          <w:tcPr>
            <w:tcW w:w="11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1"/>
              </w:rPr>
              <w:t>As reported</w:t>
            </w: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89"/>
              </w:rPr>
              <w:t>Topic 606</w:t>
            </w:r>
          </w:p>
        </w:tc>
        <w:tc>
          <w:tcPr>
            <w:tcW w:w="140" w:type="dxa"/>
            <w:vAlign w:val="bottom"/>
          </w:tcPr>
          <w:p>
            <w:pPr>
              <w:spacing w:after="0"/>
              <w:rPr>
                <w:sz w:val="10"/>
                <w:szCs w:val="10"/>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1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Service revenues and other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153,812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134,153</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Equipment revenues</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15,520</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140" w:type="dxa"/>
            <w:vAlign w:val="bottom"/>
          </w:tcPr>
          <w:p>
            <w:pPr>
              <w:spacing w:after="0"/>
              <w:rPr>
                <w:sz w:val="20"/>
                <w:szCs w:val="20"/>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155,871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(20,014)</w:t>
            </w:r>
          </w:p>
        </w:tc>
        <w:tc>
          <w:tcPr>
            <w:tcW w:w="14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15,520</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355</w:t>
            </w:r>
          </w:p>
        </w:tc>
        <w:tc>
          <w:tcPr>
            <w:tcW w:w="140" w:type="dxa"/>
            <w:vAlign w:val="bottom"/>
          </w:tcPr>
          <w:p>
            <w:pPr>
              <w:spacing w:after="0"/>
              <w:rPr>
                <w:sz w:val="20"/>
                <w:szCs w:val="20"/>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151,732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49,199</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6,118</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15,520</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42,967</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(14,181)</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43,487</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43,487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20"/>
                <w:szCs w:val="20"/>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141,771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(20,014)</w:t>
            </w:r>
          </w:p>
        </w:tc>
        <w:tc>
          <w:tcPr>
            <w:tcW w:w="14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15,520</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40" w:type="dxa"/>
            <w:vAlign w:val="bottom"/>
          </w:tcPr>
          <w:p>
            <w:pPr>
              <w:spacing w:after="0"/>
              <w:rPr>
                <w:sz w:val="20"/>
                <w:szCs w:val="20"/>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137,384</w:t>
            </w:r>
          </w:p>
        </w:tc>
        <w:tc>
          <w:tcPr>
            <w:tcW w:w="0" w:type="dxa"/>
            <w:vAlign w:val="bottom"/>
          </w:tcPr>
          <w:p>
            <w:pPr>
              <w:spacing w:after="0"/>
              <w:rPr>
                <w:sz w:val="1"/>
                <w:szCs w:val="1"/>
                <w:color w:val="auto"/>
              </w:rPr>
            </w:pPr>
          </w:p>
        </w:tc>
      </w:tr>
      <w:tr>
        <w:trPr>
          <w:trHeight w:val="270"/>
        </w:trPr>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14,100</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3"/>
                <w:szCs w:val="23"/>
                <w:color w:val="auto"/>
              </w:rPr>
            </w:pP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4,829</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w w:val="97"/>
              </w:rPr>
              <w:t>Weighted average shares o/s, basic</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49,474</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49,474</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w w:val="94"/>
              </w:rPr>
              <w:t>Weighted average shares o/s, diluted</w:t>
            </w: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50,024</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50,024</w:t>
            </w: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w:t>
      </w:r>
    </w:p>
    <w:p>
      <w:pPr>
        <w:ind w:left="660" w:right="100" w:hanging="328"/>
        <w:spacing w:after="0" w:line="246"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national commissions, previously recorded in selling, general and administrative, $18.7 million for national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left="660" w:right="440"/>
        <w:spacing w:after="0" w:line="273" w:lineRule="auto"/>
        <w:rPr>
          <w:sz w:val="20"/>
          <w:szCs w:val="20"/>
          <w:color w:val="auto"/>
        </w:rPr>
      </w:pPr>
      <w:r>
        <w:rPr>
          <w:rFonts w:ascii="Arial" w:cs="Arial" w:eastAsia="Arial" w:hAnsi="Arial"/>
          <w:sz w:val="14"/>
          <w:szCs w:val="14"/>
          <w:color w:val="auto"/>
        </w:rPr>
        <w:t>device costs previously recorded in cost of goods and services, and $16.9 million for the on-going service to Sprint's prepaid customers, previously recorded in selling, general and administrative.</w:t>
      </w:r>
    </w:p>
    <w:p>
      <w:pPr>
        <w:spacing w:after="0" w:line="120" w:lineRule="exact"/>
        <w:rPr>
          <w:sz w:val="20"/>
          <w:szCs w:val="20"/>
          <w:color w:val="auto"/>
        </w:rPr>
      </w:pPr>
    </w:p>
    <w:p>
      <w:pPr>
        <w:ind w:left="660" w:right="60" w:hanging="328"/>
        <w:spacing w:after="0" w:line="257"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from device sales is recorded gross as equipment revenue and the device costs are recorded gross and reclassified to cost of goods and services. These amounts were approximately $63.8 million in 2017.</w:t>
      </w:r>
    </w:p>
    <w:p>
      <w:pPr>
        <w:spacing w:after="0" w:line="131" w:lineRule="exact"/>
        <w:rPr>
          <w:rFonts w:ascii="Arial" w:cs="Arial" w:eastAsia="Arial" w:hAnsi="Arial"/>
          <w:sz w:val="14"/>
          <w:szCs w:val="14"/>
          <w:color w:val="auto"/>
        </w:rPr>
      </w:pPr>
    </w:p>
    <w:p>
      <w:pPr>
        <w:ind w:left="660" w:right="120" w:hanging="328"/>
        <w:spacing w:after="0" w:line="252"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are deferred and amortized against revenue over the expected period of benefit of approximately 21 to 24 months. In Cable and Wireline, installation revenues are recognized over a shorter period of benefit. The deferred balance as of March 31, 2018 is approximately $52.9 million and is classified on the balance sheet as current and non-current assets, as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Credit Facility Modification: </w:t>
      </w:r>
      <w:r>
        <w:rPr>
          <w:rFonts w:ascii="Arial" w:cs="Arial" w:eastAsia="Arial" w:hAnsi="Arial"/>
          <w:sz w:val="17"/>
          <w:szCs w:val="17"/>
          <w:color w:val="auto"/>
        </w:rPr>
        <w:t>On February 16, 2018, the Company, entered into a Second Amendment to Credit Agreement (the “Second Amendment”)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CoBank, ACB, as administrative agent of its Credit Agreement, described more fully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and the various financial institutions party thereto (the “Lenders”), which modifies the Credit Agreement by (i) reducing the interest rate paid by the Company by approximately 50 basis points with respect to certain loans made by the Lenders to the Company under the Credit Agreement, and (ii) allowing the Company to make charitable contributions to Shentel Foundation, a Virginia nonstock corporation, of up to $1.5 million in any fiscal year.</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Sprint Territory Expansion: </w:t>
      </w:r>
      <w:r>
        <w:rPr>
          <w:rFonts w:ascii="Arial" w:cs="Arial" w:eastAsia="Arial" w:hAnsi="Arial"/>
          <w:sz w:val="18"/>
          <w:szCs w:val="18"/>
          <w:color w:val="auto"/>
        </w:rPr>
        <w:t>Effective February 1, 2018, we signed the Expansion Agreement with Sprint to expand our wireless service area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areas in Kentucky, Pennsylvania, Virginia and West Virginia, (the “Expansion Area”), effectively adding a population (POPs) of approximately 1.1 million.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us. The Expansion Agreement required a payment of $52.0 million to Sprint for the right to service the Expansion Area pursuant to the Affiliate Agreements plus an additional payment of up to $5.0 million for certain equipment at the Sprint cell sites in the Expansion Area. The option is exercisable at the Company's discretion. A map of our territory, reflecting the new expansion area,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634355" cy="4168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34355"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with the Three Months Ended March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first quarter of 2018 and 2017 are summarized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8"/>
                <w:szCs w:val="18"/>
                <w:color w:val="auto"/>
              </w:rPr>
              <w:t>March 31,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gridSpan w:val="3"/>
          </w:tcPr>
          <w:p>
            <w:pPr>
              <w:ind w:left="940"/>
              <w:spacing w:after="0"/>
              <w:rPr>
                <w:sz w:val="20"/>
                <w:szCs w:val="20"/>
                <w:color w:val="auto"/>
              </w:rPr>
            </w:pPr>
            <w:r>
              <w:rPr>
                <w:rFonts w:ascii="Arial" w:cs="Arial" w:eastAsia="Arial" w:hAnsi="Arial"/>
                <w:sz w:val="18"/>
                <w:szCs w:val="18"/>
                <w:color w:val="auto"/>
              </w:rPr>
              <w:t>Change</w:t>
            </w:r>
          </w:p>
        </w:tc>
        <w:tc>
          <w:tcPr>
            <w:tcW w:w="1100" w:type="dxa"/>
            <w:vAlign w:val="bottom"/>
          </w:tcPr>
          <w:p>
            <w:pPr>
              <w:spacing w:after="0"/>
              <w:rPr>
                <w:sz w:val="20"/>
                <w:szCs w:val="20"/>
                <w:color w:val="auto"/>
              </w:rPr>
            </w:pPr>
          </w:p>
        </w:tc>
      </w:tr>
      <w:tr>
        <w:trPr>
          <w:trHeight w:val="34"/>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4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151,732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153,880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137,384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143,207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106.3</w:t>
            </w: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For the three months ended March 31, 2018, operating revenues decreased $2.1 million, or 1.4% to $151.7 million. Excluding the impacts of adopting Topic 606 revenues would have increased $2.0 million, driven by the Cable and Wireline operations, partially offset by Wireless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Total operating expenses decreased $5.8 million or 4.1% to $137.4 million in the three months ended March 31, 2018 compared with $143.2 million in the prior year period. Excluding the impacts of adopting Topic 606, operating expenses would have decreased $1.4 million, primarily due to the elimination of the 2017 acquisition, integration and migration costs related to the completion of the transformation of the nTelos network.</w:t>
      </w:r>
    </w:p>
    <w:p>
      <w:pPr>
        <w:spacing w:after="0" w:line="1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Additionally, our Other segment includes the Company's stock compensation expense for 2018. In prior years this expense was allocated among the Company's operating segments. Stock compensation expense for the three months ended March 31, 2018 was approximately $2.0 million compared with approximately $1.6 million for the three months ended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expense increased primarily as a result of the incremental borrowings associated with the funding of the Company's strategic initiatives and the effect of increases in the London Interbank Offered Rate ("LIBOR"). The impact of the LIBOR rate increases have been partially offset by an amendment to the Credit Facility Agreement that reduced the base rate of the Credit Facility by 50 basis points.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has decreased $0.4 million primarily as a result of lower interest income derived from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During the three months ended March 31, 2018, income tax expense was approximately $1.2 million, compared with $0.6 million for the three months ended March 31, 2017. Our income tax expense increased consistent with the increase in income before taxes. The Company’s effective tax rate decreased</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from 20.6% in 2017 to 19.6% in 2018. The decrease in the effective tax rate is primarily attributable to the changes in federal tax regulations related to the 2017 Tax Act that was enacted during December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Wireless earns revenues from Sprint for their postpaid and prepaid subscribers usage of our Wireless network in our Wireless network coverage area, net of customer credits, account write offs and other billing adjustments.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impact of Topic 606 on the Company's Wireless operations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565775" cy="2229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5775" cy="222948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40" w:type="dxa"/>
            <w:vAlign w:val="bottom"/>
          </w:tcPr>
          <w:p>
            <w:pPr>
              <w:ind w:left="40"/>
              <w:spacing w:after="0"/>
              <w:rPr>
                <w:sz w:val="20"/>
                <w:szCs w:val="20"/>
                <w:color w:val="auto"/>
              </w:rPr>
            </w:pPr>
            <w:r>
              <w:rPr>
                <w:rFonts w:ascii="Arial" w:cs="Arial" w:eastAsia="Arial" w:hAnsi="Arial"/>
                <w:sz w:val="20"/>
                <w:szCs w:val="20"/>
                <w:i w:val="1"/>
                <w:iCs w:val="1"/>
                <w:color w:val="auto"/>
              </w:rPr>
              <w:t>($ in thousands)</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80" w:type="dxa"/>
            <w:vAlign w:val="bottom"/>
            <w:gridSpan w:val="4"/>
          </w:tcPr>
          <w:p>
            <w:pPr>
              <w:jc w:val="center"/>
              <w:ind w:right="10"/>
              <w:spacing w:after="0"/>
              <w:rPr>
                <w:sz w:val="20"/>
                <w:szCs w:val="20"/>
                <w:color w:val="auto"/>
              </w:rPr>
            </w:pPr>
            <w:r>
              <w:rPr>
                <w:rFonts w:ascii="Arial" w:cs="Arial" w:eastAsia="Arial" w:hAnsi="Arial"/>
                <w:sz w:val="20"/>
                <w:szCs w:val="20"/>
                <w:b w:val="1"/>
                <w:bCs w:val="1"/>
                <w:color w:val="auto"/>
                <w:w w:val="89"/>
              </w:rPr>
              <w:t>Topic 606 Impact - Wireless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Prior to</w:t>
            </w:r>
          </w:p>
        </w:tc>
        <w:tc>
          <w:tcPr>
            <w:tcW w:w="140" w:type="dxa"/>
            <w:vAlign w:val="bottom"/>
          </w:tcPr>
          <w:p>
            <w:pPr>
              <w:spacing w:after="0"/>
              <w:rPr>
                <w:sz w:val="18"/>
                <w:szCs w:val="18"/>
                <w:color w:val="auto"/>
              </w:rPr>
            </w:pPr>
          </w:p>
        </w:tc>
        <w:tc>
          <w:tcPr>
            <w:tcW w:w="1100" w:type="dxa"/>
            <w:vAlign w:val="bottom"/>
          </w:tcPr>
          <w:p>
            <w:pPr>
              <w:jc w:val="center"/>
              <w:ind w:right="29"/>
              <w:spacing w:after="0"/>
              <w:rPr>
                <w:sz w:val="20"/>
                <w:szCs w:val="20"/>
                <w:color w:val="auto"/>
              </w:rPr>
            </w:pPr>
            <w:r>
              <w:rPr>
                <w:rFonts w:ascii="Arial" w:cs="Arial" w:eastAsia="Arial" w:hAnsi="Arial"/>
                <w:sz w:val="18"/>
                <w:szCs w:val="18"/>
                <w:b w:val="1"/>
                <w:bCs w:val="1"/>
                <w:color w:val="auto"/>
                <w:w w:val="88"/>
              </w:rPr>
              <w:t>Changes in</w:t>
            </w:r>
          </w:p>
        </w:tc>
        <w:tc>
          <w:tcPr>
            <w:tcW w:w="120" w:type="dxa"/>
            <w:vAlign w:val="bottom"/>
          </w:tcPr>
          <w:p>
            <w:pPr>
              <w:spacing w:after="0"/>
              <w:rPr>
                <w:sz w:val="18"/>
                <w:szCs w:val="18"/>
                <w:color w:val="auto"/>
              </w:rPr>
            </w:pPr>
          </w:p>
        </w:tc>
        <w:tc>
          <w:tcPr>
            <w:tcW w:w="12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2"/>
              </w:rPr>
              <w:t>Equipment</w:t>
            </w: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7"/>
              </w:rPr>
              <w:t>Deferred</w:t>
            </w:r>
          </w:p>
        </w:tc>
        <w:tc>
          <w:tcPr>
            <w:tcW w:w="140" w:type="dxa"/>
            <w:vAlign w:val="bottom"/>
          </w:tcPr>
          <w:p>
            <w:pPr>
              <w:spacing w:after="0"/>
              <w:rPr>
                <w:sz w:val="18"/>
                <w:szCs w:val="18"/>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3/31/2018</w:t>
            </w: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Adoption of</w:t>
            </w:r>
          </w:p>
        </w:tc>
        <w:tc>
          <w:tcPr>
            <w:tcW w:w="140" w:type="dxa"/>
            <w:vAlign w:val="bottom"/>
          </w:tcPr>
          <w:p>
            <w:pPr>
              <w:spacing w:after="0"/>
              <w:rPr>
                <w:sz w:val="9"/>
                <w:szCs w:val="9"/>
                <w:color w:val="auto"/>
              </w:rPr>
            </w:pPr>
          </w:p>
        </w:tc>
        <w:tc>
          <w:tcPr>
            <w:tcW w:w="1100" w:type="dxa"/>
            <w:vAlign w:val="bottom"/>
            <w:vMerge w:val="restart"/>
          </w:tcPr>
          <w:p>
            <w:pPr>
              <w:jc w:val="center"/>
              <w:ind w:right="49"/>
              <w:spacing w:after="0"/>
              <w:rPr>
                <w:sz w:val="20"/>
                <w:szCs w:val="20"/>
                <w:color w:val="auto"/>
              </w:rPr>
            </w:pPr>
            <w:r>
              <w:rPr>
                <w:rFonts w:ascii="Arial" w:cs="Arial" w:eastAsia="Arial" w:hAnsi="Arial"/>
                <w:sz w:val="18"/>
                <w:szCs w:val="18"/>
                <w:b w:val="1"/>
                <w:bCs w:val="1"/>
                <w:color w:val="auto"/>
                <w:w w:val="88"/>
              </w:rPr>
              <w:t>Presentation</w:t>
            </w: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0"/>
              </w:rPr>
              <w:t>Revenue (2)</w:t>
            </w: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Costs (3)</w:t>
            </w:r>
          </w:p>
        </w:tc>
        <w:tc>
          <w:tcPr>
            <w:tcW w:w="140" w:type="dxa"/>
            <w:vAlign w:val="bottom"/>
          </w:tcPr>
          <w:p>
            <w:pPr>
              <w:spacing w:after="0"/>
              <w:rPr>
                <w:sz w:val="9"/>
                <w:szCs w:val="9"/>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As reported</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Topic 606</w:t>
            </w:r>
          </w:p>
        </w:tc>
        <w:tc>
          <w:tcPr>
            <w:tcW w:w="140" w:type="dxa"/>
            <w:vAlign w:val="bottom"/>
          </w:tcPr>
          <w:p>
            <w:pPr>
              <w:spacing w:after="0"/>
              <w:rPr>
                <w:sz w:val="10"/>
                <w:szCs w:val="10"/>
                <w:color w:val="auto"/>
              </w:rPr>
            </w:pPr>
          </w:p>
        </w:tc>
        <w:tc>
          <w:tcPr>
            <w:tcW w:w="1100" w:type="dxa"/>
            <w:vAlign w:val="bottom"/>
            <w:vMerge w:val="restart"/>
          </w:tcPr>
          <w:p>
            <w:pPr>
              <w:jc w:val="center"/>
              <w:ind w:right="29"/>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Service revenues and other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112,683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(20,014)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93,024</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Equipment revenues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23"/>
                <w:szCs w:val="23"/>
                <w:color w:val="auto"/>
              </w:rPr>
            </w:pP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15,520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114,537</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(20,014)</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15,520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110,398</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33,750</w:t>
            </w:r>
          </w:p>
        </w:tc>
        <w:tc>
          <w:tcPr>
            <w:tcW w:w="140" w:type="dxa"/>
            <w:vAlign w:val="bottom"/>
          </w:tcPr>
          <w:p>
            <w:pPr>
              <w:spacing w:after="0"/>
              <w:rPr>
                <w:sz w:val="23"/>
                <w:szCs w:val="23"/>
                <w:color w:val="auto"/>
              </w:rPr>
            </w:pP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6,040</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(5,833)</w:t>
            </w:r>
          </w:p>
        </w:tc>
        <w:tc>
          <w:tcPr>
            <w:tcW w:w="1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15,520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15,727</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26,316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(14,181)</w:t>
            </w:r>
          </w:p>
        </w:tc>
        <w:tc>
          <w:tcPr>
            <w:tcW w:w="1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33,925</w:t>
            </w:r>
          </w:p>
        </w:tc>
        <w:tc>
          <w:tcPr>
            <w:tcW w:w="140" w:type="dxa"/>
            <w:vAlign w:val="bottom"/>
          </w:tcPr>
          <w:p>
            <w:pPr>
              <w:spacing w:after="0"/>
              <w:rPr>
                <w:sz w:val="23"/>
                <w:szCs w:val="23"/>
                <w:color w:val="auto"/>
              </w:rPr>
            </w:pP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33,925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100,031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(20,014)</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15,520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95,537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14,506</w:t>
            </w:r>
          </w:p>
        </w:tc>
        <w:tc>
          <w:tcPr>
            <w:tcW w:w="140" w:type="dxa"/>
            <w:vAlign w:val="bottom"/>
          </w:tcPr>
          <w:p>
            <w:pPr>
              <w:spacing w:after="0"/>
              <w:rPr>
                <w:sz w:val="20"/>
                <w:szCs w:val="20"/>
                <w:color w:val="auto"/>
              </w:rPr>
            </w:pP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14,861</w:t>
            </w:r>
          </w:p>
        </w:tc>
        <w:tc>
          <w:tcPr>
            <w:tcW w:w="0" w:type="dxa"/>
            <w:vAlign w:val="bottom"/>
          </w:tcPr>
          <w:p>
            <w:pPr>
              <w:spacing w:after="0"/>
              <w:rPr>
                <w:sz w:val="1"/>
                <w:szCs w:val="1"/>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w:t>
      </w:r>
    </w:p>
    <w:p>
      <w:pPr>
        <w:ind w:left="660" w:right="80" w:hanging="328"/>
        <w:spacing w:after="0" w:line="245" w:lineRule="auto"/>
        <w:tabs>
          <w:tab w:leader="none" w:pos="492"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right="60" w:hanging="328"/>
        <w:spacing w:after="0" w:line="257" w:lineRule="auto"/>
        <w:tabs>
          <w:tab w:leader="none" w:pos="492"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from device sales is recorded gross as equipment revenue and the device costs are recorded gross and reclassified to cost of goods and services. These amounts were approximately $63.8 million in 2017.</w:t>
      </w:r>
    </w:p>
    <w:p>
      <w:pPr>
        <w:spacing w:after="0" w:line="131" w:lineRule="exact"/>
        <w:rPr>
          <w:rFonts w:ascii="Arial" w:cs="Arial" w:eastAsia="Arial" w:hAnsi="Arial"/>
          <w:sz w:val="14"/>
          <w:szCs w:val="14"/>
          <w:color w:val="auto"/>
        </w:rPr>
      </w:pPr>
    </w:p>
    <w:p>
      <w:pPr>
        <w:ind w:left="660" w:right="120" w:hanging="328"/>
        <w:spacing w:after="0" w:line="257" w:lineRule="auto"/>
        <w:tabs>
          <w:tab w:leader="none" w:pos="492"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are deferred and amortized against revenue over the expected period of benefit of approximately 21 to 24 months. The deferred balance as of March 31, 2018 is approximately $43.2 million and is classified on the balance sheet as current and non-current assets,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Under our amended affiliate agreement, Sprint agreed to waive the Management Fees charged on both postpaid and prepaid revenues, up to approximately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$4.2 million per month, until the total amount waived reaches approximately $255.6 million, which is expected to occur in 2022. The cash flow savings of the waived management fee waiver has been incorporated into the fair value of the affiliate contract expansion intangible, which is reduced, in part, as credits are received from Sprint.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 as of the dates shown: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20" w:type="dxa"/>
            <w:vAlign w:val="bottom"/>
            <w:gridSpan w:val="2"/>
          </w:tcPr>
          <w:p>
            <w:pPr>
              <w:ind w:left="420"/>
              <w:spacing w:after="0"/>
              <w:rPr>
                <w:sz w:val="20"/>
                <w:szCs w:val="20"/>
                <w:color w:val="auto"/>
              </w:rPr>
            </w:pPr>
            <w:r>
              <w:rPr>
                <w:rFonts w:ascii="Arial" w:cs="Arial" w:eastAsia="Arial" w:hAnsi="Arial"/>
                <w:sz w:val="18"/>
                <w:szCs w:val="18"/>
                <w:color w:val="auto"/>
              </w:rPr>
              <w:t>March 31,</w:t>
            </w:r>
          </w:p>
        </w:tc>
        <w:tc>
          <w:tcPr>
            <w:tcW w:w="170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March 31,</w:t>
            </w:r>
          </w:p>
        </w:tc>
        <w:tc>
          <w:tcPr>
            <w:tcW w:w="1560" w:type="dxa"/>
            <w:vAlign w:val="bottom"/>
          </w:tcPr>
          <w:p>
            <w:pPr>
              <w:spacing w:after="0"/>
              <w:rPr>
                <w:sz w:val="18"/>
                <w:szCs w:val="18"/>
                <w:color w:val="auto"/>
              </w:rPr>
            </w:pPr>
          </w:p>
        </w:tc>
      </w:tr>
      <w:tr>
        <w:trPr>
          <w:trHeight w:val="264"/>
        </w:trPr>
        <w:tc>
          <w:tcPr>
            <w:tcW w:w="4780" w:type="dxa"/>
            <w:vAlign w:val="bottom"/>
          </w:tcPr>
          <w:p>
            <w:pPr>
              <w:spacing w:after="0"/>
              <w:rPr>
                <w:sz w:val="22"/>
                <w:szCs w:val="22"/>
                <w:color w:val="auto"/>
              </w:rPr>
            </w:pPr>
          </w:p>
        </w:tc>
        <w:tc>
          <w:tcPr>
            <w:tcW w:w="1580" w:type="dxa"/>
            <w:vAlign w:val="bottom"/>
            <w:tcBorders>
              <w:bottom w:val="single" w:sz="8" w:color="auto"/>
            </w:tcBorders>
          </w:tcPr>
          <w:p>
            <w:pPr>
              <w:jc w:val="right"/>
              <w:ind w:right="430"/>
              <w:spacing w:after="0" w:line="257"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1580" w:type="dxa"/>
            <w:vAlign w:val="bottom"/>
            <w:tcBorders>
              <w:bottom w:val="single" w:sz="8" w:color="auto"/>
            </w:tcBorders>
          </w:tcPr>
          <w:p>
            <w:pPr>
              <w:jc w:val="right"/>
              <w:ind w:right="430"/>
              <w:spacing w:after="0" w:line="257" w:lineRule="exact"/>
              <w:rPr>
                <w:sz w:val="20"/>
                <w:szCs w:val="20"/>
                <w:color w:val="auto"/>
              </w:rPr>
            </w:pPr>
            <w:r>
              <w:rPr>
                <w:rFonts w:ascii="Arial" w:cs="Arial" w:eastAsia="Arial" w:hAnsi="Arial"/>
                <w:sz w:val="18"/>
                <w:szCs w:val="18"/>
                <w:color w:val="auto"/>
              </w:rPr>
              <w:t xml:space="preserve">2017 </w:t>
            </w:r>
            <w:r>
              <w:rPr>
                <w:rFonts w:ascii="Arial" w:cs="Arial" w:eastAsia="Arial" w:hAnsi="Arial"/>
                <w:sz w:val="25"/>
                <w:szCs w:val="25"/>
                <w:color w:val="auto"/>
                <w:vertAlign w:val="superscript"/>
              </w:rPr>
              <w:t>(4)</w:t>
            </w: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December 31, 2016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Retail PCS Subscribers – Postpaid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774,861</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736,597</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717,150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722,562</w:t>
            </w:r>
          </w:p>
        </w:tc>
      </w:tr>
      <w:tr>
        <w:trPr>
          <w:trHeight w:val="310"/>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Retail PCS Subscribers – Prepaid </w:t>
            </w:r>
            <w:r>
              <w:rPr>
                <w:rFonts w:ascii="Arial" w:cs="Arial" w:eastAsia="Arial" w:hAnsi="Arial"/>
                <w:sz w:val="25"/>
                <w:szCs w:val="25"/>
                <w:color w:val="auto"/>
                <w:vertAlign w:val="superscript"/>
              </w:rPr>
              <w:t>(1)</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250,191</w:t>
            </w:r>
          </w:p>
        </w:tc>
        <w:tc>
          <w:tcPr>
            <w:tcW w:w="14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225,822</w:t>
            </w: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214,771</w:t>
            </w:r>
          </w:p>
        </w:tc>
        <w:tc>
          <w:tcPr>
            <w:tcW w:w="1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206,672</w:t>
            </w:r>
          </w:p>
        </w:tc>
      </w:tr>
      <w:tr>
        <w:trPr>
          <w:trHeight w:val="270"/>
        </w:trPr>
        <w:tc>
          <w:tcPr>
            <w:tcW w:w="4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PCS Market POPS (000) </w:t>
            </w:r>
            <w:r>
              <w:rPr>
                <w:rFonts w:ascii="Arial" w:cs="Arial" w:eastAsia="Arial" w:hAnsi="Arial"/>
                <w:sz w:val="25"/>
                <w:szCs w:val="25"/>
                <w:color w:val="auto"/>
                <w:vertAlign w:val="superscript"/>
              </w:rPr>
              <w:t>(2)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7,023</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5,536</w:t>
            </w:r>
          </w:p>
        </w:tc>
      </w:tr>
      <w:tr>
        <w:trPr>
          <w:trHeight w:val="270"/>
        </w:trPr>
        <w:tc>
          <w:tcPr>
            <w:tcW w:w="4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PCS Covered POPS (000) </w:t>
            </w:r>
            <w:r>
              <w:rPr>
                <w:rFonts w:ascii="Arial" w:cs="Arial" w:eastAsia="Arial" w:hAnsi="Arial"/>
                <w:sz w:val="25"/>
                <w:szCs w:val="25"/>
                <w:color w:val="auto"/>
                <w:vertAlign w:val="superscript"/>
              </w:rPr>
              <w:t>(2)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5,889</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4,807</w:t>
            </w: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color w:val="auto"/>
              </w:rPr>
              <w:t>CDMA Base Stations (sites)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1,742</w:t>
            </w:r>
          </w:p>
        </w:tc>
        <w:tc>
          <w:tcPr>
            <w:tcW w:w="1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1,467</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142"/>
        </w:trPr>
        <w:tc>
          <w:tcPr>
            <w:tcW w:w="478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ind w:left="660" w:hanging="328"/>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September 2017, the Company is no longer including Lifeline subscribers to be consistent with Sprint's policy. Historical customer counts have been adjusted accordingly.</w:t>
      </w:r>
    </w:p>
    <w:p>
      <w:pPr>
        <w:spacing w:after="0" w:line="12" w:lineRule="exact"/>
        <w:rPr>
          <w:rFonts w:ascii="Arial" w:cs="Arial" w:eastAsia="Arial" w:hAnsi="Arial"/>
          <w:sz w:val="13"/>
          <w:szCs w:val="13"/>
          <w:color w:val="auto"/>
        </w:rPr>
      </w:pPr>
    </w:p>
    <w:p>
      <w:pPr>
        <w:ind w:left="660" w:right="40" w:hanging="328"/>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As of December 31, 2017, the data source for POPS is U.S. census data. Historical periods previously referred to other third party population data and have been recast to refer to U.S. census data.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Beginning March 31, 2018 includes Richmond Expansion Area.</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Beginning December 31, 2017 includes Parkersburg Expansion Area.</w:t>
      </w:r>
    </w:p>
    <w:p>
      <w:pPr>
        <w:spacing w:after="0" w:line="330"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5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22860</wp:posOffset>
            </wp:positionV>
            <wp:extent cx="21094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947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2017</w:t>
            </w:r>
          </w:p>
        </w:tc>
      </w:tr>
      <w:tr>
        <w:trPr>
          <w:trHeight w:val="34"/>
        </w:trPr>
        <w:tc>
          <w:tcPr>
            <w:tcW w:w="4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Gross PCS Subscriber Additions – Postpaid</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81,420</w:t>
            </w:r>
          </w:p>
        </w:tc>
        <w:tc>
          <w:tcPr>
            <w:tcW w:w="10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38,701</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Net PCS Subscriber Additions (Losses) – Postpaid</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38,264</w:t>
            </w:r>
          </w:p>
        </w:tc>
        <w:tc>
          <w:tcPr>
            <w:tcW w:w="100" w:type="dxa"/>
            <w:vAlign w:val="bottom"/>
          </w:tcPr>
          <w:p>
            <w:pPr>
              <w:spacing w:after="0"/>
              <w:rPr>
                <w:sz w:val="23"/>
                <w:szCs w:val="23"/>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(5,412)</w:t>
            </w:r>
          </w:p>
        </w:tc>
      </w:tr>
      <w:tr>
        <w:trPr>
          <w:trHeight w:val="310"/>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Gross PCS Subscriber Additions – Prepaid </w:t>
            </w:r>
            <w:r>
              <w:rPr>
                <w:rFonts w:ascii="Arial" w:cs="Arial" w:eastAsia="Arial" w:hAnsi="Arial"/>
                <w:sz w:val="25"/>
                <w:szCs w:val="25"/>
                <w:color w:val="auto"/>
                <w:vertAlign w:val="superscript"/>
              </w:rPr>
              <w:t>(1)</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55,802</w:t>
            </w:r>
          </w:p>
        </w:tc>
        <w:tc>
          <w:tcPr>
            <w:tcW w:w="100" w:type="dxa"/>
            <w:vAlign w:val="bottom"/>
          </w:tcPr>
          <w:p>
            <w:pPr>
              <w:spacing w:after="0"/>
              <w:rPr>
                <w:sz w:val="24"/>
                <w:szCs w:val="24"/>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39,445</w:t>
            </w:r>
          </w:p>
        </w:tc>
      </w:tr>
      <w:tr>
        <w:trPr>
          <w:trHeight w:val="270"/>
        </w:trPr>
        <w:tc>
          <w:tcPr>
            <w:tcW w:w="4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PCS Subscriber Additions (Losses) – Prepaid </w:t>
            </w:r>
            <w:r>
              <w:rPr>
                <w:rFonts w:ascii="Arial" w:cs="Arial" w:eastAsia="Arial" w:hAnsi="Arial"/>
                <w:sz w:val="25"/>
                <w:szCs w:val="25"/>
                <w:color w:val="auto"/>
                <w:vertAlign w:val="superscript"/>
              </w:rPr>
              <w:t>(1)</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24,369</w:t>
            </w:r>
          </w:p>
        </w:tc>
        <w:tc>
          <w:tcPr>
            <w:tcW w:w="100" w:type="dxa"/>
            <w:vAlign w:val="bottom"/>
          </w:tcPr>
          <w:p>
            <w:pPr>
              <w:spacing w:after="0"/>
              <w:rPr>
                <w:sz w:val="23"/>
                <w:szCs w:val="23"/>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8,099</w:t>
            </w:r>
          </w:p>
        </w:tc>
      </w:tr>
      <w:tr>
        <w:trPr>
          <w:trHeight w:val="270"/>
        </w:trPr>
        <w:tc>
          <w:tcPr>
            <w:tcW w:w="4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PCS Average Monthly Retail Churn % - Postpaid </w:t>
            </w:r>
            <w:r>
              <w:rPr>
                <w:rFonts w:ascii="Arial" w:cs="Arial" w:eastAsia="Arial" w:hAnsi="Arial"/>
                <w:sz w:val="25"/>
                <w:szCs w:val="25"/>
                <w:color w:val="auto"/>
                <w:vertAlign w:val="superscript"/>
              </w:rPr>
              <w:t>(2)</w:t>
            </w:r>
          </w:p>
        </w:tc>
        <w:tc>
          <w:tcPr>
            <w:tcW w:w="16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48"/>
        </w:trPr>
        <w:tc>
          <w:tcPr>
            <w:tcW w:w="4780" w:type="dxa"/>
            <w:vAlign w:val="bottom"/>
          </w:tcPr>
          <w:p>
            <w:pPr>
              <w:ind w:left="40"/>
              <w:spacing w:after="0" w:line="247" w:lineRule="exact"/>
              <w:rPr>
                <w:sz w:val="20"/>
                <w:szCs w:val="20"/>
                <w:color w:val="auto"/>
              </w:rPr>
            </w:pPr>
            <w:r>
              <w:rPr>
                <w:rFonts w:ascii="Arial" w:cs="Arial" w:eastAsia="Arial" w:hAnsi="Arial"/>
                <w:sz w:val="18"/>
                <w:szCs w:val="18"/>
                <w:color w:val="auto"/>
              </w:rPr>
              <w:t xml:space="preserve">PCS Average Monthly Retail Churn % - Prepaid </w:t>
            </w:r>
            <w:r>
              <w:rPr>
                <w:rFonts w:ascii="Arial" w:cs="Arial" w:eastAsia="Arial" w:hAnsi="Arial"/>
                <w:sz w:val="25"/>
                <w:szCs w:val="25"/>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125"/>
        </w:trPr>
        <w:tc>
          <w:tcPr>
            <w:tcW w:w="4780" w:type="dxa"/>
            <w:vAlign w:val="bottom"/>
          </w:tcPr>
          <w:p>
            <w:pPr>
              <w:spacing w:after="0" w:line="125" w:lineRule="exact"/>
              <w:rPr>
                <w:sz w:val="20"/>
                <w:szCs w:val="20"/>
                <w:color w:val="auto"/>
              </w:rPr>
            </w:pPr>
            <w:r>
              <w:rPr>
                <w:rFonts w:ascii="Arial" w:cs="Arial" w:eastAsia="Arial" w:hAnsi="Arial"/>
                <w:sz w:val="11"/>
                <w:szCs w:val="11"/>
                <w:color w:val="auto"/>
              </w:rPr>
              <w:t>_______________________________________________________</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r>
    </w:tbl>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is no longer including Lifeline subscribers to be consistent with Sprint's policy. Historical customer counts and churn % have been adjusted accordingly.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PCS Average Monthly Retail Churn is the average of the monthly subscriber turnover, or churn, calculations for the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statistics shown above include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2018</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April 6, 2017</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May 6, 2016</w:t>
            </w:r>
          </w:p>
        </w:tc>
        <w:tc>
          <w:tcPr>
            <w:tcW w:w="0" w:type="dxa"/>
            <w:vAlign w:val="bottom"/>
          </w:tcPr>
          <w:p>
            <w:pPr>
              <w:spacing w:after="0"/>
              <w:rPr>
                <w:sz w:val="1"/>
                <w:szCs w:val="1"/>
                <w:color w:val="auto"/>
              </w:rPr>
            </w:pPr>
          </w:p>
        </w:tc>
      </w:tr>
      <w:tr>
        <w:trPr>
          <w:trHeight w:val="34"/>
        </w:trPr>
        <w:tc>
          <w:tcPr>
            <w:tcW w:w="38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Richmond Expansion Area</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Parkersburg Expansion</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Area</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nTelos Area</w:t>
            </w:r>
          </w:p>
        </w:tc>
        <w:tc>
          <w:tcPr>
            <w:tcW w:w="0" w:type="dxa"/>
            <w:vAlign w:val="bottom"/>
          </w:tcPr>
          <w:p>
            <w:pPr>
              <w:spacing w:after="0"/>
              <w:rPr>
                <w:sz w:val="1"/>
                <w:szCs w:val="1"/>
                <w:color w:val="auto"/>
              </w:rPr>
            </w:pPr>
          </w:p>
        </w:tc>
      </w:tr>
      <w:tr>
        <w:trPr>
          <w:trHeight w:val="34"/>
        </w:trPr>
        <w:tc>
          <w:tcPr>
            <w:tcW w:w="3860" w:type="dxa"/>
            <w:vAlign w:val="bottom"/>
            <w:vMerge w:val="restart"/>
          </w:tcPr>
          <w:p>
            <w:pPr>
              <w:ind w:left="40"/>
              <w:spacing w:after="0"/>
              <w:rPr>
                <w:sz w:val="20"/>
                <w:szCs w:val="20"/>
                <w:color w:val="auto"/>
              </w:rPr>
            </w:pPr>
            <w:r>
              <w:rPr>
                <w:rFonts w:ascii="Arial" w:cs="Arial" w:eastAsia="Arial" w:hAnsi="Arial"/>
                <w:sz w:val="18"/>
                <w:szCs w:val="18"/>
                <w:color w:val="auto"/>
              </w:rPr>
              <w:t>PCS Subscribers - Postpaid</w:t>
            </w: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38,343</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404,965</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PCS Subscribers - Prepaid</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15,691</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5,962</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154,944</w:t>
            </w:r>
          </w:p>
        </w:tc>
        <w:tc>
          <w:tcPr>
            <w:tcW w:w="0" w:type="dxa"/>
            <w:vAlign w:val="bottom"/>
          </w:tcPr>
          <w:p>
            <w:pPr>
              <w:spacing w:after="0"/>
              <w:rPr>
                <w:sz w:val="1"/>
                <w:szCs w:val="1"/>
                <w:color w:val="auto"/>
              </w:rPr>
            </w:pPr>
          </w:p>
        </w:tc>
      </w:tr>
      <w:tr>
        <w:trPr>
          <w:trHeight w:val="310"/>
        </w:trPr>
        <w:tc>
          <w:tcPr>
            <w:tcW w:w="3860" w:type="dxa"/>
            <w:vAlign w:val="bottom"/>
          </w:tcPr>
          <w:p>
            <w:pPr>
              <w:ind w:left="40"/>
              <w:spacing w:after="0"/>
              <w:rPr>
                <w:sz w:val="20"/>
                <w:szCs w:val="20"/>
                <w:color w:val="auto"/>
              </w:rPr>
            </w:pPr>
            <w:r>
              <w:rPr>
                <w:rFonts w:ascii="Arial" w:cs="Arial" w:eastAsia="Arial" w:hAnsi="Arial"/>
                <w:sz w:val="18"/>
                <w:szCs w:val="18"/>
                <w:color w:val="auto"/>
              </w:rPr>
              <w:t xml:space="preserve">Acquired PCS Market POPS (000) </w:t>
            </w:r>
            <w:r>
              <w:rPr>
                <w:rFonts w:ascii="Arial" w:cs="Arial" w:eastAsia="Arial" w:hAnsi="Arial"/>
                <w:sz w:val="25"/>
                <w:szCs w:val="25"/>
                <w:color w:val="auto"/>
                <w:vertAlign w:val="superscript"/>
              </w:rPr>
              <w:t>(1)</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Acquired PCS Covered POPS (000) </w:t>
            </w:r>
            <w:r>
              <w:rPr>
                <w:rFonts w:ascii="Arial" w:cs="Arial" w:eastAsia="Arial" w:hAnsi="Arial"/>
                <w:sz w:val="25"/>
                <w:szCs w:val="25"/>
                <w:color w:val="auto"/>
                <w:vertAlign w:val="superscript"/>
              </w:rPr>
              <w:t>(1)</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Acquired CDMA Base Stations (sites) </w:t>
            </w:r>
            <w:r>
              <w:rPr>
                <w:rFonts w:ascii="Arial" w:cs="Arial" w:eastAsia="Arial" w:hAnsi="Arial"/>
                <w:sz w:val="25"/>
                <w:szCs w:val="25"/>
                <w:color w:val="auto"/>
                <w:vertAlign w:val="superscript"/>
              </w:rPr>
              <w:t>(2)</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8"/>
                <w:szCs w:val="18"/>
                <w:color w:val="auto"/>
              </w:rPr>
              <w:t>Towers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right="540" w:hanging="328"/>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March 31, 2018 we have shut down 107 overlap sites associated with the nTelos Area.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Assurance subscribers.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w w:val="93"/>
              </w:rPr>
              <w:t>Three Months Ended March 31, 2018 Compared with the Three Months Ended March 31, 2017</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restart"/>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80" w:type="dxa"/>
            <w:vAlign w:val="bottom"/>
            <w:vMerge w:val="restart"/>
          </w:tcPr>
          <w:p>
            <w:pPr>
              <w:ind w:left="40"/>
              <w:spacing w:after="0"/>
              <w:rPr>
                <w:sz w:val="20"/>
                <w:szCs w:val="20"/>
                <w:color w:val="auto"/>
              </w:rPr>
            </w:pPr>
            <w:r>
              <w:rPr>
                <w:rFonts w:ascii="Arial" w:cs="Arial" w:eastAsia="Arial" w:hAnsi="Arial"/>
                <w:sz w:val="18"/>
                <w:szCs w:val="18"/>
                <w:color w:val="auto"/>
              </w:rPr>
              <w:t>Wireless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89,759</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108,186</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7"/>
        </w:trPr>
        <w:tc>
          <w:tcPr>
            <w:tcW w:w="6080" w:type="dxa"/>
            <w:vAlign w:val="bottom"/>
          </w:tcPr>
          <w:p>
            <w:pPr>
              <w:ind w:left="380"/>
              <w:spacing w:after="0"/>
              <w:rPr>
                <w:sz w:val="20"/>
                <w:szCs w:val="20"/>
                <w:color w:val="auto"/>
              </w:rPr>
            </w:pPr>
            <w:r>
              <w:rPr>
                <w:rFonts w:ascii="Arial" w:cs="Arial" w:eastAsia="Arial" w:hAnsi="Arial"/>
                <w:sz w:val="18"/>
                <w:szCs w:val="18"/>
                <w:color w:val="auto"/>
              </w:rPr>
              <w:t>Total Wireless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110,398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115,463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Wireless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Cost of goods and services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38,318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28,464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Acquisition, integration and migration expenses</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33,925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35,752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7"/>
        </w:trPr>
        <w:tc>
          <w:tcPr>
            <w:tcW w:w="6080" w:type="dxa"/>
            <w:vAlign w:val="bottom"/>
          </w:tcPr>
          <w:p>
            <w:pPr>
              <w:ind w:left="380"/>
              <w:spacing w:after="0"/>
              <w:rPr>
                <w:sz w:val="20"/>
                <w:szCs w:val="20"/>
                <w:color w:val="auto"/>
              </w:rPr>
            </w:pPr>
            <w:r>
              <w:rPr>
                <w:rFonts w:ascii="Arial" w:cs="Arial" w:eastAsia="Arial" w:hAnsi="Arial"/>
                <w:sz w:val="18"/>
                <w:szCs w:val="18"/>
                <w:color w:val="auto"/>
              </w:rPr>
              <w:t>Total Wireless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95,537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106,326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Wireless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14,861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9,137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Wireless operating revenues decreased $5.1 million or 4.4% for the three months ended March 31, 2018, compared with the three months ended March 31, 2017, primarily due to the adoption of Topic 606. Excluding the impacts of Topic 606, wireless revenues decreased $0.9 million. This decrease was driven by a decline in average revenue per subscriber, offset by an increase in Sprint customers, including the new territory acquired from Sprint. The decline in average revenue per subscriber was driven by additional discounts and promotions.</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result of the adoption of Topic 606 and in the three months ended March 31, 2018, wireless service revenues were reduced by approximately $20.0 million of expenses payable to Sprint, our customer, related to the reimbursement to Sprint for costs incurred in their national sales channel for commissions and device costs, and to provide ongoing support to their prepaid customers in our territory. Commissions were previously recorded as expenses within selling, general and administrative. Additionally, we recorded $15.5 million of equipment revenue and cost of goods sold for the sale of devices under Sprint’s device financing and lease programs. Equipment costs were historically netted and presented within equipment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additional detail in the settlement with Sprint impacting service revenues.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3"/>
          </w:tcPr>
          <w:p>
            <w:pPr>
              <w:ind w:left="68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1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restart"/>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160" w:type="dxa"/>
            <w:vAlign w:val="bottom"/>
            <w:vMerge w:val="restart"/>
          </w:tcPr>
          <w:p>
            <w:pPr>
              <w:ind w:left="40"/>
              <w:spacing w:after="0"/>
              <w:rPr>
                <w:sz w:val="20"/>
                <w:szCs w:val="20"/>
                <w:color w:val="auto"/>
              </w:rPr>
            </w:pPr>
            <w:r>
              <w:rPr>
                <w:rFonts w:ascii="Arial" w:cs="Arial" w:eastAsia="Arial" w:hAnsi="Arial"/>
                <w:sz w:val="18"/>
                <w:szCs w:val="18"/>
                <w:color w:val="auto"/>
              </w:rPr>
              <w:t>Wireless Service 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160" w:type="dxa"/>
            <w:vAlign w:val="bottom"/>
          </w:tcPr>
          <w:p>
            <w:pPr>
              <w:ind w:left="180"/>
              <w:spacing w:after="0"/>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93,290</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92,989</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61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Amortization of deferred contract &amp; other costs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04"/>
        </w:trPr>
        <w:tc>
          <w:tcPr>
            <w:tcW w:w="6160" w:type="dxa"/>
            <w:vAlign w:val="bottom"/>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6160" w:type="dxa"/>
            <w:vAlign w:val="bottom"/>
          </w:tcPr>
          <w:p>
            <w:pPr>
              <w:ind w:left="12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71,064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78,406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580"/>
        </w:trPr>
        <w:tc>
          <w:tcPr>
            <w:tcW w:w="6160" w:type="dxa"/>
            <w:vAlign w:val="bottom"/>
          </w:tcPr>
          <w:p>
            <w:pPr>
              <w:ind w:left="180"/>
              <w:spacing w:after="0"/>
              <w:rPr>
                <w:sz w:val="20"/>
                <w:szCs w:val="20"/>
                <w:color w:val="auto"/>
              </w:rPr>
            </w:pPr>
            <w:r>
              <w:rPr>
                <w:rFonts w:ascii="Arial" w:cs="Arial" w:eastAsia="Arial" w:hAnsi="Arial"/>
                <w:sz w:val="18"/>
                <w:szCs w:val="18"/>
                <w:color w:val="auto"/>
              </w:rPr>
              <w:t xml:space="preserve">Prepaid net billings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26,341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25,202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61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Amortization of deferred contract &amp; other costs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160" w:type="dxa"/>
            <w:vAlign w:val="bottom"/>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160" w:type="dxa"/>
            <w:vAlign w:val="bottom"/>
          </w:tcPr>
          <w:p>
            <w:pPr>
              <w:ind w:left="12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23,645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574"/>
        </w:trPr>
        <w:tc>
          <w:tcPr>
            <w:tcW w:w="6160" w:type="dxa"/>
            <w:vAlign w:val="bottom"/>
          </w:tcPr>
          <w:p>
            <w:pPr>
              <w:ind w:left="180"/>
              <w:spacing w:after="0"/>
              <w:rPr>
                <w:sz w:val="20"/>
                <w:szCs w:val="20"/>
                <w:color w:val="auto"/>
              </w:rPr>
            </w:pPr>
            <w:r>
              <w:rPr>
                <w:rFonts w:ascii="Arial" w:cs="Arial" w:eastAsia="Arial" w:hAnsi="Arial"/>
                <w:sz w:val="18"/>
                <w:szCs w:val="18"/>
                <w:color w:val="auto"/>
              </w:rPr>
              <w:t>Travel and other revenues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4"/>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89,759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108,186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41"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660" w:right="420" w:hanging="328"/>
        <w:spacing w:after="0" w:line="241"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includes Lifeline subscribers revenue within travel and other revenues to be consistent with Sprint. The above table reflects the reclassification of the related Assurance Wireless prepaid revenue from prepaid gross billings to travel and other revenues for the three months ended March 31, 2017.</w:t>
      </w:r>
    </w:p>
    <w:p>
      <w:pPr>
        <w:ind w:left="660" w:right="80" w:hanging="328"/>
        <w:spacing w:after="0" w:line="248" w:lineRule="auto"/>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Due to the adoption of Topic 606, costs reimbursed to Sprint for commission and acquisition cost incurred in their national sales channel are recorded as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spacing w:after="0" w:line="14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decline in postpaid service revenue was primarily the result of the reclassification of approximately $6.9 million of costs reimbursed to Sprint for commissions and acquisition costs incurred in their national sales channel which were previously classified as operating expenses, driven by the adoption of Topic 606. Excluding the impact of Topic 606, postpaid service revenues would have decreased $0.5 million. The decrease in postpaid service revenue was due to a decline in postpaid in Sprint’s average revenue per postpaid customer that was driven by discounts and promotions. Postpaid service revenue was further reduced by approximately $0.8 million due to an increase in net service fee as nTelos subscribers were migrated to Sprint’s billing and back-office systems. The migration of these subscribers resulted in the elimination of costs to run the nTelos back office system which were recorded in selling, general and administrative. Partially offsetting these impacts was an increase in subscribers of 57 thousand subscribers as a result of the acquired territories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decline in prepaid service revenues was primarily the result of the reclassification of approximately $12.8 million of costs reimbursed to Sprint for expenses commissions and acquisition costs incurred in their national sales channel and costs to support their subscriber base, which were previously classified as operating expenses, driven to the adoption of Topic 606. Excluding the impact of Topic 606, prepaid service revenues would have increased $1.0 million. This increase in service revenue was driven by an increase in subscribers of 35 thousand, including 21 thousand in the acquired territories.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Cost of goods and services increased $11.2 million, or 29.1%, in the first quarter of 2018 compared with the first quarter of 2017. Excluding the impact of the adoption of Topic 606, the increase would have been $1.5 million. The increase results primarily from additional network costs related to the completion of our 4G roll-out and the expansion of our wireless network coverage area.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Selling, general and administrative costs decreased $16.3 million, or 57.4%, in the first quarter of 2018 from the comparable 2017 period primarily due to the reclassification of approximately $14.2 million of commissions and subscriber acquisition costs to reductions of revenue as required by the adoption of Topic</w:t>
      </w:r>
    </w:p>
    <w:p>
      <w:pPr>
        <w:spacing w:after="0" w:line="1" w:lineRule="exact"/>
        <w:rPr>
          <w:sz w:val="20"/>
          <w:szCs w:val="20"/>
          <w:color w:val="auto"/>
        </w:rPr>
      </w:pPr>
    </w:p>
    <w:p>
      <w:pPr>
        <w:ind w:right="120" w:firstLine="8"/>
        <w:spacing w:after="0" w:line="261"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the impact of Topic 606, the decrease would have been $2.1 million and was primarily due to a reduction of back office expenses required to support former nTelos subscribers that migrated to the Sprint back office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integration and migration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Acquisition and integration costs were not incurred during the three months ended March 31, 2018, as the completion of integration and migration activities related to the acquisition of nTelos was completed during 2017. Acquisition, integration and migration costs primarily consisted of costs for handsets provided to nTelos subscribers who required a new phone to transition to the Sprint billing platform, and personnel costs associated with nTelos employees retained on a short-term basis who were necessary in the efforts required to migrate former nTelos customers to the Sprint back-office billing platform. Acquisition, integration and migration costs for the three months ended March 31, 2017 were approximately $6.3 million, and were comprised of $2.6 million classified as cost of goods and services and selling, general and administrative and approximately $3.7 million classified as acquisition, integration and migration.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Depreciation and amortization decreased $1.8 million, or 5.1%, in the first quarter of 2018 over the comparable 2017 period, as assets acquired in the nTelos acquisition were retired.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Cable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Wireline.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Cable, as of the dates shown: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40" w:type="dxa"/>
            <w:vAlign w:val="bottom"/>
            <w:gridSpan w:val="2"/>
          </w:tcPr>
          <w:p>
            <w:pPr>
              <w:ind w:left="440"/>
              <w:spacing w:after="0"/>
              <w:rPr>
                <w:sz w:val="20"/>
                <w:szCs w:val="20"/>
                <w:color w:val="auto"/>
              </w:rPr>
            </w:pPr>
            <w:r>
              <w:rPr>
                <w:rFonts w:ascii="Arial" w:cs="Arial" w:eastAsia="Arial" w:hAnsi="Arial"/>
                <w:sz w:val="18"/>
                <w:szCs w:val="18"/>
                <w:color w:val="auto"/>
              </w:rPr>
              <w:t>March 31,</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December 31,</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rPr>
              <w:t>March 31,</w:t>
            </w:r>
          </w:p>
        </w:tc>
        <w:tc>
          <w:tcPr>
            <w:tcW w:w="162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94"/>
              </w:rPr>
              <w:t>December 31, 2016</w:t>
            </w:r>
          </w:p>
        </w:tc>
      </w:tr>
      <w:tr>
        <w:trPr>
          <w:trHeight w:val="34"/>
        </w:trPr>
        <w:tc>
          <w:tcPr>
            <w:tcW w:w="46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3"/>
        </w:trPr>
        <w:tc>
          <w:tcPr>
            <w:tcW w:w="462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Homes Passed </w:t>
            </w:r>
            <w:r>
              <w:rPr>
                <w:rFonts w:ascii="Arial" w:cs="Arial" w:eastAsia="Arial" w:hAnsi="Arial"/>
                <w:sz w:val="25"/>
                <w:szCs w:val="25"/>
                <w:color w:val="auto"/>
                <w:vertAlign w:val="superscript"/>
              </w:rPr>
              <w:t>(1)</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184,975</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2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184,819</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184,710</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5"/>
                <w:szCs w:val="25"/>
                <w:color w:val="auto"/>
                <w:vertAlign w:val="superscript"/>
              </w:rPr>
              <w:t>(2)</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Video users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43,264</w:t>
            </w:r>
          </w:p>
        </w:tc>
        <w:tc>
          <w:tcPr>
            <w:tcW w:w="1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44,269</w:t>
            </w:r>
          </w:p>
        </w:tc>
        <w:tc>
          <w:tcPr>
            <w:tcW w:w="12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47,160</w:t>
            </w:r>
          </w:p>
        </w:tc>
        <w:tc>
          <w:tcPr>
            <w:tcW w:w="1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48,512</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35,133</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33,559</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30,765</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28,854</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Total customer relationships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78,397</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77,828</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77,925</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77,366</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Video</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310"/>
        </w:trPr>
        <w:tc>
          <w:tcPr>
            <w:tcW w:w="4620" w:type="dxa"/>
            <w:vAlign w:val="bottom"/>
          </w:tcPr>
          <w:p>
            <w:pPr>
              <w:ind w:left="180"/>
              <w:spacing w:after="0"/>
              <w:rPr>
                <w:sz w:val="20"/>
                <w:szCs w:val="20"/>
                <w:color w:val="auto"/>
              </w:rPr>
            </w:pPr>
            <w:r>
              <w:rPr>
                <w:rFonts w:ascii="Arial" w:cs="Arial" w:eastAsia="Arial" w:hAnsi="Arial"/>
                <w:sz w:val="18"/>
                <w:szCs w:val="18"/>
                <w:color w:val="auto"/>
              </w:rPr>
              <w:t xml:space="preserve">Users </w:t>
            </w:r>
            <w:r>
              <w:rPr>
                <w:rFonts w:ascii="Arial" w:cs="Arial" w:eastAsia="Arial" w:hAnsi="Arial"/>
                <w:sz w:val="25"/>
                <w:szCs w:val="25"/>
                <w:color w:val="auto"/>
                <w:vertAlign w:val="superscript"/>
              </w:rPr>
              <w:t>(3)</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45,555</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46,613</w:t>
            </w:r>
          </w:p>
        </w:tc>
        <w:tc>
          <w:tcPr>
            <w:tcW w:w="12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49,384</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50,618</w:t>
            </w: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Penetration </w:t>
            </w:r>
            <w:r>
              <w:rPr>
                <w:rFonts w:ascii="Arial" w:cs="Arial" w:eastAsia="Arial" w:hAnsi="Arial"/>
                <w:sz w:val="25"/>
                <w:szCs w:val="25"/>
                <w:color w:val="auto"/>
                <w:vertAlign w:val="superscript"/>
              </w:rPr>
              <w:t>(4)</w:t>
            </w:r>
          </w:p>
        </w:tc>
        <w:tc>
          <w:tcPr>
            <w:tcW w:w="16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Digital video penetration </w:t>
            </w:r>
            <w:r>
              <w:rPr>
                <w:rFonts w:ascii="Arial" w:cs="Arial" w:eastAsia="Arial" w:hAnsi="Arial"/>
                <w:sz w:val="25"/>
                <w:szCs w:val="25"/>
                <w:color w:val="auto"/>
                <w:vertAlign w:val="superscript"/>
              </w:rPr>
              <w:t>(5)</w:t>
            </w:r>
          </w:p>
        </w:tc>
        <w:tc>
          <w:tcPr>
            <w:tcW w:w="16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0"/>
        </w:trPr>
        <w:tc>
          <w:tcPr>
            <w:tcW w:w="4620" w:type="dxa"/>
            <w:vAlign w:val="bottom"/>
          </w:tcPr>
          <w:p>
            <w:pPr>
              <w:ind w:left="180"/>
              <w:spacing w:after="0"/>
              <w:rPr>
                <w:sz w:val="20"/>
                <w:szCs w:val="20"/>
                <w:color w:val="auto"/>
              </w:rPr>
            </w:pPr>
            <w:r>
              <w:rPr>
                <w:rFonts w:ascii="Arial" w:cs="Arial" w:eastAsia="Arial" w:hAnsi="Arial"/>
                <w:sz w:val="18"/>
                <w:szCs w:val="18"/>
                <w:color w:val="auto"/>
              </w:rPr>
              <w:t xml:space="preserve">Available Homes </w:t>
            </w:r>
            <w:r>
              <w:rPr>
                <w:rFonts w:ascii="Arial" w:cs="Arial" w:eastAsia="Arial" w:hAnsi="Arial"/>
                <w:sz w:val="25"/>
                <w:szCs w:val="25"/>
                <w:color w:val="auto"/>
                <w:vertAlign w:val="superscript"/>
              </w:rPr>
              <w:t>(6)</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184,975</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2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183,935</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183,826</w:t>
            </w: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Users </w:t>
            </w:r>
            <w:r>
              <w:rPr>
                <w:rFonts w:ascii="Arial" w:cs="Arial" w:eastAsia="Arial" w:hAnsi="Arial"/>
                <w:sz w:val="25"/>
                <w:szCs w:val="25"/>
                <w:color w:val="auto"/>
                <w:vertAlign w:val="superscript"/>
              </w:rPr>
              <w:t>(3)</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65,141</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63,918</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61,815</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60,495</w:t>
            </w: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Penetration </w:t>
            </w:r>
            <w:r>
              <w:rPr>
                <w:rFonts w:ascii="Arial" w:cs="Arial" w:eastAsia="Arial" w:hAnsi="Arial"/>
                <w:sz w:val="25"/>
                <w:szCs w:val="25"/>
                <w:color w:val="auto"/>
                <w:vertAlign w:val="superscript"/>
              </w:rPr>
              <w:t>(4)</w:t>
            </w:r>
          </w:p>
        </w:tc>
        <w:tc>
          <w:tcPr>
            <w:tcW w:w="162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Voice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0"/>
        </w:trPr>
        <w:tc>
          <w:tcPr>
            <w:tcW w:w="4620" w:type="dxa"/>
            <w:vAlign w:val="bottom"/>
          </w:tcPr>
          <w:p>
            <w:pPr>
              <w:ind w:left="180"/>
              <w:spacing w:after="0"/>
              <w:rPr>
                <w:sz w:val="20"/>
                <w:szCs w:val="20"/>
                <w:color w:val="auto"/>
              </w:rPr>
            </w:pPr>
            <w:r>
              <w:rPr>
                <w:rFonts w:ascii="Arial" w:cs="Arial" w:eastAsia="Arial" w:hAnsi="Arial"/>
                <w:sz w:val="18"/>
                <w:szCs w:val="18"/>
                <w:color w:val="auto"/>
              </w:rPr>
              <w:t xml:space="preserve">Available Homes </w:t>
            </w:r>
            <w:r>
              <w:rPr>
                <w:rFonts w:ascii="Arial" w:cs="Arial" w:eastAsia="Arial" w:hAnsi="Arial"/>
                <w:sz w:val="25"/>
                <w:szCs w:val="25"/>
                <w:color w:val="auto"/>
                <w:vertAlign w:val="superscript"/>
              </w:rPr>
              <w:t>(6)</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184,975</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182,379</w:t>
            </w:r>
          </w:p>
        </w:tc>
        <w:tc>
          <w:tcPr>
            <w:tcW w:w="12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181,198</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181,089</w:t>
            </w: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Users </w:t>
            </w:r>
            <w:r>
              <w:rPr>
                <w:rFonts w:ascii="Arial" w:cs="Arial" w:eastAsia="Arial" w:hAnsi="Arial"/>
                <w:sz w:val="25"/>
                <w:szCs w:val="25"/>
                <w:color w:val="auto"/>
                <w:vertAlign w:val="superscript"/>
              </w:rPr>
              <w:t>(3)</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22,743</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22,555</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21,647</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21,352</w:t>
            </w: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Penetration </w:t>
            </w:r>
            <w:r>
              <w:rPr>
                <w:rFonts w:ascii="Arial" w:cs="Arial" w:eastAsia="Arial" w:hAnsi="Arial"/>
                <w:sz w:val="25"/>
                <w:szCs w:val="25"/>
                <w:color w:val="auto"/>
                <w:vertAlign w:val="superscript"/>
              </w:rPr>
              <w:t>(4)</w:t>
            </w:r>
          </w:p>
        </w:tc>
        <w:tc>
          <w:tcPr>
            <w:tcW w:w="16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Total Revenue Generating Units </w:t>
            </w:r>
            <w:r>
              <w:rPr>
                <w:rFonts w:ascii="Arial" w:cs="Arial" w:eastAsia="Arial" w:hAnsi="Arial"/>
                <w:sz w:val="25"/>
                <w:szCs w:val="25"/>
                <w:color w:val="auto"/>
                <w:vertAlign w:val="superscript"/>
              </w:rPr>
              <w:t>(7)</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133,439</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133,086</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132,846</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132,465</w:t>
            </w: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3,137</w:t>
            </w:r>
          </w:p>
        </w:tc>
      </w:tr>
      <w:tr>
        <w:trPr>
          <w:trHeight w:val="310"/>
        </w:trPr>
        <w:tc>
          <w:tcPr>
            <w:tcW w:w="4620" w:type="dxa"/>
            <w:vAlign w:val="bottom"/>
          </w:tcPr>
          <w:p>
            <w:pPr>
              <w:ind w:left="40"/>
              <w:spacing w:after="0"/>
              <w:rPr>
                <w:sz w:val="20"/>
                <w:szCs w:val="20"/>
                <w:color w:val="auto"/>
              </w:rPr>
            </w:pPr>
            <w:r>
              <w:rPr>
                <w:rFonts w:ascii="Arial" w:cs="Arial" w:eastAsia="Arial" w:hAnsi="Arial"/>
                <w:sz w:val="18"/>
                <w:szCs w:val="18"/>
                <w:color w:val="auto"/>
              </w:rPr>
              <w:t xml:space="preserve">Total Fiber Miles </w:t>
            </w:r>
            <w:r>
              <w:rPr>
                <w:rFonts w:ascii="Arial" w:cs="Arial" w:eastAsia="Arial" w:hAnsi="Arial"/>
                <w:sz w:val="25"/>
                <w:szCs w:val="25"/>
                <w:color w:val="auto"/>
                <w:vertAlign w:val="superscript"/>
              </w:rPr>
              <w:t>(8)</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124,701</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122,011</w:t>
            </w:r>
          </w:p>
        </w:tc>
        <w:tc>
          <w:tcPr>
            <w:tcW w:w="12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100,799</w:t>
            </w: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92,615</w:t>
            </w: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color w:val="auto"/>
              </w:rPr>
              <w:t>Average Revenue Generating Units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132,865</w:t>
            </w:r>
          </w:p>
        </w:tc>
        <w:tc>
          <w:tcPr>
            <w:tcW w:w="1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132,759</w:t>
            </w:r>
          </w:p>
        </w:tc>
        <w:tc>
          <w:tcPr>
            <w:tcW w:w="12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132,419</w:t>
            </w:r>
          </w:p>
        </w:tc>
        <w:tc>
          <w:tcPr>
            <w:tcW w:w="12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131,218</w:t>
            </w:r>
          </w:p>
        </w:tc>
      </w:tr>
      <w:tr>
        <w:trPr>
          <w:trHeight w:val="142"/>
        </w:trPr>
        <w:tc>
          <w:tcPr>
            <w:tcW w:w="46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r>
    </w:tbl>
    <w:p>
      <w:pPr>
        <w:ind w:left="660" w:right="380" w:hanging="328"/>
        <w:spacing w:after="0" w:line="255"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24" w:lineRule="exact"/>
        <w:rPr>
          <w:rFonts w:ascii="Arial" w:cs="Arial" w:eastAsia="Arial" w:hAnsi="Arial"/>
          <w:sz w:val="14"/>
          <w:szCs w:val="14"/>
          <w:color w:val="auto"/>
        </w:rPr>
      </w:pPr>
    </w:p>
    <w:p>
      <w:pPr>
        <w:ind w:left="480" w:hanging="148"/>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55" w:lineRule="exact"/>
        <w:rPr>
          <w:rFonts w:ascii="Arial" w:cs="Arial" w:eastAsia="Arial" w:hAnsi="Arial"/>
          <w:sz w:val="14"/>
          <w:szCs w:val="14"/>
          <w:color w:val="auto"/>
        </w:rPr>
      </w:pPr>
    </w:p>
    <w:p>
      <w:pPr>
        <w:ind w:left="660" w:hanging="328"/>
        <w:spacing w:after="0" w:line="257"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3" w:lineRule="exact"/>
        <w:rPr>
          <w:rFonts w:ascii="Arial" w:cs="Arial" w:eastAsia="Arial" w:hAnsi="Arial"/>
          <w:sz w:val="14"/>
          <w:szCs w:val="14"/>
          <w:color w:val="auto"/>
        </w:rPr>
      </w:pPr>
    </w:p>
    <w:p>
      <w:pPr>
        <w:ind w:left="480" w:hanging="148"/>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55" w:lineRule="exact"/>
        <w:rPr>
          <w:rFonts w:ascii="Arial" w:cs="Arial" w:eastAsia="Arial" w:hAnsi="Arial"/>
          <w:sz w:val="14"/>
          <w:szCs w:val="14"/>
          <w:color w:val="auto"/>
        </w:rPr>
      </w:pPr>
    </w:p>
    <w:p>
      <w:pPr>
        <w:ind w:left="660" w:right="100" w:hanging="328"/>
        <w:spacing w:after="0" w:line="273"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spacing w:after="0" w:line="11" w:lineRule="exact"/>
        <w:rPr>
          <w:rFonts w:ascii="Arial" w:cs="Arial" w:eastAsia="Arial" w:hAnsi="Arial"/>
          <w:sz w:val="14"/>
          <w:szCs w:val="14"/>
          <w:color w:val="auto"/>
        </w:rPr>
      </w:pPr>
    </w:p>
    <w:p>
      <w:pPr>
        <w:ind w:left="660" w:right="260" w:hanging="328"/>
        <w:spacing w:after="0" w:line="273"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spacing w:after="0" w:line="11" w:lineRule="exact"/>
        <w:rPr>
          <w:rFonts w:ascii="Arial" w:cs="Arial" w:eastAsia="Arial" w:hAnsi="Arial"/>
          <w:sz w:val="14"/>
          <w:szCs w:val="14"/>
          <w:color w:val="auto"/>
        </w:rPr>
      </w:pPr>
    </w:p>
    <w:p>
      <w:pPr>
        <w:ind w:left="480" w:hanging="148"/>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users.</w:t>
      </w:r>
    </w:p>
    <w:p>
      <w:pPr>
        <w:spacing w:after="0" w:line="55" w:lineRule="exact"/>
        <w:rPr>
          <w:rFonts w:ascii="Arial" w:cs="Arial" w:eastAsia="Arial" w:hAnsi="Arial"/>
          <w:sz w:val="14"/>
          <w:szCs w:val="14"/>
          <w:color w:val="auto"/>
        </w:rPr>
      </w:pPr>
    </w:p>
    <w:p>
      <w:pPr>
        <w:ind w:left="660" w:hanging="328"/>
        <w:spacing w:after="0" w:line="273"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w w:val="93"/>
              </w:rPr>
              <w:t>Three Months Ended March 31, 2018 Compared with the Three Months Ended March 31, 2017</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Cable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28,471</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26,411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Cable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31,711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29,013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Cable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15,228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Cable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26,184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25,874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Cable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Cable service revenues increased approximately $2.1 million, or 7.8%, for the three months ended March 31, 2018, compared with the three months ended March 31, 2017, primarily due to increases in high speed data and voice subscribers, video rate increases, and customers selecting or upgrading to higher-speed data access packages.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approximately $0.6 million, primarily due to new fiber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Cable cost of goods and services for the three months ended March 31, 2018, remained consistent with the comparable 2017 period.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for the three months ended March 31, 2018, remained consistent with the comparable 2017 period.</w:t>
      </w:r>
    </w:p>
    <w:p>
      <w:pPr>
        <w:spacing w:after="0" w:line="2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Wireline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Wireline provides regulated and unregulated voice services, DSL internet access, and long distance access services throughout Shenandoah County and portions of Rockingham, Frederick, Warren and Augusta counties, Virginia. Also, Wireline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20" w:type="dxa"/>
            <w:vAlign w:val="bottom"/>
            <w:gridSpan w:val="2"/>
          </w:tcPr>
          <w:p>
            <w:pPr>
              <w:ind w:left="420"/>
              <w:spacing w:after="0"/>
              <w:rPr>
                <w:sz w:val="20"/>
                <w:szCs w:val="20"/>
                <w:color w:val="auto"/>
              </w:rPr>
            </w:pPr>
            <w:r>
              <w:rPr>
                <w:rFonts w:ascii="Arial" w:cs="Arial" w:eastAsia="Arial" w:hAnsi="Arial"/>
                <w:sz w:val="18"/>
                <w:szCs w:val="18"/>
                <w:color w:val="auto"/>
              </w:rPr>
              <w:t>March 31,</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1560" w:type="dxa"/>
            <w:vAlign w:val="bottom"/>
            <w:gridSpan w:val="2"/>
          </w:tcPr>
          <w:p>
            <w:pPr>
              <w:ind w:left="360"/>
              <w:spacing w:after="0"/>
              <w:rPr>
                <w:sz w:val="20"/>
                <w:szCs w:val="20"/>
                <w:color w:val="auto"/>
              </w:rPr>
            </w:pPr>
            <w:r>
              <w:rPr>
                <w:rFonts w:ascii="Arial" w:cs="Arial" w:eastAsia="Arial" w:hAnsi="Arial"/>
                <w:sz w:val="18"/>
                <w:szCs w:val="18"/>
                <w:color w:val="auto"/>
              </w:rPr>
              <w:t>March 31,</w:t>
            </w:r>
          </w:p>
        </w:tc>
        <w:tc>
          <w:tcPr>
            <w:tcW w:w="156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w w:val="92"/>
              </w:rPr>
              <w:t>December 31, 2016</w:t>
            </w:r>
          </w:p>
        </w:tc>
      </w:tr>
      <w:tr>
        <w:trPr>
          <w:trHeight w:val="34"/>
        </w:trPr>
        <w:tc>
          <w:tcPr>
            <w:tcW w:w="47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Telephone Access Lines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17,765</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17,933</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18,443</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8,980</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9,134</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9,149</w:t>
            </w:r>
          </w:p>
        </w:tc>
      </w:tr>
      <w:tr>
        <w:trPr>
          <w:trHeight w:val="310"/>
        </w:trPr>
        <w:tc>
          <w:tcPr>
            <w:tcW w:w="4760" w:type="dxa"/>
            <w:vAlign w:val="bottom"/>
          </w:tcPr>
          <w:p>
            <w:pPr>
              <w:ind w:left="40"/>
              <w:spacing w:after="0"/>
              <w:rPr>
                <w:sz w:val="20"/>
                <w:szCs w:val="20"/>
                <w:color w:val="auto"/>
              </w:rPr>
            </w:pPr>
            <w:r>
              <w:rPr>
                <w:rFonts w:ascii="Arial" w:cs="Arial" w:eastAsia="Arial" w:hAnsi="Arial"/>
                <w:sz w:val="18"/>
                <w:szCs w:val="18"/>
                <w:color w:val="auto"/>
              </w:rPr>
              <w:t xml:space="preserve">Video Customers </w:t>
            </w:r>
            <w:r>
              <w:rPr>
                <w:rFonts w:ascii="Arial" w:cs="Arial" w:eastAsia="Arial" w:hAnsi="Arial"/>
                <w:sz w:val="25"/>
                <w:szCs w:val="25"/>
                <w:color w:val="auto"/>
                <w:vertAlign w:val="superscript"/>
              </w:rPr>
              <w:t>(1)</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5,264</w:t>
            </w:r>
          </w:p>
        </w:tc>
      </w:tr>
      <w:tr>
        <w:trPr>
          <w:trHeight w:val="270"/>
        </w:trPr>
        <w:tc>
          <w:tcPr>
            <w:tcW w:w="4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DSL and Cable Modem Subscribers </w:t>
            </w:r>
            <w:r>
              <w:rPr>
                <w:rFonts w:ascii="Arial" w:cs="Arial" w:eastAsia="Arial" w:hAnsi="Arial"/>
                <w:sz w:val="25"/>
                <w:szCs w:val="25"/>
                <w:color w:val="auto"/>
                <w:vertAlign w:val="superscript"/>
              </w:rPr>
              <w:t>(2)</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14,695</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14,665</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14,527</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14,314</w:t>
            </w:r>
          </w:p>
        </w:tc>
      </w:tr>
      <w:tr>
        <w:trPr>
          <w:trHeight w:val="230"/>
        </w:trPr>
        <w:tc>
          <w:tcPr>
            <w:tcW w:w="476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1,971</w:t>
            </w:r>
          </w:p>
        </w:tc>
      </w:tr>
      <w:tr>
        <w:trPr>
          <w:trHeight w:val="287"/>
        </w:trPr>
        <w:tc>
          <w:tcPr>
            <w:tcW w:w="4760" w:type="dxa"/>
            <w:vAlign w:val="bottom"/>
          </w:tcPr>
          <w:p>
            <w:pPr>
              <w:ind w:left="40"/>
              <w:spacing w:after="0"/>
              <w:rPr>
                <w:sz w:val="20"/>
                <w:szCs w:val="20"/>
                <w:color w:val="auto"/>
              </w:rPr>
            </w:pPr>
            <w:r>
              <w:rPr>
                <w:rFonts w:ascii="Arial" w:cs="Arial" w:eastAsia="Arial" w:hAnsi="Arial"/>
                <w:sz w:val="18"/>
                <w:szCs w:val="18"/>
                <w:color w:val="auto"/>
              </w:rPr>
              <w:t xml:space="preserve">Total Fiber Miles </w:t>
            </w:r>
            <w:r>
              <w:rPr>
                <w:rFonts w:ascii="Arial" w:cs="Arial" w:eastAsia="Arial" w:hAnsi="Arial"/>
                <w:sz w:val="25"/>
                <w:szCs w:val="25"/>
                <w:color w:val="auto"/>
                <w:vertAlign w:val="superscript"/>
              </w:rPr>
              <w:t>(3)</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155,188</w:t>
            </w:r>
          </w:p>
        </w:tc>
        <w:tc>
          <w:tcPr>
            <w:tcW w:w="1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154,165</w:t>
            </w: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145,060</w:t>
            </w:r>
          </w:p>
        </w:tc>
        <w:tc>
          <w:tcPr>
            <w:tcW w:w="1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142,230</w:t>
            </w:r>
          </w:p>
        </w:tc>
      </w:tr>
      <w:tr>
        <w:trPr>
          <w:trHeight w:val="136"/>
        </w:trPr>
        <w:tc>
          <w:tcPr>
            <w:tcW w:w="47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spacing w:after="0" w:line="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Wireline’s video service passes approximately 16,500 homes.</w:t>
      </w:r>
    </w:p>
    <w:p>
      <w:pPr>
        <w:spacing w:after="0" w:line="55" w:lineRule="exact"/>
        <w:rPr>
          <w:rFonts w:ascii="Arial" w:cs="Arial" w:eastAsia="Arial" w:hAnsi="Arial"/>
          <w:sz w:val="14"/>
          <w:szCs w:val="14"/>
          <w:color w:val="auto"/>
        </w:rPr>
      </w:pPr>
    </w:p>
    <w:p>
      <w:pPr>
        <w:ind w:left="660" w:right="660" w:hanging="328"/>
        <w:spacing w:after="0" w:line="27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December 2017 and December 2016 totals include 2,105 and 1,072 customers, respectively, served via the coaxial cable network. During 2016, we modified the way we count subscribers when a commercial customer upgrades its internet service via a fiber contract.</w:t>
      </w:r>
    </w:p>
    <w:p>
      <w:pPr>
        <w:spacing w:after="0" w:line="11" w:lineRule="exact"/>
        <w:rPr>
          <w:rFonts w:ascii="Arial" w:cs="Arial" w:eastAsia="Arial" w:hAnsi="Arial"/>
          <w:sz w:val="14"/>
          <w:szCs w:val="14"/>
          <w:color w:val="auto"/>
        </w:rPr>
      </w:pPr>
    </w:p>
    <w:p>
      <w:pPr>
        <w:ind w:left="660" w:right="180" w:hanging="328"/>
        <w:spacing w:after="0" w:line="27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96"/>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w w:val="93"/>
              </w:rPr>
              <w:t>Three Months Ended March 31, 2018 Compared with the Three Months Ended March 31, 2017</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Wireline operating 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7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Wireline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19,154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540"/>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Wireline operating expenses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30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r>
      <w:tr>
        <w:trPr>
          <w:trHeight w:val="27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Wireline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14,935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14,081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Wireline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Total operating revenues in the quarter ended March 31, 2018 increased $0.6 million, or 2.9%, against the comparable 2017 period, primarily as a result of increases in fiber and access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Operating expenses overall increased $0.9 million, or 6.1%, in the quarter ended March 31, 2018, compared to the 2017 quarter. The $0.6 million increase in cost of goods and services primarily resulted from costs to support the increase in carrier access and fiber contracts. The $0.3 million increase in depreciation and amortization primarily resulted from the expansion of the underlying network assets necessary to support the growth in fiber revenue. The impact of the adoption of Topic 606, which deferred incremental commission and installation costs over the life of the customer, did not have a significant impact on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the financial statement measures prepared in accordance with GAAP with Adjusted OIBDA and Continuing OIBDA, which are considered “non-GAAP financial measures” under SEC rules.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OIBDA is defined as operating income (loss) before depreciation and amortization, adjusted to exclude the effects of: certain non-recurring transactions; impairment of assets; gains and losses on asset sales; actuarial gains and losses on pension and other post-retirement benefit plans; and share-based compensation expense, amortization of deferred costs related to the adoption of Topic 606, and adjusted to include the benefit received from the waived management fee by Sprint. Continuing OIBDA is defined as Adjusted OIBDA, less the benefit received from the waived management fee by Sprint. Adjusted OIBDA and Continuing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these measures facilitate comparisons of our operating performance from period to period and comparisons of our operating performance to that of our peers and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and Continuing OIBDA differently than we do, limiting its usefulness as a comparative measure.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new revenue recognition standard did not impact Adjusted OIBDA.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which we consider to be the most directly comparable GAAP financial measure: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Three Months Ended March 31, 2018 </w:t>
            </w: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Deferral of costs due to Topic 606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depreciation and amortization</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33,925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43,487</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share based compensation expense</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8"/>
                <w:szCs w:val="18"/>
                <w:color w:val="auto"/>
                <w:w w:val="96"/>
              </w:rPr>
              <w:t>Plus the benefit received from the waived management fee</w:t>
            </w:r>
          </w:p>
        </w:tc>
        <w:tc>
          <w:tcPr>
            <w:tcW w:w="220" w:type="dxa"/>
            <w:vAlign w:val="bottom"/>
          </w:tcPr>
          <w:p>
            <w:pPr>
              <w:spacing w:after="0"/>
              <w:rPr>
                <w:sz w:val="22"/>
                <w:szCs w:val="22"/>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82"/>
        </w:trPr>
        <w:tc>
          <w:tcPr>
            <w:tcW w:w="4460" w:type="dxa"/>
            <w:vAlign w:val="bottom"/>
            <w:vMerge w:val="restart"/>
          </w:tcPr>
          <w:p>
            <w:pPr>
              <w:ind w:left="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Plus amortization of intangibles netted in rent expense</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Less actuarial (gains) losses on pension plans</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68,671</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Less waived management fee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Continuing OIBDA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48,513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59,623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4"/>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Three Months Ended March 31, 2017 </w:t>
            </w: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9,137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Plus depreciation and amortization</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44,804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Plus (gain) loss on asset sales</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Plus share based compensation expense</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w w:val="95"/>
              </w:rPr>
              <w:t>Plus the benefit received from the waived management fee</w:t>
            </w:r>
          </w:p>
        </w:tc>
        <w:tc>
          <w:tcPr>
            <w:tcW w:w="240" w:type="dxa"/>
            <w:vAlign w:val="bottom"/>
          </w:tcPr>
          <w:p>
            <w:pPr>
              <w:spacing w:after="0"/>
              <w:rPr>
                <w:sz w:val="22"/>
                <w:szCs w:val="22"/>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9,184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82"/>
        </w:trPr>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(1)</w:t>
            </w:r>
          </w:p>
        </w:tc>
        <w:tc>
          <w:tcPr>
            <w:tcW w:w="4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0" w:type="dxa"/>
            <w:vAlign w:val="bottom"/>
            <w:gridSpan w:val="2"/>
            <w:vMerge w:val="continue"/>
          </w:tcPr>
          <w:p>
            <w:pPr>
              <w:spacing w:after="0"/>
              <w:rPr>
                <w:sz w:val="7"/>
                <w:szCs w:val="7"/>
                <w:color w:val="auto"/>
              </w:rPr>
            </w:pPr>
          </w:p>
        </w:tc>
        <w:tc>
          <w:tcPr>
            <w:tcW w:w="4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Plus amortization of intangibles netted in rent expense</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Plus temporary back office costs to support the billing</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540" w:type="dxa"/>
            <w:vAlign w:val="bottom"/>
            <w:gridSpan w:val="3"/>
            <w:vMerge w:val="restart"/>
          </w:tcPr>
          <w:p>
            <w:pPr>
              <w:ind w:left="20"/>
              <w:spacing w:after="0" w:line="270" w:lineRule="exact"/>
              <w:rPr>
                <w:sz w:val="20"/>
                <w:szCs w:val="20"/>
                <w:color w:val="auto"/>
              </w:rPr>
            </w:pPr>
            <w:r>
              <w:rPr>
                <w:rFonts w:ascii="Arial" w:cs="Arial" w:eastAsia="Arial" w:hAnsi="Arial"/>
                <w:sz w:val="18"/>
                <w:szCs w:val="18"/>
                <w:color w:val="auto"/>
              </w:rPr>
              <w:t xml:space="preserve">operations through migration </w:t>
            </w:r>
            <w:r>
              <w:rPr>
                <w:rFonts w:ascii="Arial" w:cs="Arial" w:eastAsia="Arial" w:hAnsi="Arial"/>
                <w:sz w:val="25"/>
                <w:szCs w:val="25"/>
                <w:color w:val="auto"/>
                <w:vertAlign w:val="superscript"/>
              </w:rPr>
              <w:t>(2)</w:t>
            </w:r>
          </w:p>
        </w:tc>
        <w:tc>
          <w:tcPr>
            <w:tcW w:w="240" w:type="dxa"/>
            <w:vAlign w:val="bottom"/>
          </w:tcPr>
          <w:p>
            <w:pPr>
              <w:spacing w:after="0"/>
              <w:rPr>
                <w:sz w:val="10"/>
                <w:szCs w:val="10"/>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w w:val="94"/>
              </w:rPr>
              <w:t>Plus acquisition, integration and migration related expenses</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Adjusted OIBDA</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61,417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73,541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Less waived management fee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Continuing OIBDA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52,477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64,601</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4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41" w:lineRule="auto"/>
        <w:tabs>
          <w:tab w:leader="none" w:pos="4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Under our amended affiliate agreement, Sprint agreed to waive the Management Fees charged on both postpaid and prepaid revenues, up to $4.2 million per month, until the total amount waived reaches approximately $255.6 million, which is expected to occur in 2022.</w:t>
      </w:r>
    </w:p>
    <w:p>
      <w:pPr>
        <w:ind w:left="480" w:hanging="148"/>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back office expenses required to support former nTelos subscribers that migrated to the Sprint back office.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approximately $60.9 million of net cash from operations in the first three months of 2018,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approximately $24.5 million in the first three months of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of March 31, 2018, the Company’s gross indebtedness totaled $824.4 million, with an estimated annualized effective interest rate of 4.02%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considering the impact of the interest rate swap contracts and unamortized loan costs, and is inclusive of the Credit Facility Modification that (a)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16, 2018 and (b) reduced the base rate of each term loan and the revolving facility by 50 basis points. The balance consisted of the $424.4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Term Loan A-1 at a variable rate (3.88% as of March 31, 2018) that resets monthly based on one month LIBOR plus a margin of 2.25%,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 million Term Loan A-2 at a variable rate (4.13% as of March 31, 2018) that resets monthly based on one month LIBOR plus a margin of 2.50%.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A-1 requires quarterly principal repayments of $12.1 million quarterly through June 2020, with further increases at that time through maturity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2021. The Term Loan A-2 requires quarterly principal repayments of $10.0 million beginning September 30, 2018 through March 31, 2023,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remaining balance due June 30, 2023.</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70" w:lineRule="exact"/>
        <w:rPr>
          <w:sz w:val="20"/>
          <w:szCs w:val="20"/>
          <w:color w:val="auto"/>
        </w:rPr>
      </w:pPr>
    </w:p>
    <w:p>
      <w:pPr>
        <w:ind w:left="500" w:right="40" w:hanging="316"/>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181" w:lineRule="exact"/>
        <w:rPr>
          <w:rFonts w:ascii="Arial" w:cs="Arial" w:eastAsia="Arial" w:hAnsi="Arial"/>
          <w:sz w:val="18"/>
          <w:szCs w:val="18"/>
          <w:color w:val="auto"/>
        </w:rPr>
      </w:pPr>
    </w:p>
    <w:p>
      <w:pPr>
        <w:ind w:left="500" w:right="240" w:hanging="316"/>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2.00 to 1.00;</w:t>
      </w:r>
    </w:p>
    <w:p>
      <w:pPr>
        <w:spacing w:after="0" w:line="170" w:lineRule="exact"/>
        <w:rPr>
          <w:rFonts w:ascii="Arial" w:cs="Arial" w:eastAsia="Arial" w:hAnsi="Arial"/>
          <w:sz w:val="18"/>
          <w:szCs w:val="18"/>
          <w:color w:val="auto"/>
        </w:rPr>
      </w:pPr>
    </w:p>
    <w:p>
      <w:pPr>
        <w:ind w:left="500" w:hanging="316"/>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08" w:right="25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the Company was in compliance with the financial covenants in its credit agreements, and ratios at March 31, 2018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Actual</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March 31,2018</w:t>
            </w:r>
          </w:p>
        </w:tc>
        <w:tc>
          <w:tcPr>
            <w:tcW w:w="0" w:type="dxa"/>
            <w:vAlign w:val="bottom"/>
          </w:tcPr>
          <w:p>
            <w:pPr>
              <w:spacing w:after="0"/>
              <w:rPr>
                <w:sz w:val="1"/>
                <w:szCs w:val="1"/>
                <w:color w:val="auto"/>
              </w:rPr>
            </w:pPr>
          </w:p>
        </w:tc>
      </w:tr>
      <w:tr>
        <w:trPr>
          <w:trHeight w:val="34"/>
        </w:trPr>
        <w:tc>
          <w:tcPr>
            <w:tcW w:w="72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vMerge w:val="continue"/>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3.75 or Lower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Minimum Liquidity Balance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$122,834</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Capital expenditures budgeted for 2018 are approximately $163 million, including $103 million in the Wireless segment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expansion of the nTelos wireless network. In addition, $29 million is budgeted primarily for cable network expansion including new fiber routes and cable market expansion, $22 million in Wireline projects including fiber builds in Pennsylvania and other areas, and $9 million primarily for IT projects.</w:t>
      </w:r>
    </w:p>
    <w:p>
      <w:pPr>
        <w:spacing w:after="0" w:line="18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Company spent $24.4 million on capital projects in the first three months of 2018, compared to $38.6 million in the comparable 2017 period. Spending related to Wireless projects accounted for $14.8 million in the first three months of 2018, primarily for upgrades to the recently acquired expansion areas and continued expansion of coverage in the former nTelos territory. Cable capital spending of $5.0 million related to network and cable market expansion.</w:t>
      </w:r>
    </w:p>
    <w:p>
      <w:pPr>
        <w:ind w:right="840"/>
        <w:spacing w:after="0" w:line="261" w:lineRule="auto"/>
        <w:rPr>
          <w:sz w:val="20"/>
          <w:szCs w:val="20"/>
          <w:color w:val="auto"/>
        </w:rPr>
      </w:pPr>
      <w:r>
        <w:rPr>
          <w:rFonts w:ascii="Arial" w:cs="Arial" w:eastAsia="Arial" w:hAnsi="Arial"/>
          <w:sz w:val="18"/>
          <w:szCs w:val="18"/>
          <w:color w:val="auto"/>
        </w:rPr>
        <w:t>Wireline capital projects cost $3.6 million, driven primarily by fiber builds and increased capacity projects. The remaining $1.0 million of capital expenditures is largely related to information technology projects and fleet vehicles.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the preparation of our unaudited condensed consolidated financial statements. For a more detailed discussion of our critical accounting policies, please refer to our 2017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Recently issued accounting standards and their expected impact, if any,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of the notes to our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March 31, 2018, the Company had $824.4 million of variable rate debt outstanding, excluding unamortized loan fees and costs of $13.5 million, bearing interest at a weighted average rate of 4.02% as determined on a monthly basis. An increase in market interest rates of 1.00% would add approximately $8.0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 (1.88% as of March 31, 2018),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$3.7 million, based on the spread between the fixed rate and the variable rate currently in effect on our debt.</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March 31, 2018, the Company has $412.2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with the participation of our President and Chief Executive Officer, who is the principal executive officer, and the Senior Vice President - Finance and Chief Financial Officer, who is the principal financial officer, conducted an evaluation of our disclosure controls and procedures, (as defined by Rule 13a-15(e) under the Securities Exchange Act of 1934), as of the end of the period covered by this Quarterly report on Form 10-Q.</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disclosed in our Annual Report on Form 10-K for our fiscal year ended December 31, 2017,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have concluded that our disclosure controls and procedures continued to be ineffective as of March 31, 2018.</w:t>
      </w:r>
    </w:p>
    <w:p>
      <w:pPr>
        <w:spacing w:after="0" w:line="10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as of March 31, 2018, that have materially affected or are reasonably likely to material affect, the Company’s internal control over financial reporting.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continuing to implement the remediation plans as disclosed in our Annual Report on Form 10-K for our fiscal year ended December 31, 2017.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March 31, 2018, the Company has not identified any needed updates to the risk factors included in our most recent Form 10-K.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the Company’s shares surrendered for the settlement of payroll taxes and exercise prices for options as related to equity award vesting and exercise events, during the three months ended March 31, 2018:</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Number of Shares</w:t>
            </w:r>
          </w:p>
        </w:tc>
        <w:tc>
          <w:tcPr>
            <w:tcW w:w="24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Average Price</w:t>
            </w:r>
          </w:p>
        </w:tc>
      </w:tr>
      <w:tr>
        <w:trPr>
          <w:trHeight w:val="230"/>
        </w:trPr>
        <w:tc>
          <w:tcPr>
            <w:tcW w:w="2620" w:type="dxa"/>
            <w:vAlign w:val="bottom"/>
          </w:tcPr>
          <w:p>
            <w:pPr>
              <w:spacing w:after="0"/>
              <w:rPr>
                <w:sz w:val="20"/>
                <w:szCs w:val="20"/>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w w:val="96"/>
              </w:rPr>
              <w:t>Paid per Share</w:t>
            </w:r>
          </w:p>
        </w:tc>
      </w:tr>
      <w:tr>
        <w:trPr>
          <w:trHeight w:val="34"/>
        </w:trPr>
        <w:tc>
          <w:tcPr>
            <w:tcW w:w="2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January 1 to January 31</w:t>
            </w:r>
          </w:p>
        </w:tc>
        <w:tc>
          <w:tcPr>
            <w:tcW w:w="1760" w:type="dxa"/>
            <w:vAlign w:val="bottom"/>
          </w:tcPr>
          <w:p>
            <w:pPr>
              <w:jc w:val="right"/>
              <w:spacing w:after="0"/>
              <w:rPr>
                <w:sz w:val="20"/>
                <w:szCs w:val="20"/>
                <w:color w:val="auto"/>
              </w:rPr>
            </w:pPr>
            <w:r>
              <w:rPr>
                <w:rFonts w:ascii="Arial" w:cs="Arial" w:eastAsia="Arial" w:hAnsi="Arial"/>
                <w:sz w:val="18"/>
                <w:szCs w:val="18"/>
                <w:color w:val="auto"/>
              </w:rPr>
              <w:t>23,057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February 1 to February 28</w:t>
            </w:r>
          </w:p>
        </w:tc>
        <w:tc>
          <w:tcPr>
            <w:tcW w:w="1760" w:type="dxa"/>
            <w:vAlign w:val="bottom"/>
          </w:tcPr>
          <w:p>
            <w:pPr>
              <w:jc w:val="right"/>
              <w:spacing w:after="0"/>
              <w:rPr>
                <w:sz w:val="20"/>
                <w:szCs w:val="20"/>
                <w:color w:val="auto"/>
              </w:rPr>
            </w:pPr>
            <w:r>
              <w:rPr>
                <w:rFonts w:ascii="Arial" w:cs="Arial" w:eastAsia="Arial" w:hAnsi="Arial"/>
                <w:sz w:val="18"/>
                <w:szCs w:val="18"/>
                <w:color w:val="auto"/>
              </w:rPr>
              <w:t>31,318</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304"/>
        </w:trPr>
        <w:tc>
          <w:tcPr>
            <w:tcW w:w="2620" w:type="dxa"/>
            <w:vAlign w:val="bottom"/>
          </w:tcPr>
          <w:p>
            <w:pPr>
              <w:spacing w:after="0"/>
              <w:rPr>
                <w:sz w:val="20"/>
                <w:szCs w:val="20"/>
                <w:color w:val="auto"/>
              </w:rPr>
            </w:pPr>
            <w:r>
              <w:rPr>
                <w:rFonts w:ascii="Arial" w:cs="Arial" w:eastAsia="Arial" w:hAnsi="Arial"/>
                <w:sz w:val="18"/>
                <w:szCs w:val="18"/>
                <w:color w:val="auto"/>
              </w:rPr>
              <w:t>March 1 to March 31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r>
      <w:tr>
        <w:trPr>
          <w:trHeight w:val="534"/>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r>
      <w:tr>
        <w:trPr>
          <w:trHeight w:val="20"/>
        </w:trPr>
        <w:tc>
          <w:tcPr>
            <w:tcW w:w="2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171" w:lineRule="exact"/>
        <w:rPr>
          <w:sz w:val="20"/>
          <w:szCs w:val="20"/>
          <w:color w:val="auto"/>
        </w:rPr>
      </w:pPr>
    </w:p>
    <w:p>
      <w:pPr>
        <w:ind w:left="620" w:right="80" w:hanging="553"/>
        <w:spacing w:after="0" w:line="277" w:lineRule="auto"/>
        <w:tabs>
          <w:tab w:leader="none" w:pos="600" w:val="left"/>
        </w:tabs>
        <w:rPr>
          <w:sz w:val="20"/>
          <w:szCs w:val="20"/>
          <w:color w:val="auto"/>
        </w:rPr>
      </w:pPr>
      <w:r>
        <w:rPr>
          <w:rFonts w:ascii="Arial" w:cs="Arial" w:eastAsia="Arial" w:hAnsi="Arial"/>
          <w:sz w:val="18"/>
          <w:szCs w:val="18"/>
          <w:color w:val="auto"/>
        </w:rPr>
        <w:t>10.50</w:t>
        <w:tab/>
        <w:t>Second Amendment to Credit Agreement, dated as of February 16, 2018, by and among Shenandoah Telecommunications Company, as Borrower, CoBank, ACB, ACB, as Administrative Agent, and various other lenders named therein.</w:t>
      </w:r>
    </w:p>
    <w:p>
      <w:pPr>
        <w:spacing w:after="0" w:line="279"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33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333"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Certifications pursuant to Rule 13a-14(b) under the Securities Exchange Act of 1934 and 18 U.S.C. § 1350.</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 Formatted in XBRL (Extensible Business Reporting Language)</w:t>
      </w:r>
    </w:p>
    <w:p>
      <w:pPr>
        <w:sectPr>
          <w:pgSz w:w="11900" w:h="16838" w:orient="portrait"/>
          <w:cols w:equalWidth="0" w:num="1">
            <w:col w:w="11240"/>
          </w:cols>
          <w:pgMar w:left="240" w:top="125" w:right="419" w:bottom="1440" w:gutter="0" w:footer="0" w:header="0"/>
        </w:sect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1320" w:space="440"/>
            <w:col w:w="9480"/>
          </w:cols>
          <w:pgMar w:left="240" w:top="125" w:right="41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1380" w:space="380"/>
            <w:col w:w="9480"/>
          </w:cols>
          <w:pgMar w:left="240" w:top="125" w:right="41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1380" w:space="380"/>
            <w:col w:w="9480"/>
          </w:cols>
          <w:pgMar w:left="240" w:top="125" w:right="41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1360" w:space="400"/>
            <w:col w:w="9480"/>
          </w:cols>
          <w:pgMar w:left="240" w:top="125" w:right="41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1380" w:space="380"/>
            <w:col w:w="9480"/>
          </w:cols>
          <w:pgMar w:left="240" w:top="125" w:right="41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60" w:space="400"/>
            <w:col w:w="9480"/>
          </w:cols>
          <w:pgMar w:left="240" w:top="125" w:right="419" w:bottom="1440" w:gutter="0" w:footer="0" w:header="0"/>
          <w:type w:val="continuous"/>
        </w:sectPr>
      </w:pPr>
    </w:p>
    <w:p>
      <w:pPr>
        <w:spacing w:after="0" w:line="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240"/>
          </w:cols>
          <w:pgMar w:left="240" w:top="125" w:right="419" w:bottom="1440" w:gutter="0" w:footer="0" w:header="0"/>
          <w:type w:val="continuous"/>
        </w:sectPr>
      </w:pPr>
    </w:p>
    <w:p>
      <w:pPr>
        <w:spacing w:after="0" w:line="360" w:lineRule="exact"/>
        <w:rPr>
          <w:sz w:val="20"/>
          <w:szCs w:val="20"/>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125" w:right="41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383" w:lineRule="exact"/>
        <w:rPr>
          <w:sz w:val="20"/>
          <w:szCs w:val="20"/>
          <w:color w:val="auto"/>
        </w:rPr>
      </w:pPr>
    </w:p>
    <w:p>
      <w:pPr>
        <w:ind w:left="180"/>
        <w:spacing w:after="0"/>
        <w:tabs>
          <w:tab w:leader="none" w:pos="57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Exhibit</w:t>
      </w:r>
    </w:p>
    <w:p>
      <w:pPr>
        <w:spacing w:after="0" w:line="364" w:lineRule="exact"/>
        <w:rPr>
          <w:sz w:val="20"/>
          <w:szCs w:val="20"/>
          <w:color w:val="auto"/>
        </w:rPr>
      </w:pPr>
    </w:p>
    <w:p>
      <w:pPr>
        <w:ind w:left="1260" w:right="400" w:hanging="836"/>
        <w:spacing w:after="0" w:line="308" w:lineRule="auto"/>
        <w:tabs>
          <w:tab w:leader="none" w:pos="1240" w:val="left"/>
        </w:tabs>
        <w:rPr>
          <w:rFonts w:ascii="Arial" w:cs="Arial" w:eastAsia="Arial" w:hAnsi="Arial"/>
          <w:sz w:val="18"/>
          <w:szCs w:val="18"/>
          <w:color w:val="0000FF"/>
        </w:rPr>
      </w:pPr>
      <w:hyperlink r:id="rId30">
        <w:r>
          <w:rPr>
            <w:rFonts w:ascii="Arial" w:cs="Arial" w:eastAsia="Arial" w:hAnsi="Arial"/>
            <w:sz w:val="18"/>
            <w:szCs w:val="18"/>
            <w:u w:val="single" w:color="auto"/>
            <w:color w:val="0000FF"/>
          </w:rPr>
          <w:t>10.50</w:t>
        </w:r>
      </w:hyperlink>
      <w:r>
        <w:rPr>
          <w:rFonts w:ascii="Arial" w:cs="Arial" w:eastAsia="Arial" w:hAnsi="Arial"/>
          <w:sz w:val="18"/>
          <w:szCs w:val="18"/>
          <w:color w:val="0000FF"/>
        </w:rPr>
        <w:tab/>
      </w:r>
      <w:r>
        <w:rPr>
          <w:rFonts w:ascii="Arial" w:cs="Arial" w:eastAsia="Arial" w:hAnsi="Arial"/>
          <w:sz w:val="17"/>
          <w:szCs w:val="17"/>
          <w:color w:val="0000FF"/>
        </w:rPr>
        <w:t>Second Amendment to Credit Agreement, dated as of February 16, 2018, by and among Shenandoah Telecommunications Company, as Borrower, CoBank, ACB, ACB, as Administrative Agent, and various other lenders named therein.</w:t>
      </w:r>
    </w:p>
    <w:p>
      <w:pPr>
        <w:spacing w:after="0" w:line="255" w:lineRule="exact"/>
        <w:rPr>
          <w:sz w:val="20"/>
          <w:szCs w:val="20"/>
          <w:color w:val="auto"/>
        </w:rPr>
      </w:pPr>
    </w:p>
    <w:p>
      <w:pPr>
        <w:ind w:left="420"/>
        <w:spacing w:after="0"/>
        <w:tabs>
          <w:tab w:leader="none" w:pos="1240" w:val="left"/>
        </w:tabs>
        <w:rPr>
          <w:rFonts w:ascii="Arial" w:cs="Arial" w:eastAsia="Arial" w:hAnsi="Arial"/>
          <w:sz w:val="18"/>
          <w:szCs w:val="18"/>
          <w:color w:val="0000FF"/>
        </w:rPr>
      </w:pPr>
      <w:hyperlink w:anchor="page38">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President and Chief Executive Officer pursuant to Rule 13a-14(a) under the Securities Exchange Act of 1934.</w:t>
      </w:r>
    </w:p>
    <w:p>
      <w:pPr>
        <w:spacing w:after="0" w:line="333" w:lineRule="exact"/>
        <w:rPr>
          <w:sz w:val="20"/>
          <w:szCs w:val="20"/>
          <w:color w:val="auto"/>
        </w:rPr>
      </w:pPr>
    </w:p>
    <w:p>
      <w:pPr>
        <w:ind w:left="420"/>
        <w:spacing w:after="0"/>
        <w:tabs>
          <w:tab w:leader="none" w:pos="124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Vice President - Finance and Chief Financial Officer pursuant to Rule 13a-14(a) under the Securities Exchange 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1934.</w:t>
      </w:r>
    </w:p>
    <w:p>
      <w:pPr>
        <w:spacing w:after="0" w:line="319" w:lineRule="exact"/>
        <w:rPr>
          <w:sz w:val="20"/>
          <w:szCs w:val="20"/>
          <w:color w:val="auto"/>
        </w:rPr>
      </w:pPr>
    </w:p>
    <w:p>
      <w:pPr>
        <w:ind w:left="440"/>
        <w:spacing w:after="0"/>
        <w:tabs>
          <w:tab w:leader="none" w:pos="124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333" w:lineRule="exact"/>
        <w:rPr>
          <w:sz w:val="20"/>
          <w:szCs w:val="20"/>
          <w:color w:val="auto"/>
        </w:rPr>
      </w:pPr>
    </w:p>
    <w:p>
      <w:pPr>
        <w:ind w:left="1260" w:hanging="839"/>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82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0" w:lineRule="exact"/>
        <w:rPr>
          <w:sz w:val="20"/>
          <w:szCs w:val="20"/>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125" w:right="41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600"/>
          </w:cols>
          <w:pgMar w:left="240" w:top="125" w:right="10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F. Woodward,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F. WOODWARD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F. Woodward, Senior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120" w:firstLine="656"/>
        <w:spacing w:after="0" w:line="342" w:lineRule="auto"/>
        <w:tabs>
          <w:tab w:leader="none" w:pos="13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2018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May 3, 2018</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May 3, 2018</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606"/>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0" Type="http://schemas.openxmlformats.org/officeDocument/2006/relationships/hyperlink" Target="http://www.sec.gov/Archives/edgar/data/354963/000117184318001225/exh_10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2019-12-28T22:21:00Z</dcterms:created>
  <dcterms:modified xsi:type="dcterms:W3CDTF">2019-12-28T22:21:00Z</dcterms:modified>
</cp:coreProperties>
</file>