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quarterly period ended June 30, 2018</w:t>
      </w:r>
    </w:p>
    <w:p>
      <w:pPr>
        <w:spacing w:after="0" w:line="198" w:lineRule="exact"/>
        <w:rPr>
          <w:sz w:val="24"/>
          <w:szCs w:val="24"/>
          <w:color w:val="auto"/>
        </w:rPr>
      </w:pPr>
    </w:p>
    <w:p>
      <w:pPr>
        <w:ind w:left="600" w:right="2120" w:hanging="565"/>
        <w:spacing w:after="0" w:line="496" w:lineRule="auto"/>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8" w:right="239" w:bottom="1440" w:gutter="0" w:footer="0" w:header="0"/>
        </w:sectPr>
      </w:pPr>
    </w:p>
    <w:p>
      <w:pPr>
        <w:spacing w:after="0" w:line="15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VIRGINIA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54-1162807</w:t>
      </w:r>
    </w:p>
    <w:p>
      <w:pPr>
        <w:spacing w:after="0" w:line="89" w:lineRule="exact"/>
        <w:rPr>
          <w:sz w:val="24"/>
          <w:szCs w:val="24"/>
          <w:color w:val="auto"/>
        </w:rPr>
      </w:pPr>
    </w:p>
    <w:p>
      <w:pPr>
        <w:sectPr>
          <w:pgSz w:w="11900" w:h="16838" w:orient="portrait"/>
          <w:cols w:equalWidth="0" w:num="2">
            <w:col w:w="7540" w:space="720"/>
            <w:col w:w="3160"/>
          </w:cols>
          <w:pgMar w:left="240" w:top="528" w:right="2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528" w:right="239" w:bottom="1440" w:gutter="0" w:footer="0" w:header="0"/>
          <w:type w:val="continuous"/>
        </w:sectPr>
      </w:pPr>
    </w:p>
    <w:p>
      <w:pPr>
        <w:spacing w:after="0" w:line="64"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28"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28"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8" w:right="239" w:bottom="1440" w:gutter="0" w:footer="0" w:header="0"/>
          <w:type w:val="continuous"/>
        </w:sectPr>
      </w:pPr>
    </w:p>
    <w:p>
      <w:pPr>
        <w:spacing w:after="0" w:line="9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2840" w:space="720"/>
            <w:col w:w="2160" w:space="720"/>
            <w:col w:w="4980"/>
          </w:cols>
          <w:pgMar w:left="240" w:top="52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Smaller reporting company</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Emerging growth company</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840" w:space="720"/>
            <w:col w:w="7860"/>
          </w:cols>
          <w:pgMar w:left="240" w:top="528" w:right="239" w:bottom="1440" w:gutter="0" w:footer="0" w:header="0"/>
          <w:type w:val="continuous"/>
        </w:sectPr>
      </w:pPr>
    </w:p>
    <w:p>
      <w:pPr>
        <w:spacing w:after="0" w:line="9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August 1, 2018 was 49,558,696.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INDEX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6"/>
          </w:tcPr>
          <w:p>
            <w:pPr>
              <w:jc w:val="right"/>
              <w:ind w:right="50"/>
              <w:spacing w:after="0"/>
              <w:rPr>
                <w:sz w:val="20"/>
                <w:szCs w:val="20"/>
                <w:color w:val="auto"/>
              </w:rPr>
            </w:pPr>
            <w:r>
              <w:rPr>
                <w:rFonts w:ascii="Arial" w:cs="Arial" w:eastAsia="Arial" w:hAnsi="Arial"/>
                <w:sz w:val="18"/>
                <w:szCs w:val="18"/>
                <w:color w:val="auto"/>
                <w:w w:val="90"/>
              </w:rPr>
              <w:t>Page</w:t>
            </w:r>
          </w:p>
        </w:tc>
      </w:tr>
      <w:tr>
        <w:trPr>
          <w:trHeight w:val="230"/>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gridSpan w:val="8"/>
          </w:tcPr>
          <w:p>
            <w:pPr>
              <w:jc w:val="right"/>
              <w:spacing w:after="0"/>
              <w:rPr>
                <w:sz w:val="20"/>
                <w:szCs w:val="20"/>
                <w:color w:val="auto"/>
              </w:rPr>
            </w:pPr>
            <w:r>
              <w:rPr>
                <w:rFonts w:ascii="Arial" w:cs="Arial" w:eastAsia="Arial" w:hAnsi="Arial"/>
                <w:sz w:val="18"/>
                <w:szCs w:val="18"/>
                <w:color w:val="auto"/>
              </w:rPr>
              <w:t>Numbers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9200" w:type="dxa"/>
            <w:vAlign w:val="bottom"/>
            <w:gridSpan w:val="13"/>
          </w:tcPr>
          <w:p>
            <w:pPr>
              <w:spacing w:after="0"/>
              <w:rPr>
                <w:sz w:val="20"/>
                <w:szCs w:val="20"/>
                <w:color w:val="auto"/>
              </w:rPr>
            </w:pPr>
            <w:r>
              <w:rPr>
                <w:rFonts w:ascii="Arial" w:cs="Arial" w:eastAsia="Arial" w:hAnsi="Arial"/>
                <w:sz w:val="18"/>
                <w:szCs w:val="18"/>
                <w:color w:val="auto"/>
              </w:rPr>
              <w:t>FINANCIAL INFORMATION</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tcPr>
          <w:p>
            <w:pPr>
              <w:spacing w:after="0"/>
              <w:rPr>
                <w:sz w:val="24"/>
                <w:szCs w:val="24"/>
                <w:color w:val="auto"/>
              </w:rPr>
            </w:pPr>
          </w:p>
        </w:tc>
        <w:tc>
          <w:tcPr>
            <w:tcW w:w="6940" w:type="dxa"/>
            <w:vAlign w:val="bottom"/>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June 30, 2018 and December 31, 2017</w:t>
              </w:r>
            </w:hyperlink>
          </w:p>
        </w:tc>
        <w:tc>
          <w:tcPr>
            <w:tcW w:w="226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2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Income (Loss) for the Three and Six Months</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20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June 30, 2018 and 2017</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cente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2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Shareholders’ Equity for the Six Months Ended June 30, 2018</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180" w:type="dxa"/>
            <w:vAlign w:val="bottom"/>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Six Months Ended June 30, 2018 and 2017</w:t>
              </w:r>
            </w:hyperlink>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20"/>
        </w:trPr>
        <w:tc>
          <w:tcPr>
            <w:tcW w:w="80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380" w:type="dxa"/>
            <w:vAlign w:val="bottom"/>
            <w:tcBorders>
              <w:top w:val="single" w:sz="8" w:color="0000EE"/>
            </w:tcBorders>
            <w:gridSpan w:val="4"/>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780" w:type="dxa"/>
            <w:vAlign w:val="bottom"/>
            <w:gridSpan w:val="4"/>
          </w:tcPr>
          <w:p>
            <w:pPr>
              <w:jc w:val="right"/>
              <w:ind w:right="8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tcBorders>
            <w:gridSpan w:val="6"/>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74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46</w:t>
              </w:r>
            </w:hyperlink>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Controls and Procedures</w:t>
              </w:r>
            </w:hyperlink>
          </w:p>
        </w:tc>
        <w:tc>
          <w:tcPr>
            <w:tcW w:w="2540" w:type="dxa"/>
            <w:vAlign w:val="bottom"/>
            <w:gridSpan w:val="2"/>
          </w:tcPr>
          <w:p>
            <w:pPr>
              <w:spacing w:after="0"/>
              <w:rPr>
                <w:sz w:val="24"/>
                <w:szCs w:val="24"/>
                <w:color w:val="auto"/>
              </w:rPr>
            </w:pPr>
          </w:p>
        </w:tc>
        <w:tc>
          <w:tcPr>
            <w:tcW w:w="48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7">
              <w:r>
                <w:rPr>
                  <w:rFonts w:ascii="Arial" w:cs="Arial" w:eastAsia="Arial" w:hAnsi="Arial"/>
                  <w:sz w:val="15"/>
                  <w:szCs w:val="15"/>
                  <w:color w:val="0000EE"/>
                  <w:w w:val="71"/>
                </w:rPr>
                <w:t>47</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61"/>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200" w:type="dxa"/>
            <w:vAlign w:val="bottom"/>
            <w:gridSpan w:val="13"/>
          </w:tcPr>
          <w:p>
            <w:pPr>
              <w:spacing w:after="0"/>
              <w:rPr>
                <w:sz w:val="20"/>
                <w:szCs w:val="20"/>
                <w:color w:val="auto"/>
              </w:rPr>
            </w:pPr>
            <w:r>
              <w:rPr>
                <w:rFonts w:ascii="Arial" w:cs="Arial" w:eastAsia="Arial" w:hAnsi="Arial"/>
                <w:sz w:val="18"/>
                <w:szCs w:val="18"/>
                <w:color w:val="auto"/>
              </w:rPr>
              <w:t>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Risk Factors</w:t>
              </w:r>
            </w:hyperlink>
          </w:p>
        </w:tc>
        <w:tc>
          <w:tcPr>
            <w:tcW w:w="828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8">
              <w:r>
                <w:rPr>
                  <w:rFonts w:ascii="Arial" w:cs="Arial" w:eastAsia="Arial" w:hAnsi="Arial"/>
                  <w:sz w:val="15"/>
                  <w:szCs w:val="15"/>
                  <w:color w:val="0000EE"/>
                  <w:w w:val="71"/>
                </w:rPr>
                <w:t>48</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7"/>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Unregistered Sales of Equity Securities and Use of Proceeds</w:t>
              </w:r>
            </w:hyperlink>
          </w:p>
        </w:tc>
        <w:tc>
          <w:tcPr>
            <w:tcW w:w="484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8">
              <w:r>
                <w:rPr>
                  <w:rFonts w:ascii="Arial" w:cs="Arial" w:eastAsia="Arial" w:hAnsi="Arial"/>
                  <w:sz w:val="15"/>
                  <w:szCs w:val="15"/>
                  <w:color w:val="0000EE"/>
                  <w:w w:val="71"/>
                </w:rPr>
                <w:t>48</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484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49</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200" w:type="dxa"/>
            <w:vAlign w:val="bottom"/>
            <w:gridSpan w:val="1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51</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140"/>
          </w:cols>
          <w:pgMar w:left="280" w:top="584" w:right="47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6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BALANCE SHEETS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2018</w:t>
            </w:r>
          </w:p>
        </w:tc>
        <w:tc>
          <w:tcPr>
            <w:tcW w:w="12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65,569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78,585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58,614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54,184</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6,207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64,163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17,111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195,142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172,895</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Investments, including $3,336 and $3,279 carried at fair value</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11,949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668,339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686,327</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396,908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380,979</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34,021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1,452,856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1,411,860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Current maturities of long-term debt, net of unamortized loan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84,631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64,397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22,674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Advanced billings and customer deposits</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18,086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13,914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138,797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137,584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1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715,265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757,561</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111,125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Deferred lease</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19,309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21,867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21,211</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Retirement plan obligations</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15,080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15,293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4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180,604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166,493</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860" w:type="dxa"/>
            <w:vAlign w:val="bottom"/>
          </w:tcPr>
          <w:p>
            <w:pPr>
              <w:ind w:left="140"/>
              <w:spacing w:after="0"/>
              <w:rPr>
                <w:sz w:val="20"/>
                <w:szCs w:val="20"/>
                <w:color w:val="auto"/>
              </w:rPr>
            </w:pPr>
            <w:r>
              <w:rPr>
                <w:rFonts w:ascii="Arial" w:cs="Arial" w:eastAsia="Arial" w:hAnsi="Arial"/>
                <w:sz w:val="18"/>
                <w:szCs w:val="18"/>
                <w:color w:val="auto"/>
                <w:w w:val="93"/>
              </w:rPr>
              <w:t>Common stock, no par value, authorized 96,000 shares; issued and outstanding 49,558 shares in 2018</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and 49,328 shares in 2017.</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46,172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44,787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359,893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 net of taxes</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12,125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418,190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350,222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Pr>
          <w:p>
            <w:pPr>
              <w:ind w:left="2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1,452,856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1,411,860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SHENANDOAH TELECOMMUNICATIONS COMPANY AND SUBSIDIARIES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UNAUDITED CONDENSED CONSOLIDATED STATEMENTS OF OPERATIONS AND COMPREHENSIVE INCOME (LOSS)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340" w:type="dxa"/>
            <w:vAlign w:val="bottom"/>
          </w:tcPr>
          <w:p>
            <w:pPr>
              <w:spacing w:after="0"/>
              <w:rPr>
                <w:sz w:val="20"/>
                <w:szCs w:val="20"/>
                <w:color w:val="auto"/>
              </w:rPr>
            </w:pPr>
            <w:r>
              <w:rPr>
                <w:rFonts w:ascii="Arial" w:cs="Arial" w:eastAsia="Arial" w:hAnsi="Arial"/>
                <w:sz w:val="16"/>
                <w:szCs w:val="16"/>
                <w:i w:val="1"/>
                <w:iCs w:val="1"/>
                <w:color w:val="auto"/>
              </w:rPr>
              <w:t>(in thousands, except per share amounts)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2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22"/>
                <w:szCs w:val="22"/>
                <w:color w:val="auto"/>
              </w:rPr>
            </w:pPr>
          </w:p>
        </w:tc>
        <w:tc>
          <w:tcPr>
            <w:tcW w:w="25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left="618"/>
              <w:spacing w:after="0"/>
              <w:rPr>
                <w:sz w:val="20"/>
                <w:szCs w:val="20"/>
                <w:color w:val="auto"/>
              </w:rPr>
            </w:pPr>
            <w:r>
              <w:rPr>
                <w:rFonts w:ascii="Arial" w:cs="Arial" w:eastAsia="Arial" w:hAnsi="Arial"/>
                <w:sz w:val="16"/>
                <w:szCs w:val="16"/>
                <w:b w:val="1"/>
                <w:bCs w:val="1"/>
                <w:color w:val="auto"/>
                <w:w w:val="87"/>
              </w:rPr>
              <w:t>June 30,</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r>
              <w:rPr>
                <w:rFonts w:ascii="Arial" w:cs="Arial" w:eastAsia="Arial" w:hAnsi="Arial"/>
                <w:sz w:val="16"/>
                <w:szCs w:val="16"/>
                <w:color w:val="auto"/>
              </w:rPr>
              <w:t>Operating revenues:</w:t>
            </w:r>
          </w:p>
        </w:tc>
        <w:tc>
          <w:tcPr>
            <w:tcW w:w="320" w:type="dxa"/>
            <w:vAlign w:val="bottom"/>
          </w:tcPr>
          <w:p>
            <w:pPr>
              <w:spacing w:after="0"/>
              <w:rPr>
                <w:sz w:val="20"/>
                <w:szCs w:val="20"/>
                <w:color w:val="auto"/>
              </w:rPr>
            </w:pPr>
          </w:p>
        </w:tc>
        <w:tc>
          <w:tcPr>
            <w:tcW w:w="1080" w:type="dxa"/>
            <w:vAlign w:val="bottom"/>
          </w:tcPr>
          <w:p>
            <w:pPr>
              <w:jc w:val="right"/>
              <w:ind w:right="458"/>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57"/>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140"/>
              <w:spacing w:after="0"/>
              <w:rPr>
                <w:sz w:val="20"/>
                <w:szCs w:val="20"/>
                <w:color w:val="auto"/>
              </w:rPr>
            </w:pPr>
            <w:r>
              <w:rPr>
                <w:rFonts w:ascii="Arial" w:cs="Arial" w:eastAsia="Arial" w:hAnsi="Arial"/>
                <w:sz w:val="16"/>
                <w:szCs w:val="16"/>
                <w:color w:val="auto"/>
              </w:rPr>
              <w:t>Service revenues and other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138,021</w:t>
            </w:r>
          </w:p>
        </w:tc>
        <w:tc>
          <w:tcPr>
            <w:tcW w:w="1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150,308</w:t>
            </w:r>
          </w:p>
        </w:tc>
        <w:tc>
          <w:tcPr>
            <w:tcW w:w="3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272,174</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300,829</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Equipment revenues</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16,009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2,950</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33,588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Total operating revenues</w:t>
            </w:r>
          </w:p>
        </w:tc>
        <w:tc>
          <w:tcPr>
            <w:tcW w:w="32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154,030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153,258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305,762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307,138</w:t>
            </w:r>
          </w:p>
        </w:tc>
        <w:tc>
          <w:tcPr>
            <w:tcW w:w="0" w:type="dxa"/>
            <w:vAlign w:val="bottom"/>
          </w:tcPr>
          <w:p>
            <w:pPr>
              <w:spacing w:after="0"/>
              <w:rPr>
                <w:sz w:val="1"/>
                <w:szCs w:val="1"/>
                <w:color w:val="auto"/>
              </w:rPr>
            </w:pPr>
          </w:p>
        </w:tc>
      </w:tr>
      <w:tr>
        <w:trPr>
          <w:trHeight w:val="33"/>
        </w:trPr>
        <w:tc>
          <w:tcPr>
            <w:tcW w:w="534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49,134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48,416</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98,476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97,193</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15,166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4,965</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30,971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9,949</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29,915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43,022</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58,665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83,175</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Acquisition, integration and migration expenses</w:t>
            </w:r>
          </w:p>
        </w:tc>
        <w:tc>
          <w:tcPr>
            <w:tcW w:w="32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3,678</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8,167</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41,117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44,925</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84,604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89,729</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135,332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145,006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272,716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288,213</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18,698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8,252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33,046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18,925</w:t>
            </w:r>
          </w:p>
        </w:tc>
        <w:tc>
          <w:tcPr>
            <w:tcW w:w="0" w:type="dxa"/>
            <w:vAlign w:val="bottom"/>
          </w:tcPr>
          <w:p>
            <w:pPr>
              <w:spacing w:after="0"/>
              <w:rPr>
                <w:sz w:val="1"/>
                <w:szCs w:val="1"/>
                <w:color w:val="auto"/>
              </w:rPr>
            </w:pPr>
          </w:p>
        </w:tc>
      </w:tr>
      <w:tr>
        <w:trPr>
          <w:trHeight w:val="33"/>
        </w:trPr>
        <w:tc>
          <w:tcPr>
            <w:tcW w:w="5340" w:type="dxa"/>
            <w:vAlign w:val="bottom"/>
            <w:vMerge w:val="restart"/>
          </w:tcPr>
          <w:p>
            <w:pPr>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(9,389)</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(18,489)</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Gain (loss) on investments, net</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Non-operating income (loss), net</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1,224</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1,804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2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10,686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160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16,691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3,108</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6"/>
                <w:szCs w:val="16"/>
                <w:color w:val="auto"/>
              </w:rPr>
              <w:t>240</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4,038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7,824</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12,653</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Unrealized gain (loss) on interest rate hedge, net of tax</w:t>
            </w:r>
          </w:p>
        </w:tc>
        <w:tc>
          <w:tcPr>
            <w:tcW w:w="32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(1,375)</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3,895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8,657</w:t>
            </w:r>
          </w:p>
        </w:tc>
        <w:tc>
          <w:tcPr>
            <w:tcW w:w="120" w:type="dxa"/>
            <w:vAlign w:val="bottom"/>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34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16,548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Net income (loss) per share: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5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40" w:type="dxa"/>
            <w:vAlign w:val="bottom"/>
          </w:tcPr>
          <w:p>
            <w:pPr>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8"/>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40" w:type="dxa"/>
            <w:vAlign w:val="bottom"/>
          </w:tcPr>
          <w:p>
            <w:pPr>
              <w:spacing w:after="0"/>
              <w:rPr>
                <w:sz w:val="20"/>
                <w:szCs w:val="20"/>
                <w:color w:val="auto"/>
              </w:rPr>
            </w:pPr>
            <w:r>
              <w:rPr>
                <w:rFonts w:ascii="Arial" w:cs="Arial" w:eastAsia="Arial" w:hAnsi="Arial"/>
                <w:sz w:val="16"/>
                <w:szCs w:val="16"/>
                <w:color w:val="auto"/>
              </w:rPr>
              <w:t>Weighted average shares outstanding, basic</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49,547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49,115</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49,511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49,083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40" w:type="dxa"/>
            <w:vAlign w:val="bottom"/>
          </w:tcPr>
          <w:p>
            <w:pPr>
              <w:spacing w:after="0"/>
              <w:rPr>
                <w:sz w:val="20"/>
                <w:szCs w:val="20"/>
                <w:color w:val="auto"/>
              </w:rPr>
            </w:pPr>
            <w:r>
              <w:rPr>
                <w:rFonts w:ascii="Arial" w:cs="Arial" w:eastAsia="Arial" w:hAnsi="Arial"/>
                <w:sz w:val="16"/>
                <w:szCs w:val="16"/>
                <w:color w:val="auto"/>
              </w:rPr>
              <w:t>Weighted average shares outstanding, diluted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50,070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49,115</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50,029</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49,850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per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Shares of Common</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Additional Paid in</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 Other</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Retained Earnings</w:t>
            </w:r>
          </w:p>
        </w:tc>
        <w:tc>
          <w:tcPr>
            <w:tcW w:w="144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5"/>
                <w:szCs w:val="5"/>
                <w:color w:val="auto"/>
              </w:rPr>
            </w:pPr>
          </w:p>
        </w:tc>
        <w:tc>
          <w:tcPr>
            <w:tcW w:w="1040" w:type="dxa"/>
            <w:vAlign w:val="bottom"/>
            <w:vMerge w:val="restart"/>
          </w:tcPr>
          <w:p>
            <w:pPr>
              <w:jc w:val="right"/>
              <w:ind w:right="46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(Loss)</w:t>
            </w: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2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49,328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44,787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297,205</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8,230</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350,222</w:t>
            </w:r>
          </w:p>
        </w:tc>
        <w:tc>
          <w:tcPr>
            <w:tcW w:w="0" w:type="dxa"/>
            <w:vAlign w:val="bottom"/>
          </w:tcPr>
          <w:p>
            <w:pPr>
              <w:spacing w:after="0"/>
              <w:rPr>
                <w:sz w:val="1"/>
                <w:szCs w:val="1"/>
                <w:color w:val="auto"/>
              </w:rPr>
            </w:pPr>
          </w:p>
        </w:tc>
      </w:tr>
      <w:tr>
        <w:trPr>
          <w:trHeight w:val="209"/>
        </w:trPr>
        <w:tc>
          <w:tcPr>
            <w:tcW w:w="4240" w:type="dxa"/>
            <w:vAlign w:val="bottom"/>
          </w:tcPr>
          <w:p>
            <w:pPr>
              <w:ind w:left="180"/>
              <w:spacing w:after="0"/>
              <w:rPr>
                <w:sz w:val="20"/>
                <w:szCs w:val="20"/>
                <w:color w:val="auto"/>
              </w:rPr>
            </w:pPr>
            <w:r>
              <w:rPr>
                <w:rFonts w:ascii="Arial" w:cs="Arial" w:eastAsia="Arial" w:hAnsi="Arial"/>
                <w:sz w:val="14"/>
                <w:szCs w:val="14"/>
                <w:color w:val="auto"/>
              </w:rPr>
              <w:t>Change in accounting principle - adoption of accounting standard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ind w:right="29"/>
              <w:spacing w:after="0"/>
              <w:rPr>
                <w:sz w:val="20"/>
                <w:szCs w:val="20"/>
                <w:color w:val="auto"/>
              </w:rPr>
            </w:pPr>
            <w:r>
              <w:rPr>
                <w:rFonts w:ascii="Arial" w:cs="Arial" w:eastAsia="Arial" w:hAnsi="Arial"/>
                <w:sz w:val="14"/>
                <w:szCs w:val="14"/>
                <w:color w:val="auto"/>
              </w:rPr>
              <w:t>50,035</w:t>
            </w:r>
          </w:p>
        </w:tc>
        <w:tc>
          <w:tcPr>
            <w:tcW w:w="0" w:type="dxa"/>
            <w:vAlign w:val="bottom"/>
          </w:tcPr>
          <w:p>
            <w:pPr>
              <w:spacing w:after="0"/>
              <w:rPr>
                <w:sz w:val="1"/>
                <w:szCs w:val="1"/>
                <w:color w:val="auto"/>
              </w:rPr>
            </w:pPr>
          </w:p>
        </w:tc>
      </w:tr>
      <w:tr>
        <w:trPr>
          <w:trHeight w:val="101"/>
        </w:trPr>
        <w:tc>
          <w:tcPr>
            <w:tcW w:w="4240" w:type="dxa"/>
            <w:vAlign w:val="bottom"/>
            <w:vMerge w:val="restart"/>
          </w:tcPr>
          <w:p>
            <w:pPr>
              <w:ind w:left="180"/>
              <w:spacing w:after="0"/>
              <w:rPr>
                <w:sz w:val="20"/>
                <w:szCs w:val="20"/>
                <w:color w:val="auto"/>
              </w:rPr>
            </w:pPr>
            <w:r>
              <w:rPr>
                <w:rFonts w:ascii="Arial" w:cs="Arial" w:eastAsia="Arial" w:hAnsi="Arial"/>
                <w:sz w:val="14"/>
                <w:szCs w:val="14"/>
                <w:color w:val="auto"/>
              </w:rPr>
              <w:t>(Note 2)</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8"/>
                <w:szCs w:val="8"/>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8"/>
                <w:szCs w:val="8"/>
                <w:color w:val="auto"/>
              </w:rPr>
            </w:pPr>
          </w:p>
        </w:tc>
        <w:tc>
          <w:tcPr>
            <w:tcW w:w="1220" w:type="dxa"/>
            <w:vAlign w:val="bottom"/>
            <w:vMerge w:val="restart"/>
          </w:tcPr>
          <w:p>
            <w:pPr>
              <w:jc w:val="right"/>
              <w:ind w:right="29"/>
              <w:spacing w:after="0"/>
              <w:rPr>
                <w:sz w:val="20"/>
                <w:szCs w:val="20"/>
                <w:color w:val="auto"/>
              </w:rPr>
            </w:pPr>
            <w:r>
              <w:rPr>
                <w:rFonts w:ascii="Arial" w:cs="Arial" w:eastAsia="Arial" w:hAnsi="Arial"/>
                <w:sz w:val="14"/>
                <w:szCs w:val="14"/>
                <w:color w:val="auto"/>
              </w:rPr>
              <w:t>50,035</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12,653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12,653</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gain (loss), net of tax of $1.4 million</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3,895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3,895</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Stock based compensation</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3,407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Stock options exercised</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4"/>
                <w:szCs w:val="14"/>
                <w:color w:val="auto"/>
              </w:rPr>
              <w:t>Common stock issued</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4240" w:type="dxa"/>
            <w:vAlign w:val="bottom"/>
          </w:tcPr>
          <w:p>
            <w:pPr>
              <w:ind w:left="180"/>
              <w:spacing w:after="0"/>
              <w:rPr>
                <w:sz w:val="20"/>
                <w:szCs w:val="20"/>
                <w:color w:val="auto"/>
              </w:rPr>
            </w:pPr>
            <w:r>
              <w:rPr>
                <w:rFonts w:ascii="Arial" w:cs="Arial" w:eastAsia="Arial" w:hAnsi="Arial"/>
                <w:sz w:val="14"/>
                <w:szCs w:val="14"/>
                <w:color w:val="auto"/>
              </w:rPr>
              <w:t>Shares retired for settlement of employee taxes upon issuance of</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r>
        <w:trPr>
          <w:trHeight w:val="101"/>
        </w:trPr>
        <w:tc>
          <w:tcPr>
            <w:tcW w:w="4240" w:type="dxa"/>
            <w:vAlign w:val="bottom"/>
            <w:vMerge w:val="restart"/>
          </w:tcPr>
          <w:p>
            <w:pPr>
              <w:ind w:left="180"/>
              <w:spacing w:after="0"/>
              <w:rPr>
                <w:sz w:val="20"/>
                <w:szCs w:val="20"/>
                <w:color w:val="auto"/>
              </w:rPr>
            </w:pPr>
            <w:r>
              <w:rPr>
                <w:rFonts w:ascii="Arial" w:cs="Arial" w:eastAsia="Arial" w:hAnsi="Arial"/>
                <w:sz w:val="14"/>
                <w:szCs w:val="14"/>
                <w:color w:val="auto"/>
              </w:rPr>
              <w:t>vested equity awards</w:t>
            </w:r>
          </w:p>
        </w:tc>
        <w:tc>
          <w:tcPr>
            <w:tcW w:w="1280" w:type="dxa"/>
            <w:vAlign w:val="bottom"/>
            <w:vMerge w:val="restart"/>
          </w:tcPr>
          <w:p>
            <w:pPr>
              <w:jc w:val="right"/>
              <w:ind w:right="10"/>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4"/>
                <w:szCs w:val="14"/>
                <w:color w:val="auto"/>
              </w:rPr>
              <w:t>(2,136)</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8"/>
                <w:szCs w:val="8"/>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4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8"/>
              </w:rPr>
              <w:t>Common stock issued to acquire non-controlling interest in nTelos</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49,558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0"/>
              <w:spacing w:after="0"/>
              <w:rPr>
                <w:sz w:val="20"/>
                <w:szCs w:val="20"/>
                <w:color w:val="auto"/>
              </w:rPr>
            </w:pPr>
            <w:r>
              <w:rPr>
                <w:rFonts w:ascii="Arial" w:cs="Arial" w:eastAsia="Arial" w:hAnsi="Arial"/>
                <w:sz w:val="14"/>
                <w:szCs w:val="14"/>
                <w:color w:val="auto"/>
              </w:rPr>
              <w:t>46,172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359,893</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12,125</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418,190</w:t>
            </w: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940" w:type="dxa"/>
            <w:vAlign w:val="bottom"/>
          </w:tcPr>
          <w:p>
            <w:pPr>
              <w:spacing w:after="0"/>
              <w:rPr>
                <w:sz w:val="20"/>
                <w:szCs w:val="20"/>
                <w:color w:val="auto"/>
              </w:rPr>
            </w:pPr>
            <w:r>
              <w:rPr>
                <w:rFonts w:ascii="Arial" w:cs="Arial" w:eastAsia="Arial" w:hAnsi="Arial"/>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7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12,653</w:t>
            </w:r>
          </w:p>
        </w:tc>
        <w:tc>
          <w:tcPr>
            <w:tcW w:w="20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71,637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76,695</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 reflected as operating expense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12,967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12,950</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 reflected as rent expense in cost of services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Stock based compensation expense, net of amount capitalized</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3,407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Waived management fee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18,606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18,107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(9,325)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(11,954)</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(Gain) loss on investments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Net (gain) loss from patronage and equity investments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 of long-term debt issuance costs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2,365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Accrued interest and other</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(11,060)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5,196</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Inventory,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25,049</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16,722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3,909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2,486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(40,558)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Deferred lease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1,353</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2,493</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Arial" w:cs="Arial" w:eastAsia="Arial" w:hAnsi="Arial"/>
                <w:sz w:val="16"/>
                <w:szCs w:val="16"/>
                <w:color w:val="auto"/>
              </w:rPr>
              <w:t>Other deferrals and accruals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2,469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(6,478)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34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127,144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86,794</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(62,322)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(68,766)</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Cash distributions (contributions) from investments and other</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Sprint expansion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24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(113,878)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(74,490)</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on long-term debt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(24,250)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(12,125)</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 borrowings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credit facility borrowings</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on revolving credit facility</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Taxes paid for equity award issuances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2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1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23,581</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78,585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36,193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65,569</w:t>
            </w:r>
          </w:p>
        </w:tc>
        <w:tc>
          <w:tcPr>
            <w:tcW w:w="2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59,774</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color w:val="auto"/>
              </w:rPr>
              <w:t>Cash payments for:</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940" w:type="dxa"/>
            <w:vAlign w:val="bottom"/>
          </w:tcPr>
          <w:p>
            <w:pPr>
              <w:ind w:left="240"/>
              <w:spacing w:after="0"/>
              <w:rPr>
                <w:sz w:val="20"/>
                <w:szCs w:val="20"/>
                <w:color w:val="auto"/>
              </w:rPr>
            </w:pPr>
            <w:r>
              <w:rPr>
                <w:rFonts w:ascii="Arial" w:cs="Arial" w:eastAsia="Arial" w:hAnsi="Arial"/>
                <w:sz w:val="16"/>
                <w:szCs w:val="16"/>
                <w:color w:val="auto"/>
              </w:rPr>
              <w:t>Interest, net of capitalized interest of $737 and $1,035, respectively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16,902</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Pr>
          <w:p>
            <w:pPr>
              <w:ind w:left="240"/>
              <w:spacing w:after="0"/>
              <w:rPr>
                <w:sz w:val="20"/>
                <w:szCs w:val="20"/>
                <w:color w:val="auto"/>
              </w:rPr>
            </w:pPr>
            <w:r>
              <w:rPr>
                <w:rFonts w:ascii="Arial" w:cs="Arial" w:eastAsia="Arial" w:hAnsi="Arial"/>
                <w:sz w:val="16"/>
                <w:szCs w:val="16"/>
                <w:color w:val="auto"/>
              </w:rPr>
              <w:t>Income tax refunds received, net of taxes paid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Pr>
          <w:p>
            <w:pPr>
              <w:ind w:left="240"/>
              <w:spacing w:after="0"/>
              <w:rPr>
                <w:sz w:val="20"/>
                <w:szCs w:val="20"/>
                <w:color w:val="auto"/>
              </w:rPr>
            </w:pPr>
            <w:r>
              <w:rPr>
                <w:rFonts w:ascii="Arial" w:cs="Arial" w:eastAsia="Arial" w:hAnsi="Arial"/>
                <w:sz w:val="16"/>
                <w:szCs w:val="16"/>
                <w:color w:val="auto"/>
              </w:rPr>
              <w:t>Capital expenditures payable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6,324</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0740"/>
          </w:cols>
          <w:pgMar w:left="240" w:top="125" w:right="919" w:bottom="98" w:gutter="0" w:footer="0" w:header="0"/>
        </w:sectPr>
      </w:pP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40"/>
          </w:cols>
          <w:pgMar w:left="240" w:top="125" w:right="919" w:bottom="98"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in accordance with accounting principles generally accepted in the United States ("GAAP") for interim financial reporting and as required by Rule 10-01 of Regulation S-X. Accordingly, the unaudited condensed consolidated financial statements may not include all of the information and notes required by GAAP for audited financial statements. The information contained herein should be read in conjunction with the audited financial statements included in the Company's Annual Report on Form 10-K for the year ended December 31, 2017.</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Adoption of New Accounting Principles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2017 Annual Report on Form 10-K, that would be expected to impact the Company except for the topics discussed below.</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The Company adopted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 or "the new revenue recognition standard"</w:t>
      </w:r>
      <w:r>
        <w:rPr>
          <w:rFonts w:ascii="Arial" w:cs="Arial" w:eastAsia="Arial" w:hAnsi="Arial"/>
          <w:sz w:val="16"/>
          <w:szCs w:val="16"/>
          <w:color w:val="auto"/>
        </w:rPr>
        <w:t>), and all related amendments, effective January 1, 2018, using the modified retrospective method as discussed in Note 2</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xml:space="preserve"> The Company recognized the cumulative effect of applying the new revenue recognition standard as an adjustment to the opening balance of retained earnings. The comparative information has not been retrospectively modified and continues to be reported under the accounting standards in effect for those periods.</w:t>
      </w:r>
    </w:p>
    <w:p>
      <w:pPr>
        <w:spacing w:after="0" w:line="154"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which requires lessees to recognize a right-of-use asset and a lease liability for all leases with terms greater than 12 months. The standard also requires disclosures by lessees and lessors about the amount, timing and uncertainty of cash flows arising from leases, as well as changes in the categorization of rental costs, from rent expense to interest and depreciation expense. Other effects may occur depending on the types of leases and the specific terms of them utilized by particular lessees. The ASU is effective for the Company on January 1, 2019, and early application is permitted. Modified retrospective application is required. In September 2017 and January 2018, the FASB issued ASU No. 2017-13, which included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605</w:t>
      </w:r>
      <w:r>
        <w:rPr>
          <w:rFonts w:ascii="Arial" w:cs="Arial" w:eastAsia="Arial" w:hAnsi="Arial"/>
          <w:sz w:val="16"/>
          <w:szCs w:val="16"/>
          <w:color w:val="auto"/>
        </w:rPr>
        <w:t>)</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w:t>
      </w:r>
      <w:r>
        <w:rPr>
          <w:rFonts w:ascii="Arial" w:cs="Arial" w:eastAsia="Arial" w:hAnsi="Arial"/>
          <w:sz w:val="16"/>
          <w:szCs w:val="16"/>
          <w:i w:val="1"/>
          <w:iCs w:val="1"/>
          <w:color w:val="auto"/>
        </w:rPr>
        <w:t>,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840</w:t>
      </w:r>
      <w:r>
        <w:rPr>
          <w:rFonts w:ascii="Arial" w:cs="Arial" w:eastAsia="Arial" w:hAnsi="Arial"/>
          <w:sz w:val="16"/>
          <w:szCs w:val="16"/>
          <w:color w:val="auto"/>
        </w:rPr>
        <w:t>)</w:t>
      </w:r>
      <w:r>
        <w:rPr>
          <w:rFonts w:ascii="Arial" w:cs="Arial" w:eastAsia="Arial" w:hAnsi="Arial"/>
          <w:sz w:val="16"/>
          <w:szCs w:val="16"/>
          <w:i w:val="1"/>
          <w:iCs w:val="1"/>
          <w:color w:val="auto"/>
        </w:rPr>
        <w:t>, and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ASU No. 2018-01</w:t>
      </w:r>
      <w:r>
        <w:rPr>
          <w:rFonts w:ascii="Arial" w:cs="Arial" w:eastAsia="Arial" w:hAnsi="Arial"/>
          <w:sz w:val="16"/>
          <w:szCs w:val="16"/>
          <w:i w:val="1"/>
          <w:iCs w:val="1"/>
          <w:color w:val="auto"/>
        </w:rPr>
        <w:t>,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w:t>
      </w:r>
      <w:r>
        <w:rPr>
          <w:rFonts w:ascii="Arial" w:cs="Arial" w:eastAsia="Arial" w:hAnsi="Arial"/>
          <w:sz w:val="16"/>
          <w:szCs w:val="16"/>
          <w:i w:val="1"/>
          <w:iCs w:val="1"/>
          <w:color w:val="auto"/>
        </w:rPr>
        <w:t>, Land Easement Practical Expedient for Transition to</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and provided additional implementation guidance on ASU 2016-02. The Company has not yet completed its assessment of the impact of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on the Company’s Consolidated Financial Statements. The Company is in the early stages of implementation and currently believes that the most notable impact to its financial statements upon the adoption of this ASU will be the recognition of a material right-of-use asset and a lease liability for its real estate and equipment leases. The Company is continuing to assess potential impacts that the standard may have on current accounting policies and procedures, and is implementing a new lease management system to assist in the application of the new standard.</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 220): Reclassification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Tax Effects from Accumulated Other Comprehensive Income</w:t>
      </w:r>
      <w:r>
        <w:rPr>
          <w:rFonts w:ascii="Arial" w:cs="Arial" w:eastAsia="Arial" w:hAnsi="Arial"/>
          <w:sz w:val="17"/>
          <w:szCs w:val="17"/>
          <w:color w:val="auto"/>
        </w:rPr>
        <w:t>. Under existing U.S. GAAP, the effects of changes in tax rates and laws on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Cuts and Jobs Act. The amendments in this ASU also require certain disclosures about stranded tax effects. The guidance is effective for fiscal years beginning after December 15, 2018, and interim periods within those fiscal years. Early adoption in any period is permitted. The Company is currently evaluating the impact of adopting ASU No. 2018-02.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earns revenue primarily through the sale of our wireless telecommunications services, wireless equipment, and business, residential, and enterprise cable and wireline services that include video, internet, voice, and data services. Revenue earned for the three months ended June 30, 2018 was as follows: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Wireless</w:t>
            </w:r>
          </w:p>
        </w:tc>
        <w:tc>
          <w:tcPr>
            <w:tcW w:w="42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b w:val="1"/>
                <w:bCs w:val="1"/>
                <w:color w:val="auto"/>
              </w:rPr>
              <w:t>Cable</w:t>
            </w:r>
          </w:p>
        </w:tc>
        <w:tc>
          <w:tcPr>
            <w:tcW w:w="38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Wireline</w:t>
            </w: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r>
      <w:tr>
        <w:trPr>
          <w:trHeight w:val="27"/>
        </w:trPr>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Wireless service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93,219</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93,219</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Wireless equipment</w:t>
            </w:r>
          </w:p>
        </w:tc>
        <w:tc>
          <w:tcPr>
            <w:tcW w:w="3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15,819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15,819</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Business, residential and enterprise</w:t>
            </w:r>
          </w:p>
        </w:tc>
        <w:tc>
          <w:tcPr>
            <w:tcW w:w="380" w:type="dxa"/>
            <w:vAlign w:val="bottom"/>
          </w:tcPr>
          <w:p>
            <w:pPr>
              <w:spacing w:after="0"/>
              <w:rPr>
                <w:sz w:val="23"/>
                <w:szCs w:val="23"/>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29,466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39,979</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Tower and other</w:t>
            </w:r>
          </w:p>
        </w:tc>
        <w:tc>
          <w:tcPr>
            <w:tcW w:w="3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14,488</w:t>
            </w:r>
          </w:p>
        </w:tc>
      </w:tr>
      <w:tr>
        <w:trPr>
          <w:trHeight w:val="27"/>
        </w:trPr>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112,282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32,111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19,112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163,505</w:t>
            </w:r>
          </w:p>
        </w:tc>
      </w:tr>
      <w:tr>
        <w:trPr>
          <w:trHeight w:val="27"/>
        </w:trPr>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Internal revenues</w:t>
            </w: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(9,475)</w:t>
            </w:r>
          </w:p>
        </w:tc>
      </w:tr>
      <w:tr>
        <w:trPr>
          <w:trHeight w:val="27"/>
        </w:trPr>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30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111,038</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31,014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154,030</w:t>
            </w:r>
          </w:p>
        </w:tc>
      </w:tr>
      <w:tr>
        <w:trPr>
          <w:trHeight w:val="20"/>
        </w:trPr>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for the six months ended June 30, 2018 was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Wireless</w:t>
            </w:r>
          </w:p>
        </w:tc>
        <w:tc>
          <w:tcPr>
            <w:tcW w:w="400" w:type="dxa"/>
            <w:vAlign w:val="bottom"/>
          </w:tcPr>
          <w:p>
            <w:pPr>
              <w:spacing w:after="0"/>
              <w:rPr>
                <w:sz w:val="20"/>
                <w:szCs w:val="20"/>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Cable</w:t>
            </w:r>
          </w:p>
        </w:tc>
        <w:tc>
          <w:tcPr>
            <w:tcW w:w="38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Wireline</w:t>
            </w: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r>
      <w:tr>
        <w:trPr>
          <w:trHeight w:val="27"/>
        </w:trPr>
        <w:tc>
          <w:tcPr>
            <w:tcW w:w="3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Wireless service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182,978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182,978</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Wireless equipment</w:t>
            </w:r>
          </w:p>
        </w:tc>
        <w:tc>
          <w:tcPr>
            <w:tcW w:w="38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33,193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33,193</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Business, residential and enterprise</w:t>
            </w:r>
          </w:p>
        </w:tc>
        <w:tc>
          <w:tcPr>
            <w:tcW w:w="3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58,597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21,204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79,801</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Tower and other</w:t>
            </w:r>
          </w:p>
        </w:tc>
        <w:tc>
          <w:tcPr>
            <w:tcW w:w="38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29,349</w:t>
            </w:r>
          </w:p>
        </w:tc>
      </w:tr>
      <w:tr>
        <w:trPr>
          <w:trHeight w:val="27"/>
        </w:trPr>
        <w:tc>
          <w:tcPr>
            <w:tcW w:w="3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222,680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63,822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38,819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325,321</w:t>
            </w:r>
          </w:p>
        </w:tc>
      </w:tr>
      <w:tr>
        <w:trPr>
          <w:trHeight w:val="27"/>
        </w:trPr>
        <w:tc>
          <w:tcPr>
            <w:tcW w:w="3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Internal revenues</w:t>
            </w: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(19,559)</w:t>
            </w:r>
          </w:p>
        </w:tc>
      </w:tr>
      <w:tr>
        <w:trPr>
          <w:trHeight w:val="27"/>
        </w:trPr>
        <w:tc>
          <w:tcPr>
            <w:tcW w:w="3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40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220,197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61,694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305,762</w:t>
            </w:r>
          </w:p>
        </w:tc>
      </w:tr>
      <w:tr>
        <w:trPr>
          <w:trHeight w:val="20"/>
        </w:trPr>
        <w:tc>
          <w:tcPr>
            <w:tcW w:w="3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service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the Company's revenue is earned through providing network access to Sprint under the affiliate agreement, which represents approximately 61% of consolidated revenues. Wireless service revenue is variable based on billed revenues to Sprint’s subscribers in the Company's affiliate area, less applicable fees retained by Sprint.</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revenue related to Sprint’s postpaid customers is the amount that Sprint bills its postpaid subscribers, reduced by customer credits, write-offs of receivables, and 8% management and 8.6% service fees. The Company is also charged for the costs of subsidized handsets sold through Sprint’s national channels as well as commissions paid by Sprint to third-party resellers in the Company's service territory.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revenue related to Sprint’s prepaid customers is the amount Sprint bills its prepaid subscribers, reduced by costs to acquire and support the customer, based on national averages for Sprint’s prepaid programs, and a 6% management fee.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considers Sprint, rather than Sprint's subscribers, to be the customer under the new revenue recognition standard and the Company's performance obligation is to provide Sprint a series of continuous network access services. The reimbursement to Sprint for the costs of handsets sold through Sprint’s national channels, as well as commissions paid by Sprint to third-party resellers in our service territory represent consideration payable to a customer that is not in exchange for a distinct service under Topic 606. Therefore, these reimbursements result in increases to our contract asset position that are subsequently recognized as a reduction of revenue over the average subscriber life of approximately two years which is the period the Company expects those payments to result in increased revenues. Historically, under ASC 605 the customer was considered the subscriber rather than Sprint and as a result, reimbursement payments to Sprint for costs of handsets and commissions were recorded as operating expenses in the period incurred. During 2017, these costs totaled $63.5 million recorded in cost of goods and services, and $16.9 million recorded in selling, general and administrative costs.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upon adoption, the Company recorded a wireless contract asset of approximately $42.8 million. During the three months ended June 30, 2018, payments that increased the wireless contract asset balance totaled $14.6 million and amortization reflected as a reduction of revenue totaled approximately $13.7 million. During the six months ended June 30, 2018, payments that increased the wireless contract asset balance totaled $28.4 million and amortization reflected as a reduction of revenue totaled approximately $27.1 million. The wireless contract asset balance as of June 30, 2018 was approximately $44.1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equipment</w:t>
      </w:r>
    </w:p>
    <w:p>
      <w:pPr>
        <w:spacing w:after="0" w:line="23"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The Company owns and operates Sprint-branded retail stores within their geographic territory from which the Company sells equipment, primarily wireless handsets, and service to Sprint subscribers. The Company's equipment is generally sold to subscribers under subsidized plans or to Sprint under equipment financing plans. Under the equipment financing plans, Sprint purchases the equipment from the Company and resells the equipment to their subscribers.</w:t>
      </w:r>
    </w:p>
    <w:p>
      <w:pPr>
        <w:spacing w:after="0" w:line="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Historically, under ASC 605, the Company concluded that it was the agent in these equipment financing transactions and recorded revenues net of related handset costs which were approximately $63.8 million in 2017. Under Topic 606 the Company concluded that it is the principal in these equipment financing transactions, as the Company controls and bears the risk of ownership of the inventory prior to sale, and accordingly revenues and handset costs are recorded on a gross basis, the corresponding cost of the equipment is recorded separately to cost of goods sold.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residential and enterprise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earns revenue in the cable and wireline segments from business, residential, and enterprise customers where the performance obligations are to provide cable and telephone network services, sell and lease equipment and wiring services, and lease fiber-optic cable capacity. The Company's arrangements are generally composed of contracts that are cancellable at the customer’s discretion without penalty at any time. As there are multiple performance obligations in these arrangements, the Company recognizes revenue based on the standalone selling price of each distinct good or service. The Company generally recognizes these revenues over time as customers simultaneously receive and consume the benefits of the service, with the exception of equipment sales and home wiring which are recognized as revenue at a point in time when control transfers and when installation is complete, respectively.</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new revenue recognition standard, the Company concluded that installation services do not represent a separate performance obligation. Accordingly, installation fees are allocated to services and are recognized ratably over the longer of the contract term or the period the unrecognized portion of the fee remains material to the contract, typically 10 and 11 months for cable and wireline customers, respectively. Historically, the Company deferred these fees over the estimated customer life of 42 months. Additionally, the Company incurs commission and installation costs related to in-house and third-party vendors that were previously expensed as incurred. Under Topic 606, the Company capitalizes and amortizes these commission and installation costs over the expected benefit period which is approximately 44 months, 72 months, and 46 months, for cable, wireline, and enterprise business,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 Other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Tower revenues consist primarily of tower space leases accounted for under Topic 840, </w:t>
      </w:r>
      <w:r>
        <w:rPr>
          <w:rFonts w:ascii="Arial" w:cs="Arial" w:eastAsia="Arial" w:hAnsi="Arial"/>
          <w:sz w:val="18"/>
          <w:szCs w:val="18"/>
          <w:i w:val="1"/>
          <w:iCs w:val="1"/>
          <w:color w:val="auto"/>
        </w:rPr>
        <w:t>Leases</w:t>
      </w:r>
      <w:r>
        <w:rPr>
          <w:rFonts w:ascii="Arial" w:cs="Arial" w:eastAsia="Arial" w:hAnsi="Arial"/>
          <w:sz w:val="18"/>
          <w:szCs w:val="18"/>
          <w:color w:val="auto"/>
        </w:rPr>
        <w:t>, and Other revenues include network access-related charges for service provided to customers across the segments.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cumulative effect of the changes made to our consolidated January 1, 2018 balance sheet for the adoption of the new revenue recognition standard were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w:t>
            </w:r>
          </w:p>
        </w:tc>
        <w:tc>
          <w:tcPr>
            <w:tcW w:w="16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 due to</w:t>
            </w:r>
          </w:p>
        </w:tc>
        <w:tc>
          <w:tcPr>
            <w:tcW w:w="12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Balance at January 1,</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76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Topic 606</w:t>
            </w:r>
          </w:p>
        </w:tc>
        <w:tc>
          <w:tcPr>
            <w:tcW w:w="120" w:type="dxa"/>
            <w:vAlign w:val="bottom"/>
          </w:tcPr>
          <w:p>
            <w:pPr>
              <w:spacing w:after="0"/>
              <w:rPr>
                <w:sz w:val="20"/>
                <w:szCs w:val="20"/>
                <w:color w:val="auto"/>
              </w:rPr>
            </w:pPr>
          </w:p>
        </w:tc>
        <w:tc>
          <w:tcPr>
            <w:tcW w:w="17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17,111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36,577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53,688</w:t>
            </w: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12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13,690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16,107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29,797</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Advanced billing and customer deposits</w:t>
            </w:r>
          </w:p>
        </w:tc>
        <w:tc>
          <w:tcPr>
            <w:tcW w:w="12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21,153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18,151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119,030</w:t>
            </w: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15,293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50,035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347,240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of the new revenue recognition standard on our consolidated income statement and balance sheet was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Three Months Ended June 30, 2018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Balances without</w:t>
            </w:r>
          </w:p>
        </w:tc>
        <w:tc>
          <w:tcPr>
            <w:tcW w:w="220" w:type="dxa"/>
            <w:vAlign w:val="bottom"/>
          </w:tcPr>
          <w:p>
            <w:pPr>
              <w:spacing w:after="0"/>
              <w:rPr>
                <w:sz w:val="18"/>
                <w:szCs w:val="18"/>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Effect of Change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Reported</w:t>
            </w: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Adoption of Topic 606</w:t>
            </w:r>
          </w:p>
        </w:tc>
        <w:tc>
          <w:tcPr>
            <w:tcW w:w="220" w:type="dxa"/>
            <w:vAlign w:val="bottom"/>
          </w:tcPr>
          <w:p>
            <w:pPr>
              <w:spacing w:after="0"/>
              <w:rPr>
                <w:sz w:val="20"/>
                <w:szCs w:val="20"/>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Higher/(Lower)</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Service revenues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138,021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156,267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(18,246)</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Equipment revenues</w:t>
            </w:r>
          </w:p>
        </w:tc>
        <w:tc>
          <w:tcPr>
            <w:tcW w:w="30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16,009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49,134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48,999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15,166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8,838</w:t>
            </w: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29,915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45,579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(15,664)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60" w:type="dxa"/>
            <w:vAlign w:val="bottom"/>
            <w:gridSpan w:val="6"/>
          </w:tcPr>
          <w:p>
            <w:pPr>
              <w:jc w:val="center"/>
              <w:ind w:left="1290"/>
              <w:spacing w:after="0"/>
              <w:rPr>
                <w:sz w:val="20"/>
                <w:szCs w:val="20"/>
                <w:color w:val="auto"/>
              </w:rPr>
            </w:pPr>
            <w:r>
              <w:rPr>
                <w:rFonts w:ascii="Arial" w:cs="Arial" w:eastAsia="Arial" w:hAnsi="Arial"/>
                <w:sz w:val="18"/>
                <w:szCs w:val="18"/>
                <w:b w:val="1"/>
                <w:bCs w:val="1"/>
                <w:color w:val="auto"/>
                <w:w w:val="89"/>
              </w:rPr>
              <w:t>Six Months Ended June 30, 2018</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Balances without</w:t>
            </w:r>
          </w:p>
        </w:tc>
        <w:tc>
          <w:tcPr>
            <w:tcW w:w="260" w:type="dxa"/>
            <w:vAlign w:val="bottom"/>
          </w:tcPr>
          <w:p>
            <w:pPr>
              <w:spacing w:after="0"/>
              <w:rPr>
                <w:sz w:val="18"/>
                <w:szCs w:val="18"/>
                <w:color w:val="auto"/>
              </w:rPr>
            </w:pP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Effect of Change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Reported</w:t>
            </w: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Adoption of Topic 606</w:t>
            </w:r>
          </w:p>
        </w:tc>
        <w:tc>
          <w:tcPr>
            <w:tcW w:w="260" w:type="dxa"/>
            <w:vAlign w:val="bottom"/>
          </w:tcPr>
          <w:p>
            <w:pPr>
              <w:spacing w:after="0"/>
              <w:rPr>
                <w:sz w:val="20"/>
                <w:szCs w:val="20"/>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Higher/(Lower)</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Service revenues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272,174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310,079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(37,905)</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Equipment revenues</w:t>
            </w:r>
          </w:p>
        </w:tc>
        <w:tc>
          <w:tcPr>
            <w:tcW w:w="30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33,588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29,730</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98,476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98,198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12,446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270"/>
        </w:trPr>
        <w:tc>
          <w:tcPr>
            <w:tcW w:w="40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58,665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88,547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(29,882)</w:t>
            </w:r>
          </w:p>
        </w:tc>
        <w:tc>
          <w:tcPr>
            <w:tcW w:w="0" w:type="dxa"/>
            <w:vAlign w:val="bottom"/>
          </w:tcPr>
          <w:p>
            <w:pPr>
              <w:spacing w:after="0"/>
              <w:rPr>
                <w:sz w:val="1"/>
                <w:szCs w:val="1"/>
                <w:color w:val="auto"/>
              </w:rPr>
            </w:pPr>
          </w:p>
        </w:tc>
      </w:tr>
      <w:tr>
        <w:trPr>
          <w:trHeight w:val="702"/>
        </w:trPr>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4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 June 30, 2018</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Balances without</w:t>
            </w:r>
          </w:p>
        </w:tc>
        <w:tc>
          <w:tcPr>
            <w:tcW w:w="220" w:type="dxa"/>
            <w:vAlign w:val="bottom"/>
          </w:tcPr>
          <w:p>
            <w:pPr>
              <w:spacing w:after="0"/>
              <w:rPr>
                <w:sz w:val="18"/>
                <w:szCs w:val="18"/>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Effect of Change</w:t>
            </w:r>
          </w:p>
        </w:tc>
        <w:tc>
          <w:tcPr>
            <w:tcW w:w="0" w:type="dxa"/>
            <w:vAlign w:val="bottom"/>
          </w:tcPr>
          <w:p>
            <w:pPr>
              <w:spacing w:after="0"/>
              <w:rPr>
                <w:sz w:val="1"/>
                <w:szCs w:val="1"/>
                <w:color w:val="auto"/>
              </w:rPr>
            </w:pPr>
          </w:p>
        </w:tc>
      </w:tr>
      <w:tr>
        <w:trPr>
          <w:trHeight w:val="234"/>
        </w:trPr>
        <w:tc>
          <w:tcPr>
            <w:tcW w:w="40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Reported</w:t>
            </w: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Adoption of Topic 606</w:t>
            </w:r>
          </w:p>
        </w:tc>
        <w:tc>
          <w:tcPr>
            <w:tcW w:w="220" w:type="dxa"/>
            <w:vAlign w:val="bottom"/>
          </w:tcPr>
          <w:p>
            <w:pPr>
              <w:spacing w:after="0"/>
              <w:rPr>
                <w:sz w:val="20"/>
                <w:szCs w:val="20"/>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Higher/(Lower)</w:t>
            </w: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Assets</w:t>
            </w: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64,163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26,215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37,948</w:t>
            </w: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34,021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70"/>
        </w:trPr>
        <w:tc>
          <w:tcPr>
            <w:tcW w:w="4040" w:type="dxa"/>
            <w:vAlign w:val="bottom"/>
            <w:gridSpan w:val="2"/>
          </w:tcPr>
          <w:p>
            <w:pPr>
              <w:ind w:left="40"/>
              <w:spacing w:after="0"/>
              <w:rPr>
                <w:sz w:val="20"/>
                <w:szCs w:val="20"/>
                <w:color w:val="auto"/>
              </w:rPr>
            </w:pPr>
            <w:r>
              <w:rPr>
                <w:rFonts w:ascii="Arial" w:cs="Arial" w:eastAsia="Arial" w:hAnsi="Arial"/>
                <w:sz w:val="18"/>
                <w:szCs w:val="18"/>
                <w:i w:val="1"/>
                <w:iCs w:val="1"/>
                <w:color w:val="auto"/>
              </w:rPr>
              <w:t>Liabilities</w:t>
            </w: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Advanced billing and customer deposits</w:t>
            </w:r>
          </w:p>
        </w:tc>
        <w:tc>
          <w:tcPr>
            <w:tcW w:w="28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22,704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111,125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92,190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18,935</w:t>
            </w: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15,080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16,259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359,893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307,738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52,155</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performance obligations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30, 2018, the Company had approximately $3.1 million of transaction price allocated to unsatisfied performance obligations, which is exclusive of contracts with original expected duration of one year or less. The Company expects to recognize approximately $0.4 million of this amount as revenue during the remainder of 2018, $0.6 million in 2019, an additional $0.6 million by 2020, and the balance thereafter.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 and costs to fulfill contracts</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Capitalized contract costs represent contract fulfillment costs and contract acquisition costs which include commissions and installation costs in our cable and wireline segments. Capitalized contract costs are amortized on a straight line basis over the contract term plus expected renewals. The Company applies the practical expedient to expense contract acquisition costs when incurred if the amortization period would be twelve months or less. The amortization of these costs is included in cost of services, and selling, general and administrative expenses. Amounts capitalized were approximately $9.8 million as of June 30, 2018 of which $4.6 million is presented as prepaid expenses and other and $5.2 million is presented as deferred charges and other assets, net. Amortization recognized during the six-month period ended at June 30, 2018 was approximately $2.7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Sprint Territory Expansion: </w:t>
      </w:r>
      <w:r>
        <w:rPr>
          <w:rFonts w:ascii="Arial" w:cs="Arial" w:eastAsia="Arial" w:hAnsi="Arial"/>
          <w:sz w:val="16"/>
          <w:szCs w:val="16"/>
          <w:color w:val="auto"/>
        </w:rPr>
        <w:t>Effective February 1, 2018, the Company signed an expansion agreement with Sprint to expand its wireless service coverage area</w:t>
      </w:r>
      <w:r>
        <w:rPr>
          <w:rFonts w:ascii="Arial" w:cs="Arial" w:eastAsia="Arial" w:hAnsi="Arial"/>
          <w:sz w:val="16"/>
          <w:szCs w:val="16"/>
          <w:i w:val="1"/>
          <w:iCs w:val="1"/>
          <w:color w:val="auto"/>
        </w:rPr>
        <w:t xml:space="preserve"> </w:t>
      </w:r>
      <w:r>
        <w:rPr>
          <w:rFonts w:ascii="Arial" w:cs="Arial" w:eastAsia="Arial" w:hAnsi="Arial"/>
          <w:sz w:val="16"/>
          <w:szCs w:val="16"/>
          <w:color w:val="auto"/>
        </w:rPr>
        <w:t>to include certain areas in Kentucky, Pennsylvania, Virginia and West Virginia, (the “Expansion Area”). The agreement includes certain network build out requirements in the Expansion Area, and the ability to utilize Sprint’s spectrum in the Expansion Area. Pursuant to the expansion agreement, Sprint agreed to, among other things, transition the provision of network coverage in the Expansion Area from Sprint to the Company. The expansion agreement required a payment of $52.0 million for the right to service the Expansion Area pursuant to the Affiliate Agreements plus an additional payment of up to $5.0 million after acceptance of certain equipment at the Sprint cell sites in the Expansion Area. The transaction was accounted for as an asset acquisition.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80"/>
        </w:trPr>
        <w:tc>
          <w:tcPr>
            <w:tcW w:w="4820" w:type="dxa"/>
            <w:vAlign w:val="bottom"/>
            <w:gridSpan w:val="4"/>
          </w:tcPr>
          <w:p>
            <w:pPr>
              <w:spacing w:after="0"/>
              <w:rPr>
                <w:sz w:val="20"/>
                <w:szCs w:val="20"/>
                <w:color w:val="auto"/>
              </w:rPr>
            </w:pPr>
            <w:r>
              <w:rPr>
                <w:rFonts w:ascii="Arial" w:cs="Arial" w:eastAsia="Arial" w:hAnsi="Arial"/>
                <w:sz w:val="18"/>
                <w:szCs w:val="18"/>
                <w:color w:val="auto"/>
                <w:w w:val="97"/>
              </w:rPr>
              <w:t>The Company recorded the following in the wireless segment:</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0"/>
        </w:trPr>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Useful Life (in</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February 1, 2018</w:t>
            </w: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Affiliate Contract Expansion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45,148</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Prepayment of tangible assets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6,497</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Off-market leases - favorable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3,665</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Off-market leases - unfavorable</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52,000</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approximate and represent the average of the remaining useful lives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-130175</wp:posOffset>
            </wp:positionV>
            <wp:extent cx="1252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allocated the purchase price to the components identified in the table above based on the relative fair value of each component. The fair value of the components was determined using an income and cost approach.</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affiliate contract expansion asset is classified as "Intangible assets, net". The prepayment of tangible assets are classified as "Prepaid expenses and other" within current assets on the Company's balance sheet. The off-market leases - favorable and off-market leases - unfavorable, are classified as "Intangible assets, net" and "Deferred lease", respectively, on the Company's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Customer Concentration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Contractual Relationship:</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1999, the Company executed a Management Agreement (the “Agreement”) with Sprint whereby the Company committed to construct and operate a personal communications service (PCS) network using CDMA air interface technology. The Agreement has been amended numerous times. Under the amended Agreement, the Company is the exclusive PCS Affiliate of Sprint providing wireless mobility communications network products and services on the 800 MHz, 1900 MHz and 2.5 GHz spectrum ranges in its territory across a multi-state area covering large portions of central and western Virginia, south-central Pennsylvania, West Virginia, and portions of Maryland, North Carolina, Kentucky, and Ohio. The Company is authorized to use the Sprint brand in its territory, and operate its network under Sprint’s radio spectrum licenses. As an exclusive PCS Affiliate of Sprint, the Company has the exclusive right to build, own and maintain its portion of Sprint’s nationwide PCS network, in the aforementioned areas, to Sprint’s specifications. The initial term of the Agreement extends through November 2029, with two successive 10-year renewal periods, unless terminated by either party under provisions outlined in the Agreement. Upon non-renewal, the Company may cause Sprint to buy or Sprint may cause the Company to sell, the business at 90%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Manager (Shentel) owns the spectrum. Determination of EBV is made by an independent appraisal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the Affiliate agreement related to the acquisition of Expansion Area</w:t>
      </w:r>
      <w:r>
        <w:rPr>
          <w:rFonts w:ascii="Arial" w:cs="Arial" w:eastAsia="Arial" w:hAnsi="Arial"/>
          <w:sz w:val="18"/>
          <w:szCs w:val="18"/>
          <w:color w:val="auto"/>
        </w:rPr>
        <w:t>:</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Effective with the acquisition of Expansion Area on February 1, 2018, the Company amended its Agreement with Sprint to expand its wireless service area to include certain areas in Kentucky, Pennsylvania, Virginia and West Virginia. The agreement includes certain network build out requirements in the Expansion Area, and the ability to utilize Sprint’s spectrum in the Expansion Area along with certain other amendments to the Affiliate Agreements. Pursuant to the Expansion Agreement, Sprint agreed to, among other things, transition the provision of network coverage in the Expansion Area from Sprint to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(Loss) Per Share (EPS)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Basic EPS was computed by dividing net income or loss by the weighted average number of shares of common stock outstanding during the period. Diluted net income (loss) per share was computed under the treasury stock method, assuming the conversion as of the beginning of the period, for all dilutive stock options. Diluted EPS was computed by dividing net income by the sum of the weighted average number of shares of common stock outstanding and potentially dilutive securities outstanding during the period under the treasury stock method. Potentially dilutive securities include stock options and restricted stock units and shares that the Company is contractually obligated to issue in the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260" w:type="dxa"/>
            <w:vAlign w:val="bottom"/>
            <w:gridSpan w:val="9"/>
          </w:tcPr>
          <w:p>
            <w:pPr>
              <w:spacing w:after="0"/>
              <w:rPr>
                <w:sz w:val="20"/>
                <w:szCs w:val="20"/>
                <w:color w:val="auto"/>
              </w:rPr>
            </w:pPr>
            <w:r>
              <w:rPr>
                <w:rFonts w:ascii="Arial" w:cs="Arial" w:eastAsia="Arial" w:hAnsi="Arial"/>
                <w:sz w:val="18"/>
                <w:szCs w:val="18"/>
                <w:color w:val="auto"/>
                <w:w w:val="91"/>
              </w:rPr>
              <w:t>The following table indicates the computation of basic and diluted earnings per share: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16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3"/>
              </w:rPr>
              <w:t>Six Months Ended</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0"/>
                <w:szCs w:val="20"/>
                <w:color w:val="auto"/>
              </w:rPr>
            </w:pPr>
          </w:p>
        </w:tc>
        <w:tc>
          <w:tcPr>
            <w:tcW w:w="16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ind w:left="40"/>
              <w:spacing w:after="0"/>
              <w:rPr>
                <w:sz w:val="20"/>
                <w:szCs w:val="20"/>
                <w:color w:val="auto"/>
              </w:rPr>
            </w:pPr>
            <w:r>
              <w:rPr>
                <w:rFonts w:ascii="Arial" w:cs="Arial" w:eastAsia="Arial" w:hAnsi="Arial"/>
                <w:sz w:val="18"/>
                <w:szCs w:val="18"/>
                <w:color w:val="auto"/>
              </w:rPr>
              <w:t>Calculation of net income (loss) per share:</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49,115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49,083</w:t>
            </w: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ind w:left="40"/>
              <w:spacing w:after="0"/>
              <w:rPr>
                <w:sz w:val="20"/>
                <w:szCs w:val="20"/>
                <w:color w:val="auto"/>
              </w:rPr>
            </w:pPr>
            <w:r>
              <w:rPr>
                <w:rFonts w:ascii="Arial" w:cs="Arial" w:eastAsia="Arial" w:hAnsi="Arial"/>
                <w:sz w:val="18"/>
                <w:szCs w:val="18"/>
                <w:color w:val="auto"/>
              </w:rPr>
              <w:t>Basic income (loss) per share</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ind w:left="40"/>
              <w:spacing w:after="0"/>
              <w:rPr>
                <w:sz w:val="20"/>
                <w:szCs w:val="20"/>
                <w:color w:val="auto"/>
              </w:rPr>
            </w:pPr>
            <w:r>
              <w:rPr>
                <w:rFonts w:ascii="Arial" w:cs="Arial" w:eastAsia="Arial" w:hAnsi="Arial"/>
                <w:sz w:val="18"/>
                <w:szCs w:val="18"/>
                <w:color w:val="auto"/>
              </w:rPr>
              <w:t>Effect of stock options outstanding:</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49,115</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49,083</w:t>
            </w:r>
          </w:p>
        </w:tc>
        <w:tc>
          <w:tcPr>
            <w:tcW w:w="0" w:type="dxa"/>
            <w:vAlign w:val="bottom"/>
          </w:tcPr>
          <w:p>
            <w:pPr>
              <w:spacing w:after="0"/>
              <w:rPr>
                <w:sz w:val="1"/>
                <w:szCs w:val="1"/>
                <w:color w:val="auto"/>
              </w:rPr>
            </w:pPr>
          </w:p>
        </w:tc>
      </w:tr>
      <w:tr>
        <w:trPr>
          <w:trHeight w:val="270"/>
        </w:trPr>
        <w:tc>
          <w:tcPr>
            <w:tcW w:w="4040" w:type="dxa"/>
            <w:vAlign w:val="bottom"/>
            <w:gridSpan w:val="2"/>
          </w:tcPr>
          <w:p>
            <w:pPr>
              <w:ind w:left="180"/>
              <w:spacing w:after="0"/>
              <w:rPr>
                <w:sz w:val="20"/>
                <w:szCs w:val="20"/>
                <w:color w:val="auto"/>
              </w:rPr>
            </w:pPr>
            <w:r>
              <w:rPr>
                <w:rFonts w:ascii="Arial" w:cs="Arial" w:eastAsia="Arial" w:hAnsi="Arial"/>
                <w:sz w:val="18"/>
                <w:szCs w:val="18"/>
                <w:color w:val="auto"/>
                <w:w w:val="95"/>
              </w:rPr>
              <w:t>Effect from dilutive shares and options outstanding</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49,115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49,850</w:t>
            </w:r>
          </w:p>
        </w:tc>
        <w:tc>
          <w:tcPr>
            <w:tcW w:w="0" w:type="dxa"/>
            <w:vAlign w:val="bottom"/>
          </w:tcPr>
          <w:p>
            <w:pPr>
              <w:spacing w:after="0"/>
              <w:rPr>
                <w:sz w:val="1"/>
                <w:szCs w:val="1"/>
                <w:color w:val="auto"/>
              </w:rPr>
            </w:pPr>
          </w:p>
        </w:tc>
      </w:tr>
      <w:tr>
        <w:trPr>
          <w:trHeight w:val="27"/>
        </w:trPr>
        <w:tc>
          <w:tcPr>
            <w:tcW w:w="4040" w:type="dxa"/>
            <w:vAlign w:val="bottom"/>
            <w:gridSpan w:val="2"/>
            <w:vMerge w:val="restart"/>
          </w:tcPr>
          <w:p>
            <w:pPr>
              <w:ind w:left="40"/>
              <w:spacing w:after="0"/>
              <w:rPr>
                <w:sz w:val="20"/>
                <w:szCs w:val="20"/>
                <w:color w:val="auto"/>
              </w:rPr>
            </w:pPr>
            <w:r>
              <w:rPr>
                <w:rFonts w:ascii="Arial" w:cs="Arial" w:eastAsia="Arial" w:hAnsi="Arial"/>
                <w:sz w:val="18"/>
                <w:szCs w:val="18"/>
                <w:color w:val="auto"/>
              </w:rPr>
              <w:t>Diluted income (loss) per share</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computation of diluted EPS does not include certain unvested awards, on a weighted average basis, because their inclusion would have an anti-dilutive effect on EPS. The awards excluded because of their anti-dilutive effect were as follows:</w:t>
      </w:r>
    </w:p>
    <w:p>
      <w:pPr>
        <w:sectPr>
          <w:pgSz w:w="11900" w:h="16838" w:orient="portrait"/>
          <w:cols w:equalWidth="0" w:num="1">
            <w:col w:w="11280"/>
          </w:cols>
          <w:pgMar w:left="240" w:top="1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Awards excluded from the computation of diluted net income per share because their inclusion would have been anti-dilutive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2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5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31"/>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122"/>
        </w:trPr>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820" w:lineRule="exact"/>
        <w:rPr>
          <w:sz w:val="20"/>
          <w:szCs w:val="20"/>
          <w:color w:val="auto"/>
        </w:rPr>
      </w:pPr>
    </w:p>
    <w:p>
      <w:pPr>
        <w:sectPr>
          <w:pgSz w:w="11900" w:h="16838" w:orient="portrait"/>
          <w:cols w:equalWidth="0" w:num="2">
            <w:col w:w="5300" w:space="720"/>
            <w:col w:w="5260"/>
          </w:cols>
          <w:pgMar w:left="240" w:top="108" w:right="37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 comprised of equity securities which do not have readily determinable fair values, consist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6/30/2018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12/31/2017</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500" w:type="dxa"/>
            <w:vAlign w:val="bottom"/>
          </w:tcPr>
          <w:p>
            <w:pPr>
              <w:ind w:left="140"/>
              <w:spacing w:after="0"/>
              <w:rPr>
                <w:sz w:val="20"/>
                <w:szCs w:val="20"/>
                <w:color w:val="auto"/>
              </w:rPr>
            </w:pPr>
            <w:r>
              <w:rPr>
                <w:rFonts w:ascii="Arial" w:cs="Arial" w:eastAsia="Arial" w:hAnsi="Arial"/>
                <w:sz w:val="18"/>
                <w:szCs w:val="18"/>
                <w:color w:val="auto"/>
              </w:rPr>
              <w:t>CoBank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Arial" w:cs="Arial" w:eastAsia="Arial" w:hAnsi="Arial"/>
                <w:sz w:val="18"/>
                <w:szCs w:val="18"/>
                <w:color w:val="auto"/>
              </w:rPr>
              <w:t>Other – Equity in other telecommunications partners</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7,629</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Equity method:</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50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240"/>
              <w:spacing w:after="0"/>
              <w:rPr>
                <w:sz w:val="20"/>
                <w:szCs w:val="20"/>
                <w:color w:val="auto"/>
              </w:rPr>
            </w:pPr>
            <w:r>
              <w:rPr>
                <w:rFonts w:ascii="Arial" w:cs="Arial" w:eastAsia="Arial" w:hAnsi="Arial"/>
                <w:sz w:val="18"/>
                <w:szCs w:val="18"/>
                <w:color w:val="auto"/>
              </w:rPr>
              <w:t>Total other investments</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CoBank investment is primarily related to patronage distributions of restricted equity and is a required investment related to the Credit Facility. Refer to Note 12, </w:t>
      </w:r>
      <w:r>
        <w:rPr>
          <w:rFonts w:ascii="Arial" w:cs="Arial" w:eastAsia="Arial" w:hAnsi="Arial"/>
          <w:sz w:val="18"/>
          <w:szCs w:val="18"/>
          <w:i w:val="1"/>
          <w:iCs w:val="1"/>
          <w:color w:val="auto"/>
        </w:rPr>
        <w:t>Long-Term Debt</w:t>
      </w:r>
      <w:r>
        <w:rPr>
          <w:rFonts w:ascii="Arial" w:cs="Arial" w:eastAsia="Arial" w:hAnsi="Arial"/>
          <w:sz w:val="18"/>
          <w:szCs w:val="18"/>
          <w:color w:val="auto"/>
        </w:rPr>
        <w:t>,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carried at fair value consisted of:</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6/30/2018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12/31/2017</w:t>
            </w:r>
          </w:p>
        </w:tc>
        <w:tc>
          <w:tcPr>
            <w:tcW w:w="0" w:type="dxa"/>
            <w:vAlign w:val="bottom"/>
          </w:tcPr>
          <w:p>
            <w:pPr>
              <w:spacing w:after="0"/>
              <w:rPr>
                <w:sz w:val="1"/>
                <w:szCs w:val="1"/>
                <w:color w:val="auto"/>
              </w:rPr>
            </w:pPr>
          </w:p>
        </w:tc>
      </w:tr>
      <w:tr>
        <w:trPr>
          <w:trHeight w:val="27"/>
        </w:trPr>
        <w:tc>
          <w:tcPr>
            <w:tcW w:w="3720" w:type="dxa"/>
            <w:vAlign w:val="bottom"/>
            <w:vMerge w:val="restart"/>
          </w:tcPr>
          <w:p>
            <w:pPr>
              <w:spacing w:after="0"/>
              <w:rPr>
                <w:sz w:val="20"/>
                <w:szCs w:val="20"/>
                <w:color w:val="auto"/>
              </w:rPr>
            </w:pPr>
            <w:r>
              <w:rPr>
                <w:rFonts w:ascii="Arial" w:cs="Arial" w:eastAsia="Arial" w:hAnsi="Arial"/>
                <w:sz w:val="18"/>
                <w:szCs w:val="18"/>
                <w:color w:val="auto"/>
              </w:rPr>
              <w:t>Domestic equity funds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2,933</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International equity funds</w:t>
            </w: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3,336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190"/>
              <w:spacing w:after="0"/>
              <w:rPr>
                <w:sz w:val="20"/>
                <w:szCs w:val="20"/>
                <w:color w:val="auto"/>
              </w:rPr>
            </w:pPr>
            <w:r>
              <w:rPr>
                <w:rFonts w:ascii="Arial" w:cs="Arial" w:eastAsia="Arial" w:hAnsi="Arial"/>
                <w:sz w:val="18"/>
                <w:szCs w:val="18"/>
                <w:color w:val="auto"/>
                <w:w w:val="79"/>
              </w:rPr>
              <w:t>13</w:t>
            </w:r>
          </w:p>
        </w:tc>
        <w:tc>
          <w:tcPr>
            <w:tcW w:w="0" w:type="dxa"/>
            <w:vAlign w:val="bottom"/>
          </w:tcPr>
          <w:p>
            <w:pPr>
              <w:spacing w:after="0"/>
              <w:rPr>
                <w:sz w:val="1"/>
                <w:szCs w:val="1"/>
                <w:color w:val="auto"/>
              </w:rPr>
            </w:pPr>
          </w:p>
        </w:tc>
      </w:tr>
    </w:tbl>
    <w:p>
      <w:pPr>
        <w:sectPr>
          <w:pgSz w:w="11900" w:h="16838" w:orient="portrait"/>
          <w:cols w:equalWidth="0" w:num="1">
            <w:col w:w="11280"/>
          </w:cols>
          <w:pgMar w:left="240" w:top="108" w:right="37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Investments carried at fair value were acquired under a rabbi trust arrangement related to the Company’s Supplemental Executive Retirement Plan (SERP). The Company purchases investments in the trust to mirror the investment elections of participants in the SERP. The Company recorded net gains of $56 thousand and $68 thousand in the three months ended June 30, 2018 and June 30, 2017, respectively. The Company recorded net gains of $24 thousand and $187 thousand in the six months ended June 30, 2018 and June 30, 2017, respectively. Fair values for these investments are determined by quoted market prices (Level 2 fair values) for the underlying mutual funds, which may be based upon net asset value. Gains and losses on the investments in the trust are reflected as increases or decreases in the liability owed to the participants. The increases or decreases to the liability are recorded as pension expense included within "Non-operating income (loss), net" in the Company's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hierarchy for financial assets and liabilities measured at fair value on a recurring basis: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 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Balance sheet location:</w:t>
            </w:r>
          </w:p>
        </w:tc>
        <w:tc>
          <w:tcPr>
            <w:tcW w:w="32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840" w:type="dxa"/>
            <w:vAlign w:val="bottom"/>
            <w:vMerge w:val="restart"/>
          </w:tcPr>
          <w:p>
            <w:pPr>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4,577</w:t>
            </w:r>
          </w:p>
        </w:tc>
        <w:tc>
          <w:tcPr>
            <w:tcW w:w="120" w:type="dxa"/>
            <w:vAlign w:val="bottom"/>
          </w:tcPr>
          <w:p>
            <w:pPr>
              <w:spacing w:after="0"/>
              <w:rPr>
                <w:sz w:val="23"/>
                <w:szCs w:val="23"/>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3"/>
                <w:szCs w:val="23"/>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13,925</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13,925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18,502</w:t>
            </w:r>
          </w:p>
        </w:tc>
        <w:tc>
          <w:tcPr>
            <w:tcW w:w="120" w:type="dxa"/>
            <w:vAlign w:val="bottom"/>
          </w:tcPr>
          <w:p>
            <w:pPr>
              <w:spacing w:after="0"/>
              <w:rPr>
                <w:sz w:val="22"/>
                <w:szCs w:val="22"/>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ind w:left="60"/>
              <w:spacing w:after="0"/>
              <w:rPr>
                <w:sz w:val="20"/>
                <w:szCs w:val="20"/>
                <w:color w:val="auto"/>
              </w:rPr>
            </w:pPr>
            <w:r>
              <w:rPr>
                <w:rFonts w:ascii="Arial" w:cs="Arial" w:eastAsia="Arial" w:hAnsi="Arial"/>
                <w:sz w:val="18"/>
                <w:szCs w:val="18"/>
                <w:b w:val="1"/>
                <w:bCs w:val="1"/>
                <w:color w:val="auto"/>
                <w:w w:val="98"/>
              </w:rPr>
              <w:t>For the year ended December 31, 2017</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Balance sheet location:</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1580" w:type="dxa"/>
            <w:vAlign w:val="bottom"/>
            <w:gridSpan w:val="2"/>
          </w:tcPr>
          <w:p>
            <w:pPr>
              <w:ind w:left="38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spacing w:after="0" w:line="258" w:lineRule="auto"/>
        <w:rPr>
          <w:sz w:val="20"/>
          <w:szCs w:val="20"/>
          <w:color w:val="auto"/>
        </w:rPr>
      </w:pPr>
      <w:r>
        <w:rPr>
          <w:rFonts w:ascii="Arial" w:cs="Arial" w:eastAsia="Arial" w:hAnsi="Arial"/>
          <w:sz w:val="18"/>
          <w:szCs w:val="18"/>
          <w:color w:val="auto"/>
        </w:rPr>
        <w:t>Level 1- Financial assets and liabilities whose values are based on unadjusted quoted prices in active markets for identical assets or liabilities that the reporting entity can access at the measurement date.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Level 2 - Financial assets and liabilities whose values are based on inputs other than quoted prices included within Level 1 that are observable for the asset or liability, either directly or indirectly.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Level 3 - Financial assets and liabilities whose values are based on unobservable inputs for the asset or liability.</w:t>
      </w:r>
    </w:p>
    <w:p>
      <w:pPr>
        <w:spacing w:after="0" w:line="21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Financial instruments are defined as cash, or other financial instruments to a third party. The carrying amounts of cash and cash equivalents, accounts receivable, other current assets, investments carried at fair value, accounts payable and accrued liabilities approximate fair value due to their short-term nature. The Company's Long-term debt and interest rate swaps approximate fair value because of their floating rate structure.</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Derivative financial instruments are recognized as assets or liabilities in the financial statements and measured at fair value on a recurring basis. See Note 10, </w:t>
      </w:r>
      <w:r>
        <w:rPr>
          <w:rFonts w:ascii="Arial" w:cs="Arial" w:eastAsia="Arial" w:hAnsi="Arial"/>
          <w:sz w:val="16"/>
          <w:szCs w:val="16"/>
          <w:i w:val="1"/>
          <w:iCs w:val="1"/>
          <w:color w:val="auto"/>
        </w:rPr>
        <w:t>Derivatives and Hedging</w:t>
      </w:r>
      <w:r>
        <w:rPr>
          <w:rFonts w:ascii="Arial" w:cs="Arial" w:eastAsia="Arial" w:hAnsi="Arial"/>
          <w:sz w:val="16"/>
          <w:szCs w:val="16"/>
          <w:color w:val="auto"/>
        </w:rPr>
        <w:t>, for additional information. The Company measures its interest rate swaps at fair value and recognizes such derivative instruments as either assets or liabilities on the Company’s consolidated balance sheet. Changes in the fair value of swaps are recognized in other comprehensive income, as the Company has designated these swaps as cash flow hedges for accounting purposes. The Company entered into these swaps to manage a portion of its exposure to interest rate movements by converting a portion of its variable rate long-term debt to fixed rate debt.</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determines the fair value of its security holdings based on pricing from its vendors. The valuation techniques used to measure the fair value of financial instruments having Level 2 inputs were derived from non-binding consensus prices that are corroborated by observable market data or quoted market prices for similar instruments. Such market prices may be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quoted prices in active markets for identical assets (Level 1 inputs) or pricing determined using inputs other than quoted prices that are observable either directly or indirectly (Level 2 inputs).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Company has certain non-marketable long-term investments for which it is not practicable to estimate fair value, refer to Note 6, </w:t>
      </w:r>
      <w:r>
        <w:rPr>
          <w:rFonts w:ascii="Arial" w:cs="Arial" w:eastAsia="Arial" w:hAnsi="Arial"/>
          <w:sz w:val="18"/>
          <w:szCs w:val="18"/>
          <w:i w:val="1"/>
          <w:iCs w:val="1"/>
          <w:color w:val="auto"/>
        </w:rPr>
        <w:t>Investments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Note 8. Property, Plant and Equipment</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gridSpan w:val="5"/>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Estimated Useful</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Lives</w:t>
            </w:r>
          </w:p>
        </w:tc>
        <w:tc>
          <w:tcPr>
            <w:tcW w:w="1920" w:type="dxa"/>
            <w:vAlign w:val="bottom"/>
            <w:gridSpan w:val="3"/>
          </w:tcPr>
          <w:p>
            <w:pPr>
              <w:ind w:left="38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70"/>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Buildings and structures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gridSpan w:val="4"/>
          </w:tcPr>
          <w:p>
            <w:pPr>
              <w:jc w:val="center"/>
              <w:ind w:right="540"/>
              <w:spacing w:after="0"/>
              <w:rPr>
                <w:sz w:val="20"/>
                <w:szCs w:val="20"/>
                <w:color w:val="auto"/>
              </w:rPr>
            </w:pPr>
            <w:r>
              <w:rPr>
                <w:rFonts w:ascii="Arial" w:cs="Arial" w:eastAsia="Arial" w:hAnsi="Arial"/>
                <w:sz w:val="18"/>
                <w:szCs w:val="18"/>
                <w:color w:val="auto"/>
                <w:w w:val="89"/>
              </w:rPr>
              <w:t>10 - 40 years</w:t>
            </w:r>
          </w:p>
        </w:tc>
        <w:tc>
          <w:tcPr>
            <w:tcW w:w="6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205,373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195,540</w:t>
            </w:r>
          </w:p>
        </w:tc>
        <w:tc>
          <w:tcPr>
            <w:tcW w:w="0" w:type="dxa"/>
            <w:vAlign w:val="bottom"/>
          </w:tcPr>
          <w:p>
            <w:pPr>
              <w:spacing w:after="0"/>
              <w:rPr>
                <w:sz w:val="1"/>
                <w:szCs w:val="1"/>
                <w:color w:val="auto"/>
              </w:rPr>
            </w:pPr>
          </w:p>
        </w:tc>
      </w:tr>
      <w:tr>
        <w:trPr>
          <w:trHeight w:val="270"/>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Cable and wire</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4 - 40 years</w:t>
            </w:r>
          </w:p>
        </w:tc>
        <w:tc>
          <w:tcPr>
            <w:tcW w:w="6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296,276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286,999</w:t>
            </w:r>
          </w:p>
        </w:tc>
        <w:tc>
          <w:tcPr>
            <w:tcW w:w="0" w:type="dxa"/>
            <w:vAlign w:val="bottom"/>
          </w:tcPr>
          <w:p>
            <w:pPr>
              <w:spacing w:after="0"/>
              <w:rPr>
                <w:sz w:val="1"/>
                <w:szCs w:val="1"/>
                <w:color w:val="auto"/>
              </w:rPr>
            </w:pPr>
          </w:p>
        </w:tc>
      </w:tr>
      <w:tr>
        <w:trPr>
          <w:trHeight w:val="270"/>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Equipment and software</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2 - 17 years</w:t>
            </w:r>
          </w:p>
        </w:tc>
        <w:tc>
          <w:tcPr>
            <w:tcW w:w="6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756,643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730,228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Plant in service</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1,264,751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1,219,185</w:t>
            </w:r>
          </w:p>
        </w:tc>
        <w:tc>
          <w:tcPr>
            <w:tcW w:w="0" w:type="dxa"/>
            <w:vAlign w:val="bottom"/>
          </w:tcPr>
          <w:p>
            <w:pPr>
              <w:spacing w:after="0"/>
              <w:rPr>
                <w:sz w:val="1"/>
                <w:szCs w:val="1"/>
                <w:color w:val="auto"/>
              </w:rPr>
            </w:pPr>
          </w:p>
        </w:tc>
      </w:tr>
      <w:tr>
        <w:trPr>
          <w:trHeight w:val="270"/>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Plant under construction</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67,584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62,202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1,332,335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1,281,387</w:t>
            </w:r>
          </w:p>
        </w:tc>
        <w:tc>
          <w:tcPr>
            <w:tcW w:w="0" w:type="dxa"/>
            <w:vAlign w:val="bottom"/>
          </w:tcPr>
          <w:p>
            <w:pPr>
              <w:spacing w:after="0"/>
              <w:rPr>
                <w:sz w:val="1"/>
                <w:szCs w:val="1"/>
                <w:color w:val="auto"/>
              </w:rPr>
            </w:pPr>
          </w:p>
        </w:tc>
      </w:tr>
      <w:tr>
        <w:trPr>
          <w:trHeight w:val="270"/>
        </w:trPr>
        <w:tc>
          <w:tcPr>
            <w:tcW w:w="3520" w:type="dxa"/>
            <w:vAlign w:val="bottom"/>
            <w:gridSpan w:val="2"/>
          </w:tcPr>
          <w:p>
            <w:pPr>
              <w:ind w:left="40"/>
              <w:spacing w:after="0"/>
              <w:rPr>
                <w:sz w:val="20"/>
                <w:szCs w:val="20"/>
                <w:color w:val="auto"/>
              </w:rPr>
            </w:pPr>
            <w:r>
              <w:rPr>
                <w:rFonts w:ascii="Arial" w:cs="Arial" w:eastAsia="Arial" w:hAnsi="Arial"/>
                <w:sz w:val="18"/>
                <w:szCs w:val="18"/>
                <w:color w:val="auto"/>
                <w:w w:val="89"/>
              </w:rPr>
              <w:t>Less accumulated amortization and depreciation</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663,996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595,060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668,339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686,327</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Note 9. Goodwill and Other Intangible Assets</w:t>
            </w: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Goodwill consisted of the following:</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June 30, 2018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December 31, 2017</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Goodwill - Wireless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146,383</w:t>
            </w:r>
          </w:p>
        </w:tc>
        <w:tc>
          <w:tcPr>
            <w:tcW w:w="1380" w:type="dxa"/>
            <w:vAlign w:val="bottom"/>
            <w:gridSpan w:val="3"/>
          </w:tcPr>
          <w:p>
            <w:pPr>
              <w:jc w:val="right"/>
              <w:ind w:right="10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146,383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Goodwill - Cable</w:t>
            </w:r>
          </w:p>
        </w:tc>
        <w:tc>
          <w:tcPr>
            <w:tcW w:w="28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Goodwill - Wireline</w:t>
            </w:r>
          </w:p>
        </w:tc>
        <w:tc>
          <w:tcPr>
            <w:tcW w:w="28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146,497</w:t>
            </w:r>
          </w:p>
        </w:tc>
        <w:tc>
          <w:tcPr>
            <w:tcW w:w="1380" w:type="dxa"/>
            <w:vAlign w:val="bottom"/>
            <w:gridSpan w:val="3"/>
          </w:tcPr>
          <w:p>
            <w:pPr>
              <w:jc w:val="right"/>
              <w:ind w:right="10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146,497</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2018</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4"/>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Amortization and</w:t>
            </w:r>
          </w:p>
        </w:tc>
        <w:tc>
          <w:tcPr>
            <w:tcW w:w="3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Amortization and</w:t>
            </w:r>
          </w:p>
        </w:tc>
        <w:tc>
          <w:tcPr>
            <w:tcW w:w="320" w:type="dxa"/>
            <w:vAlign w:val="bottom"/>
          </w:tcPr>
          <w:p>
            <w:pPr>
              <w:spacing w:after="0"/>
              <w:rPr>
                <w:sz w:val="12"/>
                <w:szCs w:val="12"/>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Non-amortizing intangibles:</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Cable franchise rights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Railroad crossing rights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40"/>
              <w:spacing w:after="0"/>
              <w:rPr>
                <w:sz w:val="20"/>
                <w:szCs w:val="20"/>
                <w:color w:val="auto"/>
              </w:rPr>
            </w:pPr>
            <w:r>
              <w:rPr>
                <w:rFonts w:ascii="Arial" w:cs="Arial" w:eastAsia="Arial" w:hAnsi="Arial"/>
                <w:sz w:val="18"/>
                <w:szCs w:val="18"/>
                <w:color w:val="auto"/>
              </w:rPr>
              <w:t>Total non-amortizing intangibles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64,475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64,475</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color w:val="auto"/>
              </w:rPr>
              <w:t>Finite-lived intangibles: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Affiliate contract expansion - wireless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455,306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(137,437)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317,869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410,157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304,193</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Favorable leases - wireless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15,758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14,221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Acquired subscribers - cable</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25,265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40"/>
              <w:spacing w:after="0"/>
              <w:rPr>
                <w:sz w:val="20"/>
                <w:szCs w:val="20"/>
                <w:color w:val="auto"/>
              </w:rPr>
            </w:pPr>
            <w:r>
              <w:rPr>
                <w:rFonts w:ascii="Arial" w:cs="Arial" w:eastAsia="Arial" w:hAnsi="Arial"/>
                <w:sz w:val="18"/>
                <w:szCs w:val="18"/>
                <w:color w:val="auto"/>
              </w:rPr>
              <w:t>Total finite-lived intangibles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496,792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(164,359)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332,433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448,988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316,504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561,267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(164,359)</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396,908</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513,463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380,979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Affiliate contract expansion is amortized over the expected benefit period and is further reduced by the amount of waived management fees received from Sprint which totaled $79.2 million since May 6, 2016, the date of the non-monetary exchange.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gross carrying amount of certain intangibles was affected by the expansion of the Company's wireless service coverage area with Sprint. See note 3,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for additional information.</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240" w:top="125" w:right="5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and Hedging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fair value of the Company’s derivative financial instruments as well as its classification on the consolidated balance sheet: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20" w:type="dxa"/>
            <w:vAlign w:val="bottom"/>
            <w:vMerge w:val="restart"/>
          </w:tcPr>
          <w:p>
            <w:pPr>
              <w:spacing w:after="0"/>
              <w:rPr>
                <w:sz w:val="20"/>
                <w:szCs w:val="20"/>
                <w:color w:val="auto"/>
              </w:rPr>
            </w:pPr>
            <w:r>
              <w:rPr>
                <w:rFonts w:ascii="Arial" w:cs="Arial" w:eastAsia="Arial" w:hAnsi="Arial"/>
                <w:sz w:val="18"/>
                <w:szCs w:val="18"/>
                <w:color w:val="auto"/>
              </w:rPr>
              <w:t>Balance Sheet Location of Derivative Financial Instruments:</w:t>
            </w:r>
          </w:p>
        </w:tc>
        <w:tc>
          <w:tcPr>
            <w:tcW w:w="1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4,577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15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13,925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240"/>
              <w:spacing w:after="0"/>
              <w:rPr>
                <w:sz w:val="20"/>
                <w:szCs w:val="20"/>
                <w:color w:val="auto"/>
              </w:rPr>
            </w:pPr>
            <w:r>
              <w:rPr>
                <w:rFonts w:ascii="Arial" w:cs="Arial" w:eastAsia="Arial" w:hAnsi="Arial"/>
                <w:sz w:val="18"/>
                <w:szCs w:val="18"/>
                <w:color w:val="auto"/>
              </w:rPr>
              <w:t>Total derivatives designated as hedging instruments</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18,502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accumulated other comprehensive income (loss) by component: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88"/>
              </w:rPr>
              <w:t>Six months ended June 30, 2018</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Gains (Losses) on</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Comprehensive</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(Expense)</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Income (Loss), net</w:t>
            </w:r>
          </w:p>
        </w:tc>
      </w:tr>
      <w:tr>
        <w:trPr>
          <w:trHeight w:val="234"/>
        </w:trPr>
        <w:tc>
          <w:tcPr>
            <w:tcW w:w="6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16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of taxes</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8,230</w:t>
            </w:r>
          </w:p>
        </w:tc>
      </w:tr>
      <w:tr>
        <w:trPr>
          <w:trHeight w:val="270"/>
        </w:trPr>
        <w:tc>
          <w:tcPr>
            <w:tcW w:w="6360" w:type="dxa"/>
            <w:vAlign w:val="bottom"/>
          </w:tcPr>
          <w:p>
            <w:pPr>
              <w:ind w:left="140"/>
              <w:spacing w:after="0"/>
              <w:rPr>
                <w:sz w:val="20"/>
                <w:szCs w:val="20"/>
                <w:color w:val="auto"/>
              </w:rPr>
            </w:pPr>
            <w:r>
              <w:rPr>
                <w:rFonts w:ascii="Arial" w:cs="Arial" w:eastAsia="Arial" w:hAnsi="Arial"/>
                <w:sz w:val="18"/>
                <w:szCs w:val="18"/>
                <w:color w:val="auto"/>
              </w:rPr>
              <w:t>Net change in unrealized gain (loss)</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3,895</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14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3,895</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Balance as of June 30,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18,502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12,125</w:t>
            </w: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notional amounts of the cash flow hedge were $406.1 million and $418.3 million as of June 30, 2018 and December 31,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Assets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Prepaid 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10,519</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Prepaid maintenance expenses</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3,062</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2,411</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Deferred contract costs</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37,947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Deferred contract and other costs include amounts reimbursed to Sprint for commissions and device costs, and commissions and installation costs in the Company’s Cable and Wireline segments. The deferred contract and other costs increased due to the adoption of Topic 606. Refer to Note 2,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for additional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80"/>
        </w:trPr>
        <w:tc>
          <w:tcPr>
            <w:tcW w:w="6440" w:type="dxa"/>
            <w:vAlign w:val="bottom"/>
            <w:gridSpan w:val="6"/>
          </w:tcPr>
          <w:p>
            <w:pPr>
              <w:spacing w:after="0"/>
              <w:rPr>
                <w:sz w:val="20"/>
                <w:szCs w:val="20"/>
                <w:color w:val="auto"/>
              </w:rPr>
            </w:pPr>
            <w:r>
              <w:rPr>
                <w:rFonts w:ascii="Arial" w:cs="Arial" w:eastAsia="Arial" w:hAnsi="Arial"/>
                <w:sz w:val="18"/>
                <w:szCs w:val="18"/>
                <w:color w:val="auto"/>
                <w:w w:val="90"/>
              </w:rPr>
              <w:t>Deferred charges and other assets, classified as long-term assets, included the following:</w:t>
            </w:r>
          </w:p>
        </w:tc>
        <w:tc>
          <w:tcPr>
            <w:tcW w:w="1800" w:type="dxa"/>
            <w:vAlign w:val="bottom"/>
          </w:tcPr>
          <w:p>
            <w:pPr>
              <w:spacing w:after="0"/>
              <w:rPr>
                <w:sz w:val="24"/>
                <w:szCs w:val="24"/>
                <w:color w:val="auto"/>
              </w:rPr>
            </w:pPr>
          </w:p>
        </w:tc>
      </w:tr>
      <w:tr>
        <w:trPr>
          <w:trHeight w:val="378"/>
        </w:trPr>
        <w:tc>
          <w:tcPr>
            <w:tcW w:w="41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24"/>
                <w:szCs w:val="24"/>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13,925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10,776</w:t>
            </w:r>
          </w:p>
        </w:tc>
      </w:tr>
      <w:tr>
        <w:trPr>
          <w:trHeight w:val="27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Deferred contract costs</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15,953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2,914</w:t>
            </w:r>
          </w:p>
        </w:tc>
      </w:tr>
      <w:tr>
        <w:trPr>
          <w:trHeight w:val="27"/>
        </w:trPr>
        <w:tc>
          <w:tcPr>
            <w:tcW w:w="4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w:t>
            </w:r>
          </w:p>
        </w:tc>
      </w:tr>
      <w:tr>
        <w:trPr>
          <w:trHeight w:val="20"/>
        </w:trPr>
        <w:tc>
          <w:tcPr>
            <w:tcW w:w="4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Deferred contract and other costs include amounts reimbursed to Sprint for commissions and device costs, and commissions and installation costs in the Company’s Cable and Wireline segments. The deferred contract and other costs increased due to the adoption of Topic 606. Refer to Note 2,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Sales and property taxes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Severance accrual</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Accrued programming costs</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5,717</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classified as long-term liabilities,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Non-current portion of deferred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12,782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14,030</w:t>
            </w:r>
          </w:p>
        </w:tc>
      </w:tr>
      <w:tr>
        <w:trPr>
          <w:trHeight w:val="270"/>
        </w:trPr>
        <w:tc>
          <w:tcPr>
            <w:tcW w:w="412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w:t>
            </w: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Company's asset retirement obligations are included in the balance sheet captions "Asset retirement obligations" and "Accrued liabilities and other". The Company records the fair value of an asset retirement obligation as a liability in the period in which it incurs a legal obligation associated with the retirement and removal of leasehold improvements or equipment. The Company also records a corresponding asset, which is depreciated over the life of the leasehold improvement or equipment. Subsequent to the initial measurement of the asset retirement obligation, the obligation is adjusted at the end of each period to reflect the passage of time and changes in the estimated future cash flows underlying the obligation. The terms associated with its operating leases, and applicable zoning ordinances of certain jurisdictions, define the Company’s obligations which are estimated and vary based on the size of the towers.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debt as of June 30, 2018 and December 31, 2017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5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Term loan A-1</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412,250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436,500</w:t>
            </w: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Term loan A-2</w:t>
            </w: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7"/>
        </w:trPr>
        <w:tc>
          <w:tcPr>
            <w:tcW w:w="5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812,250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836,500</w:t>
            </w: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Less: unamortized loan fees</w:t>
            </w: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12,354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14,542</w:t>
            </w:r>
          </w:p>
        </w:tc>
      </w:tr>
      <w:tr>
        <w:trPr>
          <w:trHeight w:val="27"/>
        </w:trPr>
        <w:tc>
          <w:tcPr>
            <w:tcW w:w="5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5440" w:type="dxa"/>
            <w:vAlign w:val="bottom"/>
          </w:tcPr>
          <w:p>
            <w:pPr>
              <w:ind w:left="240"/>
              <w:spacing w:after="0"/>
              <w:rPr>
                <w:sz w:val="20"/>
                <w:szCs w:val="20"/>
                <w:color w:val="auto"/>
              </w:rPr>
            </w:pPr>
            <w:r>
              <w:rPr>
                <w:rFonts w:ascii="Arial" w:cs="Arial" w:eastAsia="Arial" w:hAnsi="Arial"/>
                <w:sz w:val="18"/>
                <w:szCs w:val="18"/>
                <w:color w:val="auto"/>
              </w:rPr>
              <w:t>Total debt, net of unamortized loan fees</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799,896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821,958</w:t>
            </w:r>
          </w:p>
        </w:tc>
      </w:tr>
      <w:tr>
        <w:trPr>
          <w:trHeight w:val="20"/>
        </w:trPr>
        <w:tc>
          <w:tcPr>
            <w:tcW w:w="5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5440" w:type="dxa"/>
            <w:vAlign w:val="bottom"/>
          </w:tcPr>
          <w:p>
            <w:pPr>
              <w:spacing w:after="0"/>
              <w:rPr>
                <w:sz w:val="20"/>
                <w:szCs w:val="20"/>
                <w:color w:val="auto"/>
              </w:rPr>
            </w:pPr>
            <w:r>
              <w:rPr>
                <w:rFonts w:ascii="Arial" w:cs="Arial" w:eastAsia="Arial" w:hAnsi="Arial"/>
                <w:sz w:val="18"/>
                <w:szCs w:val="18"/>
                <w:color w:val="auto"/>
                <w:w w:val="93"/>
              </w:rPr>
              <w:t>Current maturities of long term debt, net of current unamortized loan fees</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84,631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64,397</w:t>
            </w: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w w:val="99"/>
              </w:rPr>
              <w:t>Long-term debt, less current maturities, net of unamortized loan fees</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715,265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757,561</w:t>
            </w:r>
          </w:p>
        </w:tc>
      </w:tr>
      <w:tr>
        <w:trPr>
          <w:trHeight w:val="702"/>
        </w:trPr>
        <w:tc>
          <w:tcPr>
            <w:tcW w:w="5440" w:type="dxa"/>
            <w:vAlign w:val="bottom"/>
          </w:tcPr>
          <w:p>
            <w:pPr>
              <w:spacing w:after="0"/>
              <w:rPr>
                <w:sz w:val="24"/>
                <w:szCs w:val="24"/>
                <w:color w:val="auto"/>
              </w:rPr>
            </w:pPr>
          </w:p>
        </w:tc>
        <w:tc>
          <w:tcPr>
            <w:tcW w:w="1720" w:type="dxa"/>
            <w:vAlign w:val="bottom"/>
          </w:tcPr>
          <w:p>
            <w:pPr>
              <w:jc w:val="right"/>
              <w:ind w:right="131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2018, the Company's indebtedness totaled approximately $799.9 million, net of unamortized loan fees of $12.4 million, with an annualized overall weighted average interest rate of approximately 3.90%. As of June 30, 2018, the Term Loan A-1 bears interest at one-month LIBOR plus a margin of 2.25%, while the Term Loan A-2 bears interest at one-month LIBOR plus a margin of 2.50%. For June 2018, one-month LIBOR was 1.98%. LIBOR resets monthly.</w:t>
      </w:r>
    </w:p>
    <w:p>
      <w:pPr>
        <w:spacing w:after="0" w:line="18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Term Loan A-1 required quarterly principal repayments of $6.1 million, which began on September 30, 2016 and continued through June 30, 2017, increased to $12.1 million quarterly from September 30, 2017 through June 30, 2020; then increases to $18.2 million quarterly from September 30, 2020 through March 31, 2021, with the remaining balance due June 30, 2021. The Term Loan A-2 requires quarterly principal repayments of $10.0 million beginning on September 30, 2018 through March 31, 2023, with the remaining balance due June 30, 2023.</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2016 credit agreement also requires the Company to enter into one or more hedge agreements to manage its exposure to interest rate movements. The Company elected to hedge the minimum required under the 2016 credit agreement, and entered into a pay-fixed, receive-variable swap on 50% of the aggregate expected principal balance of the term loans outstanding. The Company will receive one month LIBOR and pay a fixed rate of 1.16%, in addition to the 2.25% initial spread on Term Loan A-1 and the 2.50% initial spread on Term Loan A-2.</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2016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 Company’s and its subsidiaries’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under any of the facilities may be accelerated by an Event of Default, as defined in the 2016 credit agreement.</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Facilities are secured by a pledge by the Company of its stock and membership interests in its subsidiaries, a guarantee by the Company’s subsidiaries other than Shenandoah Telephone Company, and a security interest in substantially all of the assets of the Company and the guarantors.</w:t>
      </w:r>
    </w:p>
    <w:p>
      <w:pPr>
        <w:spacing w:after="0" w:line="124" w:lineRule="exact"/>
        <w:rPr>
          <w:sz w:val="20"/>
          <w:szCs w:val="20"/>
          <w:color w:val="auto"/>
        </w:rPr>
      </w:pPr>
    </w:p>
    <w:p>
      <w:pPr>
        <w:ind w:right="1160"/>
        <w:spacing w:after="0" w:line="277" w:lineRule="auto"/>
        <w:rPr>
          <w:sz w:val="20"/>
          <w:szCs w:val="20"/>
          <w:color w:val="auto"/>
        </w:rPr>
      </w:pPr>
      <w:r>
        <w:rPr>
          <w:rFonts w:ascii="Arial" w:cs="Arial" w:eastAsia="Arial" w:hAnsi="Arial"/>
          <w:sz w:val="18"/>
          <w:szCs w:val="18"/>
          <w:color w:val="auto"/>
        </w:rPr>
        <w:t>The Company is subject to certain financial covenants to be measured on a trailing twelve month basis each calendar quarter unless otherwise specified. These covenants include:</w:t>
      </w:r>
    </w:p>
    <w:p>
      <w:pPr>
        <w:spacing w:after="0" w:line="170" w:lineRule="exact"/>
        <w:rPr>
          <w:sz w:val="20"/>
          <w:szCs w:val="20"/>
          <w:color w:val="auto"/>
        </w:rPr>
      </w:pPr>
    </w:p>
    <w:p>
      <w:pPr>
        <w:ind w:left="660" w:right="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1.00;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minimum liquidity balance of greater than $25 million. The balance includes amounts available under the revolver facility plus unrestricted cash and cash equivalents on deposit in a deposit account for which a control agreement has been delivered to the administrative agent under the 2016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June 30, 2018, the Company was in compliance with the covenants in its credit agreements.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Actual</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34"/>
        </w:trPr>
        <w:tc>
          <w:tcPr>
            <w:tcW w:w="40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3.75 or Lower</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Minimum Liquidity Balance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139,333</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$25 million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Credit Facility Modification: </w:t>
      </w:r>
      <w:r>
        <w:rPr>
          <w:rFonts w:ascii="Arial" w:cs="Arial" w:eastAsia="Arial" w:hAnsi="Arial"/>
          <w:sz w:val="18"/>
          <w:szCs w:val="18"/>
          <w:color w:val="auto"/>
        </w:rPr>
        <w:t>On February 16, 2018, the Company, entered into a Second Amendment to Credit Agreement (the “Second Amendment”)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CoBank, ACB, as administrative agent of its Credit Agreement and the various financial institutions party thereto (the “Lenders”), which modifies the Credit Agreement by (i) reducing the interest rate paid by the Company by 50 basis points with respect to certain loans made by the Lenders to the Company under the Credit Agreement, and (ii) allowing the Company to make charitable contributions to the Shentel Foundation, a Virginia nonstock corporation, of up to $1.5 million in any fiscal year.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files U.S. federal income tax returns and various state and local income tax returns.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net operating losses acquired in the nTelos acquisition are open to examination from 2002 forward. Tax filings prior to 2014, excluding the acquired net operating losses, are no longer subject to examination. The Company is not subject to any state or federal income tax audits as of June 30, 2018.</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effective tax rate has fluctuated in recent periods due to the minimal base of pre-tax earnings or losses and has been further impacted by share based compensation tax benefits which are recognized as incurred under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22, 2017, the Tax Cuts and Jobs Act (the “2017 Tax Act”) was enacted, substantially changing the U.S. tax system. The 2017 Tax Act includes a number of changes to existing U.S. tax laws that impact the Company, most notably a reduction of the U.S. corporate income tax rate from 35 percent to 21 percent for tax years beginning after December 31, 2017. The 2017 Tax Act also provides immediate expensing for certain qualified assets acquired and placed into service after September 27, 2017 as well as prospective changes beginning in 2018, including acceleration of tax revenue recognition, additional limitations on deductibility of executive compensation and limitations on the deductibility of interest.</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22, 2017, 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2017 Tax Act. The Company recognized the income tax effects of the 2017 Tax Act in its 2017 consolidated financial statements in accordance with SAB No. 118.</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2018, the Company is continuing to evaluate the provisional amounts recorded related to the 2017 Tax Act at December 31, 2017, and has not recognized any additional adjustments to such provisional amounts.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5" w:right="31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External revenues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60"/>
              <w:spacing w:after="0"/>
              <w:rPr>
                <w:sz w:val="20"/>
                <w:szCs w:val="20"/>
                <w:color w:val="auto"/>
              </w:rPr>
            </w:pPr>
            <w:r>
              <w:rPr>
                <w:rFonts w:ascii="Arial" w:cs="Arial" w:eastAsia="Arial" w:hAnsi="Arial"/>
                <w:sz w:val="16"/>
                <w:szCs w:val="16"/>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93,219</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28,748</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127,268</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Equipment revenues</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10,753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external revenues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111,038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11,978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154,030</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Internal revenues</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revenues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112,282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32,111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19,112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154,030</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tcPr>
          <w:p>
            <w:pPr>
              <w:ind w:left="16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33,488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49,134</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29,915</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Depreciation amortization</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31,565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41,117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92,502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26,028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14,319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135,332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19,780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6,083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18,698</w:t>
            </w:r>
          </w:p>
        </w:tc>
        <w:tc>
          <w:tcPr>
            <w:tcW w:w="0" w:type="dxa"/>
            <w:vAlign w:val="bottom"/>
          </w:tcPr>
          <w:p>
            <w:pPr>
              <w:spacing w:after="0"/>
              <w:rPr>
                <w:sz w:val="1"/>
                <w:szCs w:val="1"/>
                <w:color w:val="auto"/>
              </w:rPr>
            </w:pPr>
          </w:p>
        </w:tc>
      </w:tr>
      <w:tr>
        <w:trPr>
          <w:trHeight w:val="27"/>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2017:</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External revenues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60"/>
              <w:spacing w:after="0"/>
              <w:rPr>
                <w:sz w:val="20"/>
                <w:szCs w:val="20"/>
                <w:color w:val="auto"/>
              </w:rPr>
            </w:pPr>
            <w:r>
              <w:rPr>
                <w:rFonts w:ascii="Arial" w:cs="Arial" w:eastAsia="Arial" w:hAnsi="Arial"/>
                <w:sz w:val="16"/>
                <w:szCs w:val="16"/>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107,681</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26,883</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139,692</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Equipment revenues</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external revenues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112,899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28,978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11,381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153,258</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Internal revenues</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revenues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114,133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29,564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19,576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153,258</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tcPr>
          <w:p>
            <w:pPr>
              <w:ind w:left="16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33,497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14,920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48,416</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43,022</w:t>
            </w:r>
          </w:p>
        </w:tc>
        <w:tc>
          <w:tcPr>
            <w:tcW w:w="0" w:type="dxa"/>
            <w:vAlign w:val="bottom"/>
          </w:tcPr>
          <w:p>
            <w:pPr>
              <w:spacing w:after="0"/>
              <w:rPr>
                <w:sz w:val="1"/>
                <w:szCs w:val="1"/>
                <w:color w:val="auto"/>
              </w:rPr>
            </w:pPr>
          </w:p>
        </w:tc>
      </w:tr>
      <w:tr>
        <w:trPr>
          <w:trHeight w:val="247"/>
        </w:trPr>
        <w:tc>
          <w:tcPr>
            <w:tcW w:w="3100" w:type="dxa"/>
            <w:vAlign w:val="bottom"/>
          </w:tcPr>
          <w:p>
            <w:pPr>
              <w:ind w:left="180"/>
              <w:spacing w:after="0"/>
              <w:rPr>
                <w:sz w:val="20"/>
                <w:szCs w:val="20"/>
                <w:color w:val="auto"/>
              </w:rPr>
            </w:pPr>
            <w:r>
              <w:rPr>
                <w:rFonts w:ascii="Arial" w:cs="Arial" w:eastAsia="Arial" w:hAnsi="Arial"/>
                <w:sz w:val="16"/>
                <w:szCs w:val="16"/>
                <w:color w:val="auto"/>
              </w:rPr>
              <w:t>Acquisition, integration and migration</w:t>
            </w:r>
          </w:p>
        </w:tc>
        <w:tc>
          <w:tcPr>
            <w:tcW w:w="240" w:type="dxa"/>
            <w:vAlign w:val="bottom"/>
          </w:tcPr>
          <w:p>
            <w:pPr>
              <w:spacing w:after="0"/>
              <w:rPr>
                <w:sz w:val="21"/>
                <w:szCs w:val="21"/>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118"/>
        </w:trPr>
        <w:tc>
          <w:tcPr>
            <w:tcW w:w="3100" w:type="dxa"/>
            <w:vAlign w:val="bottom"/>
            <w:vMerge w:val="restart"/>
          </w:tcPr>
          <w:p>
            <w:pPr>
              <w:ind w:left="180"/>
              <w:spacing w:after="0"/>
              <w:rPr>
                <w:sz w:val="20"/>
                <w:szCs w:val="20"/>
                <w:color w:val="auto"/>
              </w:rPr>
            </w:pPr>
            <w:r>
              <w:rPr>
                <w:rFonts w:ascii="Arial" w:cs="Arial" w:eastAsia="Arial" w:hAnsi="Arial"/>
                <w:sz w:val="16"/>
                <w:szCs w:val="16"/>
                <w:color w:val="auto"/>
              </w:rPr>
              <w:t>expenses</w:t>
            </w:r>
          </w:p>
        </w:tc>
        <w:tc>
          <w:tcPr>
            <w:tcW w:w="2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1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35,551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44,925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107,781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25,868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14,168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145,006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6,352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Cable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4"/>
          </w:tcPr>
          <w:p>
            <w:pPr>
              <w:ind w:left="12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ind w:left="8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60"/>
              <w:spacing w:after="0"/>
              <w:rPr>
                <w:sz w:val="20"/>
                <w:szCs w:val="20"/>
                <w:color w:val="auto"/>
              </w:rPr>
            </w:pPr>
            <w:r>
              <w:rPr>
                <w:rFonts w:ascii="Arial" w:cs="Arial" w:eastAsia="Arial" w:hAnsi="Arial"/>
                <w:sz w:val="16"/>
                <w:szCs w:val="16"/>
                <w:color w:val="auto"/>
              </w:rPr>
              <w:t>External revenues</w:t>
            </w: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080" w:type="dxa"/>
            <w:vAlign w:val="bottom"/>
          </w:tcPr>
          <w:p>
            <w:pPr>
              <w:ind w:left="180"/>
              <w:spacing w:after="0"/>
              <w:rPr>
                <w:sz w:val="20"/>
                <w:szCs w:val="20"/>
                <w:color w:val="auto"/>
              </w:rPr>
            </w:pPr>
            <w:r>
              <w:rPr>
                <w:rFonts w:ascii="Arial" w:cs="Arial" w:eastAsia="Arial" w:hAnsi="Arial"/>
                <w:sz w:val="16"/>
                <w:szCs w:val="16"/>
                <w:color w:val="auto"/>
              </w:rPr>
              <w:t>Service revenues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182,978</w:t>
            </w:r>
          </w:p>
        </w:tc>
        <w:tc>
          <w:tcPr>
            <w:tcW w:w="20" w:type="dxa"/>
            <w:vAlign w:val="bottom"/>
          </w:tcPr>
          <w:p>
            <w:pPr>
              <w:spacing w:after="0"/>
              <w:rPr>
                <w:sz w:val="24"/>
                <w:szCs w:val="2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57,219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250,806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80"/>
              <w:spacing w:after="0"/>
              <w:rPr>
                <w:sz w:val="20"/>
                <w:szCs w:val="20"/>
                <w:color w:val="auto"/>
              </w:rPr>
            </w:pPr>
            <w:r>
              <w:rPr>
                <w:rFonts w:ascii="Arial" w:cs="Arial" w:eastAsia="Arial" w:hAnsi="Arial"/>
                <w:sz w:val="16"/>
                <w:szCs w:val="16"/>
                <w:color w:val="auto"/>
              </w:rPr>
              <w:t>Equipment revenues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33,193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33,588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8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21,368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60"/>
              <w:spacing w:after="0"/>
              <w:rPr>
                <w:sz w:val="20"/>
                <w:szCs w:val="20"/>
                <w:color w:val="auto"/>
              </w:rPr>
            </w:pPr>
            <w:r>
              <w:rPr>
                <w:rFonts w:ascii="Arial" w:cs="Arial" w:eastAsia="Arial" w:hAnsi="Arial"/>
                <w:sz w:val="16"/>
                <w:szCs w:val="16"/>
                <w:color w:val="auto"/>
              </w:rPr>
              <w:t>Total external revenues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220,197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61,694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305,762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80"/>
              <w:spacing w:after="0"/>
              <w:rPr>
                <w:sz w:val="20"/>
                <w:szCs w:val="20"/>
                <w:color w:val="auto"/>
              </w:rPr>
            </w:pPr>
            <w:r>
              <w:rPr>
                <w:rFonts w:ascii="Arial" w:cs="Arial" w:eastAsia="Arial" w:hAnsi="Arial"/>
                <w:sz w:val="16"/>
                <w:szCs w:val="16"/>
                <w:color w:val="auto"/>
              </w:rPr>
              <w:t>Internal revenues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60"/>
              <w:spacing w:after="0"/>
              <w:rPr>
                <w:sz w:val="20"/>
                <w:szCs w:val="20"/>
                <w:color w:val="auto"/>
              </w:rPr>
            </w:pPr>
            <w:r>
              <w:rPr>
                <w:rFonts w:ascii="Arial" w:cs="Arial" w:eastAsia="Arial" w:hAnsi="Arial"/>
                <w:sz w:val="16"/>
                <w:szCs w:val="16"/>
                <w:color w:val="auto"/>
              </w:rPr>
              <w:t>Total operating revenues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222,680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305,762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Operating expenses</w:t>
            </w: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180"/>
              <w:spacing w:after="0"/>
              <w:rPr>
                <w:sz w:val="20"/>
                <w:szCs w:val="20"/>
                <w:color w:val="auto"/>
              </w:rPr>
            </w:pPr>
            <w:r>
              <w:rPr>
                <w:rFonts w:ascii="Arial" w:cs="Arial" w:eastAsia="Arial" w:hAnsi="Arial"/>
                <w:sz w:val="16"/>
                <w:szCs w:val="16"/>
                <w:color w:val="auto"/>
              </w:rPr>
              <w:t>Cost of services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67,238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19,175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98,476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30,809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30,971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58,665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65,490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60"/>
              <w:spacing w:after="0"/>
              <w:rPr>
                <w:sz w:val="20"/>
                <w:szCs w:val="20"/>
                <w:color w:val="auto"/>
              </w:rPr>
            </w:pPr>
            <w:r>
              <w:rPr>
                <w:rFonts w:ascii="Arial" w:cs="Arial" w:eastAsia="Arial" w:hAnsi="Arial"/>
                <w:sz w:val="16"/>
                <w:szCs w:val="16"/>
                <w:color w:val="auto"/>
              </w:rPr>
              <w:t>Total operating expenses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188,039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272,716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60"/>
              <w:spacing w:after="0"/>
              <w:rPr>
                <w:sz w:val="20"/>
                <w:szCs w:val="20"/>
                <w:color w:val="auto"/>
              </w:rPr>
            </w:pPr>
            <w:r>
              <w:rPr>
                <w:rFonts w:ascii="Arial" w:cs="Arial" w:eastAsia="Arial" w:hAnsi="Arial"/>
                <w:sz w:val="16"/>
                <w:szCs w:val="16"/>
                <w:color w:val="auto"/>
              </w:rPr>
              <w:t>Operating income (loss)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34,641</w:t>
            </w:r>
          </w:p>
        </w:tc>
        <w:tc>
          <w:tcPr>
            <w:tcW w:w="2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(22,770)</w:t>
            </w:r>
          </w:p>
        </w:tc>
        <w:tc>
          <w:tcPr>
            <w:tcW w:w="2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2017</w:t>
            </w: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Wireless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Cable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External revenues</w:t>
            </w: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080" w:type="dxa"/>
            <w:vAlign w:val="bottom"/>
          </w:tcPr>
          <w:p>
            <w:pPr>
              <w:ind w:left="160"/>
              <w:spacing w:after="0"/>
              <w:rPr>
                <w:sz w:val="20"/>
                <w:szCs w:val="20"/>
                <w:color w:val="auto"/>
              </w:rPr>
            </w:pPr>
            <w:r>
              <w:rPr>
                <w:rFonts w:ascii="Arial" w:cs="Arial" w:eastAsia="Arial" w:hAnsi="Arial"/>
                <w:sz w:val="16"/>
                <w:szCs w:val="16"/>
                <w:color w:val="auto"/>
              </w:rPr>
              <w:t>Service revenues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215,867</w:t>
            </w:r>
          </w:p>
        </w:tc>
        <w:tc>
          <w:tcPr>
            <w:tcW w:w="20" w:type="dxa"/>
            <w:vAlign w:val="bottom"/>
          </w:tcPr>
          <w:p>
            <w:pPr>
              <w:spacing w:after="0"/>
              <w:rPr>
                <w:sz w:val="24"/>
                <w:szCs w:val="2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53,294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10,176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279,337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60"/>
              <w:spacing w:after="0"/>
              <w:rPr>
                <w:sz w:val="20"/>
                <w:szCs w:val="20"/>
                <w:color w:val="auto"/>
              </w:rPr>
            </w:pPr>
            <w:r>
              <w:rPr>
                <w:rFonts w:ascii="Arial" w:cs="Arial" w:eastAsia="Arial" w:hAnsi="Arial"/>
                <w:sz w:val="16"/>
                <w:szCs w:val="16"/>
                <w:color w:val="auto"/>
              </w:rPr>
              <w:t>Equipment revenues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5,924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6,309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6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5,337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12,355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21,492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Total external revenues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227,128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57,423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22,587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307,138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60"/>
              <w:spacing w:after="0"/>
              <w:rPr>
                <w:sz w:val="20"/>
                <w:szCs w:val="20"/>
                <w:color w:val="auto"/>
              </w:rPr>
            </w:pPr>
            <w:r>
              <w:rPr>
                <w:rFonts w:ascii="Arial" w:cs="Arial" w:eastAsia="Arial" w:hAnsi="Arial"/>
                <w:sz w:val="16"/>
                <w:szCs w:val="16"/>
                <w:color w:val="auto"/>
              </w:rPr>
              <w:t>Internal revenues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2,468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16,143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Total operating revenues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229,596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58,577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38,730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307,138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Operating expenses</w:t>
            </w: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160"/>
              <w:spacing w:after="0"/>
              <w:rPr>
                <w:sz w:val="20"/>
                <w:szCs w:val="20"/>
                <w:color w:val="auto"/>
              </w:rPr>
            </w:pPr>
            <w:r>
              <w:rPr>
                <w:rFonts w:ascii="Arial" w:cs="Arial" w:eastAsia="Arial" w:hAnsi="Arial"/>
                <w:sz w:val="16"/>
                <w:szCs w:val="16"/>
                <w:color w:val="auto"/>
              </w:rPr>
              <w:t>Cost of services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66,920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30,098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18,563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(18,388)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97,193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60"/>
              <w:spacing w:after="0"/>
              <w:rPr>
                <w:sz w:val="20"/>
                <w:szCs w:val="20"/>
                <w:color w:val="auto"/>
              </w:rPr>
            </w:pPr>
            <w:r>
              <w:rPr>
                <w:rFonts w:ascii="Arial" w:cs="Arial" w:eastAsia="Arial" w:hAnsi="Arial"/>
                <w:sz w:val="16"/>
                <w:szCs w:val="16"/>
                <w:color w:val="auto"/>
              </w:rPr>
              <w:t>Cost of goods sold</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9,868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9,949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58,101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3,359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13,367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83,175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080" w:type="dxa"/>
            <w:vAlign w:val="bottom"/>
          </w:tcPr>
          <w:p>
            <w:pPr>
              <w:ind w:left="180"/>
              <w:spacing w:after="0"/>
              <w:rPr>
                <w:sz w:val="20"/>
                <w:szCs w:val="20"/>
                <w:color w:val="auto"/>
              </w:rPr>
            </w:pPr>
            <w:r>
              <w:rPr>
                <w:rFonts w:ascii="Arial" w:cs="Arial" w:eastAsia="Arial" w:hAnsi="Arial"/>
                <w:sz w:val="16"/>
                <w:szCs w:val="16"/>
                <w:color w:val="auto"/>
              </w:rPr>
              <w:t>Acquisition, integration and migration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color w:val="auto"/>
              </w:rPr>
              <w:t>7,916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8,167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expenses</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0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71,303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89,729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214,108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51,743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28,248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288,213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15,488</w:t>
            </w:r>
          </w:p>
        </w:tc>
        <w:tc>
          <w:tcPr>
            <w:tcW w:w="20" w:type="dxa"/>
            <w:vAlign w:val="bottom"/>
          </w:tcPr>
          <w:p>
            <w:pPr>
              <w:spacing w:after="0"/>
              <w:rPr>
                <w:sz w:val="20"/>
                <w:szCs w:val="20"/>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(13,879)</w:t>
            </w:r>
          </w:p>
        </w:tc>
        <w:tc>
          <w:tcPr>
            <w:tcW w:w="20" w:type="dxa"/>
            <w:vAlign w:val="bottom"/>
          </w:tcPr>
          <w:p>
            <w:pPr>
              <w:spacing w:after="0"/>
              <w:rPr>
                <w:sz w:val="20"/>
                <w:szCs w:val="20"/>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total of the reportable segments’ operating income (loss) to consolidated income (loss) before taxes is as follows: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consolidated operating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Gain (loss) on investments,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Non-operating income (loss), net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80" w:type="dxa"/>
            <w:vAlign w:val="bottom"/>
          </w:tcPr>
          <w:p>
            <w:pPr>
              <w:spacing w:after="0"/>
              <w:rPr>
                <w:sz w:val="20"/>
                <w:szCs w:val="20"/>
                <w:color w:val="auto"/>
              </w:rPr>
            </w:pPr>
          </w:p>
        </w:tc>
        <w:tc>
          <w:tcPr>
            <w:tcW w:w="1360" w:type="dxa"/>
            <w:vAlign w:val="bottom"/>
            <w:gridSpan w:val="3"/>
          </w:tcPr>
          <w:p>
            <w:pPr>
              <w:ind w:left="640"/>
              <w:spacing w:after="0"/>
              <w:rPr>
                <w:sz w:val="20"/>
                <w:szCs w:val="20"/>
                <w:color w:val="auto"/>
              </w:rPr>
            </w:pPr>
            <w:r>
              <w:rPr>
                <w:rFonts w:ascii="Arial" w:cs="Arial" w:eastAsia="Arial" w:hAnsi="Arial"/>
                <w:sz w:val="18"/>
                <w:szCs w:val="18"/>
                <w:b w:val="1"/>
                <w:bCs w:val="1"/>
                <w:color w:val="auto"/>
                <w:w w:val="97"/>
              </w:rPr>
              <w:t>June 30,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18,698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8,252</w:t>
            </w:r>
          </w:p>
        </w:tc>
        <w:tc>
          <w:tcPr>
            <w:tcW w:w="1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33,046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18,925</w:t>
            </w:r>
          </w:p>
        </w:tc>
      </w:tr>
      <w:tr>
        <w:trPr>
          <w:trHeight w:val="270"/>
        </w:trPr>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(9,389)</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(18,489)</w:t>
            </w:r>
          </w:p>
        </w:tc>
      </w:tr>
      <w:tr>
        <w:trPr>
          <w:trHeight w:val="270"/>
        </w:trPr>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0"/>
        </w:trPr>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2,479</w:t>
            </w: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10,686</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16,691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3,108</w:t>
            </w: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600" w:space="720"/>
            <w:col w:w="7080"/>
          </w:cols>
          <w:pgMar w:left="240" w:top="125" w:right="25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1, 2018, the Company records stock compensation expense to the Other segment. Previously, stock compensation expense was allocated among all of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2017. The following management’s discussion and analysis should be read in conjunction with the Company’s Annual Report on Form 10-K for its fiscal year ended December 31, 2017, including the consolidated financial statements and related notes included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(the "Company", "we", "our", or "us"), is a diversified telecommunications company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integrated voice, video and data communication services including both regulated and unregulated telecommunications services through its wholly owned subsidiaries. These subsidiaries provide wireless personal communications services as a Sprint PCS affiliate, and local exchange telephone services, video, internet and data services, long distance services, fiber optics facilities and leased tower facilities. We organize and strategically manage our operations under the Company's reportable segments that include: Wireless, Cable, Wireline, and Other. See Note 14,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included with the notes to our consolidated financial statements provided within our 2017 Annual Report on Form 10-K for further information regarding our segments.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adopted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effective January 1, 2018, using the modified retrospective method as discussed in Note 2</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xml:space="preserve"> The following tables identify the impact of applying Topic 606 to the Company for the three and six months ended June 30, 2018:</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June 30, 2018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Topic 606 Impact - CONSOLIDATED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Prior to</w:t>
            </w:r>
          </w:p>
        </w:tc>
        <w:tc>
          <w:tcPr>
            <w:tcW w:w="12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Changes in</w:t>
            </w:r>
          </w:p>
        </w:tc>
        <w:tc>
          <w:tcPr>
            <w:tcW w:w="120" w:type="dxa"/>
            <w:vAlign w:val="bottom"/>
          </w:tcPr>
          <w:p>
            <w:pPr>
              <w:spacing w:after="0"/>
              <w:rPr>
                <w:sz w:val="18"/>
                <w:szCs w:val="18"/>
                <w:color w:val="auto"/>
              </w:rPr>
            </w:pPr>
          </w:p>
        </w:tc>
        <w:tc>
          <w:tcPr>
            <w:tcW w:w="216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6"/>
                <w:szCs w:val="16"/>
                <w:b w:val="1"/>
                <w:bCs w:val="1"/>
                <w:color w:val="auto"/>
                <w:w w:val="98"/>
              </w:rPr>
              <w:t>Equipment   Deferred Costs</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As Reported</w:t>
            </w:r>
          </w:p>
        </w:tc>
        <w:tc>
          <w:tcPr>
            <w:tcW w:w="0" w:type="dxa"/>
            <w:vAlign w:val="bottom"/>
          </w:tcPr>
          <w:p>
            <w:pPr>
              <w:spacing w:after="0"/>
              <w:rPr>
                <w:sz w:val="1"/>
                <w:szCs w:val="1"/>
                <w:color w:val="auto"/>
              </w:rPr>
            </w:pPr>
          </w:p>
        </w:tc>
      </w:tr>
      <w:tr>
        <w:trPr>
          <w:trHeight w:val="95"/>
        </w:trPr>
        <w:tc>
          <w:tcPr>
            <w:tcW w:w="2520" w:type="dxa"/>
            <w:vAlign w:val="bottom"/>
            <w:vMerge w:val="restart"/>
          </w:tcPr>
          <w:p>
            <w:pPr>
              <w:spacing w:after="0"/>
              <w:rPr>
                <w:sz w:val="20"/>
                <w:szCs w:val="20"/>
                <w:color w:val="auto"/>
              </w:rPr>
            </w:pPr>
            <w:r>
              <w:rPr>
                <w:rFonts w:ascii="Arial" w:cs="Arial" w:eastAsia="Arial" w:hAnsi="Arial"/>
                <w:sz w:val="14"/>
                <w:szCs w:val="14"/>
                <w:i w:val="1"/>
                <w:iCs w:val="1"/>
                <w:color w:val="auto"/>
                <w:w w:val="92"/>
              </w:rPr>
              <w:t>($ in thousands, except per share amounts)</w:t>
            </w:r>
          </w:p>
        </w:tc>
        <w:tc>
          <w:tcPr>
            <w:tcW w:w="140" w:type="dxa"/>
            <w:vAlign w:val="bottom"/>
          </w:tcPr>
          <w:p>
            <w:pPr>
              <w:spacing w:after="0"/>
              <w:rPr>
                <w:sz w:val="8"/>
                <w:szCs w:val="8"/>
                <w:color w:val="auto"/>
              </w:rPr>
            </w:pPr>
          </w:p>
        </w:tc>
        <w:tc>
          <w:tcPr>
            <w:tcW w:w="102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8"/>
                <w:szCs w:val="8"/>
                <w:color w:val="auto"/>
              </w:rPr>
            </w:pPr>
          </w:p>
        </w:tc>
        <w:tc>
          <w:tcPr>
            <w:tcW w:w="10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Presentation</w:t>
            </w:r>
          </w:p>
        </w:tc>
        <w:tc>
          <w:tcPr>
            <w:tcW w:w="120" w:type="dxa"/>
            <w:vAlign w:val="bottom"/>
          </w:tcPr>
          <w:p>
            <w:pPr>
              <w:spacing w:after="0"/>
              <w:rPr>
                <w:sz w:val="8"/>
                <w:szCs w:val="8"/>
                <w:color w:val="auto"/>
              </w:rPr>
            </w:pPr>
          </w:p>
        </w:tc>
        <w:tc>
          <w:tcPr>
            <w:tcW w:w="2160" w:type="dxa"/>
            <w:vAlign w:val="bottom"/>
            <w:tcBorders>
              <w:right w:val="single" w:sz="8" w:color="auto"/>
            </w:tcBorders>
            <w:gridSpan w:val="3"/>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jc w:val="right"/>
              <w:ind w:right="359"/>
              <w:spacing w:after="0"/>
              <w:rPr>
                <w:sz w:val="20"/>
                <w:szCs w:val="20"/>
                <w:color w:val="auto"/>
              </w:rPr>
            </w:pPr>
            <w:r>
              <w:rPr>
                <w:rFonts w:ascii="Arial" w:cs="Arial" w:eastAsia="Arial" w:hAnsi="Arial"/>
                <w:sz w:val="16"/>
                <w:szCs w:val="16"/>
                <w:b w:val="1"/>
                <w:bCs w:val="1"/>
                <w:color w:val="auto"/>
                <w:w w:val="92"/>
              </w:rPr>
              <w:t>Revenue (2)</w:t>
            </w:r>
          </w:p>
        </w:tc>
        <w:tc>
          <w:tcPr>
            <w:tcW w:w="86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9"/>
                <w:szCs w:val="9"/>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2"/>
              </w:rPr>
              <w:t>6/30/2018</w:t>
            </w: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89"/>
              </w:rPr>
              <w:t>Topic 606</w:t>
            </w:r>
          </w:p>
        </w:tc>
        <w:tc>
          <w:tcPr>
            <w:tcW w:w="120" w:type="dxa"/>
            <w:vAlign w:val="bottom"/>
          </w:tcPr>
          <w:p>
            <w:pPr>
              <w:spacing w:after="0"/>
              <w:rPr>
                <w:sz w:val="8"/>
                <w:szCs w:val="8"/>
                <w:color w:val="auto"/>
              </w:rPr>
            </w:pPr>
          </w:p>
        </w:tc>
        <w:tc>
          <w:tcPr>
            <w:tcW w:w="10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140"/>
              <w:spacing w:after="0"/>
              <w:rPr>
                <w:sz w:val="20"/>
                <w:szCs w:val="20"/>
                <w:color w:val="auto"/>
              </w:rPr>
            </w:pPr>
            <w:r>
              <w:rPr>
                <w:rFonts w:ascii="Arial" w:cs="Arial" w:eastAsia="Arial" w:hAnsi="Arial"/>
                <w:sz w:val="16"/>
                <w:szCs w:val="16"/>
                <w:color w:val="auto"/>
              </w:rPr>
              <w:t>Service revenue and other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156,267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(20,881)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2,635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138,021</w:t>
            </w:r>
          </w:p>
        </w:tc>
        <w:tc>
          <w:tcPr>
            <w:tcW w:w="0" w:type="dxa"/>
            <w:vAlign w:val="bottom"/>
          </w:tcPr>
          <w:p>
            <w:pPr>
              <w:spacing w:after="0"/>
              <w:rPr>
                <w:sz w:val="1"/>
                <w:szCs w:val="1"/>
                <w:color w:val="auto"/>
              </w:rPr>
            </w:pPr>
          </w:p>
        </w:tc>
      </w:tr>
      <w:tr>
        <w:trPr>
          <w:trHeight w:val="257"/>
        </w:trPr>
        <w:tc>
          <w:tcPr>
            <w:tcW w:w="252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1,799</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14,210</w:t>
            </w:r>
          </w:p>
        </w:tc>
        <w:tc>
          <w:tcPr>
            <w:tcW w:w="280" w:type="dxa"/>
            <w:vAlign w:val="bottom"/>
          </w:tcPr>
          <w:p>
            <w:pPr>
              <w:spacing w:after="0"/>
              <w:rPr>
                <w:sz w:val="22"/>
                <w:szCs w:val="22"/>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16,009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240"/>
              <w:spacing w:after="0"/>
              <w:rPr>
                <w:sz w:val="20"/>
                <w:szCs w:val="20"/>
                <w:color w:val="auto"/>
              </w:rPr>
            </w:pPr>
            <w:r>
              <w:rPr>
                <w:rFonts w:ascii="Arial" w:cs="Arial" w:eastAsia="Arial" w:hAnsi="Arial"/>
                <w:sz w:val="16"/>
                <w:szCs w:val="16"/>
                <w:b w:val="1"/>
                <w:bCs w:val="1"/>
                <w:color w:val="auto"/>
              </w:rPr>
              <w:t>Total operating revenues</w:t>
            </w:r>
          </w:p>
        </w:tc>
        <w:tc>
          <w:tcPr>
            <w:tcW w:w="14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158,066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(20,881)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14,210</w:t>
            </w:r>
          </w:p>
        </w:tc>
        <w:tc>
          <w:tcPr>
            <w:tcW w:w="280" w:type="dxa"/>
            <w:vAlign w:val="bottom"/>
          </w:tcPr>
          <w:p>
            <w:pPr>
              <w:spacing w:after="0"/>
              <w:rPr>
                <w:sz w:val="18"/>
                <w:szCs w:val="18"/>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2,635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154,030</w:t>
            </w:r>
          </w:p>
        </w:tc>
        <w:tc>
          <w:tcPr>
            <w:tcW w:w="0" w:type="dxa"/>
            <w:vAlign w:val="bottom"/>
          </w:tcPr>
          <w:p>
            <w:pPr>
              <w:spacing w:after="0"/>
              <w:rPr>
                <w:sz w:val="1"/>
                <w:szCs w:val="1"/>
                <w:color w:val="auto"/>
              </w:rPr>
            </w:pPr>
          </w:p>
        </w:tc>
      </w:tr>
      <w:tr>
        <w:trPr>
          <w:trHeight w:val="257"/>
        </w:trPr>
        <w:tc>
          <w:tcPr>
            <w:tcW w:w="252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48,999</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49,134</w:t>
            </w:r>
          </w:p>
        </w:tc>
        <w:tc>
          <w:tcPr>
            <w:tcW w:w="0" w:type="dxa"/>
            <w:vAlign w:val="bottom"/>
          </w:tcPr>
          <w:p>
            <w:pPr>
              <w:spacing w:after="0"/>
              <w:rPr>
                <w:sz w:val="1"/>
                <w:szCs w:val="1"/>
                <w:color w:val="auto"/>
              </w:rPr>
            </w:pPr>
          </w:p>
        </w:tc>
      </w:tr>
      <w:tr>
        <w:trPr>
          <w:trHeight w:val="257"/>
        </w:trPr>
        <w:tc>
          <w:tcPr>
            <w:tcW w:w="252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(5,372)</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14,210</w:t>
            </w:r>
          </w:p>
        </w:tc>
        <w:tc>
          <w:tcPr>
            <w:tcW w:w="280" w:type="dxa"/>
            <w:vAlign w:val="bottom"/>
          </w:tcPr>
          <w:p>
            <w:pPr>
              <w:spacing w:after="0"/>
              <w:rPr>
                <w:sz w:val="22"/>
                <w:szCs w:val="22"/>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15,166</w:t>
            </w:r>
          </w:p>
        </w:tc>
        <w:tc>
          <w:tcPr>
            <w:tcW w:w="0" w:type="dxa"/>
            <w:vAlign w:val="bottom"/>
          </w:tcPr>
          <w:p>
            <w:pPr>
              <w:spacing w:after="0"/>
              <w:rPr>
                <w:sz w:val="1"/>
                <w:szCs w:val="1"/>
                <w:color w:val="auto"/>
              </w:rPr>
            </w:pPr>
          </w:p>
        </w:tc>
      </w:tr>
      <w:tr>
        <w:trPr>
          <w:trHeight w:val="257"/>
        </w:trPr>
        <w:tc>
          <w:tcPr>
            <w:tcW w:w="2520" w:type="dxa"/>
            <w:vAlign w:val="bottom"/>
          </w:tcPr>
          <w:p>
            <w:pPr>
              <w:ind w:left="140"/>
              <w:spacing w:after="0"/>
              <w:rPr>
                <w:sz w:val="20"/>
                <w:szCs w:val="20"/>
                <w:color w:val="auto"/>
              </w:rPr>
            </w:pPr>
            <w:r>
              <w:rPr>
                <w:rFonts w:ascii="Arial" w:cs="Arial" w:eastAsia="Arial" w:hAnsi="Arial"/>
                <w:sz w:val="16"/>
                <w:szCs w:val="16"/>
                <w:color w:val="auto"/>
              </w:rPr>
              <w:t>Selling, general &amp; administrative</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45,579</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(15,509)</w:t>
            </w:r>
          </w:p>
        </w:tc>
        <w:tc>
          <w:tcPr>
            <w:tcW w:w="120" w:type="dxa"/>
            <w:vAlign w:val="bottom"/>
          </w:tcPr>
          <w:p>
            <w:pPr>
              <w:spacing w:after="0"/>
              <w:rPr>
                <w:sz w:val="22"/>
                <w:szCs w:val="22"/>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29,915</w:t>
            </w:r>
          </w:p>
        </w:tc>
        <w:tc>
          <w:tcPr>
            <w:tcW w:w="0" w:type="dxa"/>
            <w:vAlign w:val="bottom"/>
          </w:tcPr>
          <w:p>
            <w:pPr>
              <w:spacing w:after="0"/>
              <w:rPr>
                <w:sz w:val="1"/>
                <w:szCs w:val="1"/>
                <w:color w:val="auto"/>
              </w:rPr>
            </w:pPr>
          </w:p>
        </w:tc>
      </w:tr>
      <w:tr>
        <w:trPr>
          <w:trHeight w:val="257"/>
        </w:trPr>
        <w:tc>
          <w:tcPr>
            <w:tcW w:w="25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41,117</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41,117</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240"/>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142,023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(20,881)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14,210</w:t>
            </w:r>
          </w:p>
        </w:tc>
        <w:tc>
          <w:tcPr>
            <w:tcW w:w="2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135,332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1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16,043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2,655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18,698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14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(8,012)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(8,012)</w:t>
            </w:r>
          </w:p>
        </w:tc>
        <w:tc>
          <w:tcPr>
            <w:tcW w:w="0" w:type="dxa"/>
            <w:vAlign w:val="bottom"/>
          </w:tcPr>
          <w:p>
            <w:pPr>
              <w:spacing w:after="0"/>
              <w:rPr>
                <w:sz w:val="1"/>
                <w:szCs w:val="1"/>
                <w:color w:val="auto"/>
              </w:rPr>
            </w:pPr>
          </w:p>
        </w:tc>
      </w:tr>
      <w:tr>
        <w:trPr>
          <w:trHeight w:val="257"/>
        </w:trPr>
        <w:tc>
          <w:tcPr>
            <w:tcW w:w="2520" w:type="dxa"/>
            <w:vAlign w:val="bottom"/>
          </w:tcPr>
          <w:p>
            <w:pPr>
              <w:ind w:left="14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718</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Pr>
          <w:p>
            <w:pPr>
              <w:ind w:left="24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5,887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 $</w:t>
            </w:r>
          </w:p>
        </w:tc>
        <w:tc>
          <w:tcPr>
            <w:tcW w:w="8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1,937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7,824</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tcPr>
          <w:p>
            <w:pPr>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20" w:type="dxa"/>
            <w:vAlign w:val="bottom"/>
          </w:tcPr>
          <w:p>
            <w:pPr>
              <w:spacing w:after="0"/>
              <w:rPr>
                <w:sz w:val="20"/>
                <w:szCs w:val="20"/>
                <w:color w:val="auto"/>
              </w:rPr>
            </w:pPr>
            <w:r>
              <w:rPr>
                <w:rFonts w:ascii="Arial" w:cs="Arial" w:eastAsia="Arial" w:hAnsi="Arial"/>
                <w:sz w:val="16"/>
                <w:szCs w:val="16"/>
                <w:color w:val="auto"/>
                <w:w w:val="98"/>
              </w:rPr>
              <w:t>Weighted average shares o/s, basic</w:t>
            </w:r>
          </w:p>
        </w:tc>
        <w:tc>
          <w:tcPr>
            <w:tcW w:w="1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49,547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49,547</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6"/>
                <w:szCs w:val="16"/>
                <w:color w:val="auto"/>
                <w:w w:val="94"/>
              </w:rPr>
              <w:t>Weighted average shares o/s, diluted</w:t>
            </w:r>
          </w:p>
        </w:tc>
        <w:tc>
          <w:tcPr>
            <w:tcW w:w="1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50,070</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1"/>
              </w:rPr>
              <w:t>Six Months Ended June 30, 2018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6"/>
              </w:rPr>
              <w:t>Topic 606 Impact - CONSOLIDATED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Prior to</w:t>
            </w:r>
          </w:p>
        </w:tc>
        <w:tc>
          <w:tcPr>
            <w:tcW w:w="12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Changes in</w:t>
            </w:r>
          </w:p>
        </w:tc>
        <w:tc>
          <w:tcPr>
            <w:tcW w:w="120" w:type="dxa"/>
            <w:vAlign w:val="bottom"/>
          </w:tcPr>
          <w:p>
            <w:pPr>
              <w:spacing w:after="0"/>
              <w:rPr>
                <w:sz w:val="18"/>
                <w:szCs w:val="18"/>
                <w:color w:val="auto"/>
              </w:rPr>
            </w:pPr>
          </w:p>
        </w:tc>
        <w:tc>
          <w:tcPr>
            <w:tcW w:w="212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6"/>
                <w:szCs w:val="16"/>
                <w:b w:val="1"/>
                <w:bCs w:val="1"/>
                <w:color w:val="auto"/>
                <w:w w:val="96"/>
              </w:rPr>
              <w:t>Equipment   Deferred Costs</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YTD 6/30/2018</w:t>
            </w:r>
          </w:p>
        </w:tc>
        <w:tc>
          <w:tcPr>
            <w:tcW w:w="0" w:type="dxa"/>
            <w:vAlign w:val="bottom"/>
          </w:tcPr>
          <w:p>
            <w:pPr>
              <w:spacing w:after="0"/>
              <w:rPr>
                <w:sz w:val="1"/>
                <w:szCs w:val="1"/>
                <w:color w:val="auto"/>
              </w:rPr>
            </w:pPr>
          </w:p>
        </w:tc>
      </w:tr>
      <w:tr>
        <w:trPr>
          <w:trHeight w:val="95"/>
        </w:trPr>
        <w:tc>
          <w:tcPr>
            <w:tcW w:w="2500" w:type="dxa"/>
            <w:vAlign w:val="bottom"/>
            <w:vMerge w:val="restart"/>
          </w:tcPr>
          <w:p>
            <w:pPr>
              <w:spacing w:after="0"/>
              <w:rPr>
                <w:sz w:val="20"/>
                <w:szCs w:val="20"/>
                <w:color w:val="auto"/>
              </w:rPr>
            </w:pPr>
            <w:r>
              <w:rPr>
                <w:rFonts w:ascii="Arial" w:cs="Arial" w:eastAsia="Arial" w:hAnsi="Arial"/>
                <w:sz w:val="14"/>
                <w:szCs w:val="14"/>
                <w:i w:val="1"/>
                <w:iCs w:val="1"/>
                <w:color w:val="auto"/>
                <w:w w:val="91"/>
              </w:rPr>
              <w:t>($ in thousands, except per share amounts)</w:t>
            </w:r>
          </w:p>
        </w:tc>
        <w:tc>
          <w:tcPr>
            <w:tcW w:w="14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8"/>
                <w:szCs w:val="8"/>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8"/>
              </w:rPr>
              <w:t>Presentation</w:t>
            </w:r>
          </w:p>
        </w:tc>
        <w:tc>
          <w:tcPr>
            <w:tcW w:w="120" w:type="dxa"/>
            <w:vAlign w:val="bottom"/>
          </w:tcPr>
          <w:p>
            <w:pPr>
              <w:spacing w:after="0"/>
              <w:rPr>
                <w:sz w:val="8"/>
                <w:szCs w:val="8"/>
                <w:color w:val="auto"/>
              </w:rPr>
            </w:pPr>
          </w:p>
        </w:tc>
        <w:tc>
          <w:tcPr>
            <w:tcW w:w="2120" w:type="dxa"/>
            <w:vAlign w:val="bottom"/>
            <w:tcBorders>
              <w:right w:val="single" w:sz="8" w:color="auto"/>
            </w:tcBorders>
            <w:gridSpan w:val="3"/>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restart"/>
          </w:tcPr>
          <w:p>
            <w:pPr>
              <w:jc w:val="center"/>
              <w:ind w:right="339"/>
              <w:spacing w:after="0"/>
              <w:rPr>
                <w:sz w:val="20"/>
                <w:szCs w:val="20"/>
                <w:color w:val="auto"/>
              </w:rPr>
            </w:pPr>
            <w:r>
              <w:rPr>
                <w:rFonts w:ascii="Arial" w:cs="Arial" w:eastAsia="Arial" w:hAnsi="Arial"/>
                <w:sz w:val="16"/>
                <w:szCs w:val="16"/>
                <w:b w:val="1"/>
                <w:bCs w:val="1"/>
                <w:color w:val="auto"/>
                <w:w w:val="90"/>
              </w:rPr>
              <w:t>Revenue (2)</w:t>
            </w:r>
          </w:p>
        </w:tc>
        <w:tc>
          <w:tcPr>
            <w:tcW w:w="84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9"/>
                <w:szCs w:val="9"/>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As Reported</w:t>
            </w: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w w:val="89"/>
              </w:rPr>
              <w:t>Topic 606</w:t>
            </w:r>
          </w:p>
        </w:tc>
        <w:tc>
          <w:tcPr>
            <w:tcW w:w="120" w:type="dxa"/>
            <w:vAlign w:val="bottom"/>
          </w:tcPr>
          <w:p>
            <w:pPr>
              <w:spacing w:after="0"/>
              <w:rPr>
                <w:sz w:val="8"/>
                <w:szCs w:val="8"/>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1"/>
              </w:rPr>
              <w:t>(1)</w:t>
            </w:r>
          </w:p>
        </w:tc>
        <w:tc>
          <w:tcPr>
            <w:tcW w:w="1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140"/>
              <w:spacing w:after="0"/>
              <w:rPr>
                <w:sz w:val="20"/>
                <w:szCs w:val="20"/>
                <w:color w:val="auto"/>
              </w:rPr>
            </w:pPr>
            <w:r>
              <w:rPr>
                <w:rFonts w:ascii="Arial" w:cs="Arial" w:eastAsia="Arial" w:hAnsi="Arial"/>
                <w:sz w:val="16"/>
                <w:szCs w:val="16"/>
                <w:color w:val="auto"/>
              </w:rPr>
              <w:t>Service revenue and other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310,079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(40,895)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2,990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272,174</w:t>
            </w:r>
          </w:p>
        </w:tc>
        <w:tc>
          <w:tcPr>
            <w:tcW w:w="0" w:type="dxa"/>
            <w:vAlign w:val="bottom"/>
          </w:tcPr>
          <w:p>
            <w:pPr>
              <w:spacing w:after="0"/>
              <w:rPr>
                <w:sz w:val="1"/>
                <w:szCs w:val="1"/>
                <w:color w:val="auto"/>
              </w:rPr>
            </w:pPr>
          </w:p>
        </w:tc>
      </w:tr>
      <w:tr>
        <w:trPr>
          <w:trHeight w:val="257"/>
        </w:trPr>
        <w:tc>
          <w:tcPr>
            <w:tcW w:w="250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140" w:type="dxa"/>
            <w:vAlign w:val="bottom"/>
          </w:tcPr>
          <w:p>
            <w:pPr>
              <w:spacing w:after="0"/>
              <w:rPr>
                <w:sz w:val="22"/>
                <w:szCs w:val="22"/>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3,858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29,730</w:t>
            </w:r>
          </w:p>
        </w:tc>
        <w:tc>
          <w:tcPr>
            <w:tcW w:w="300" w:type="dxa"/>
            <w:vAlign w:val="bottom"/>
          </w:tcPr>
          <w:p>
            <w:pPr>
              <w:spacing w:after="0"/>
              <w:rPr>
                <w:sz w:val="22"/>
                <w:szCs w:val="22"/>
                <w:color w:val="auto"/>
              </w:rPr>
            </w:pP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33,588</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Total operating revenues</w:t>
            </w:r>
          </w:p>
        </w:tc>
        <w:tc>
          <w:tcPr>
            <w:tcW w:w="14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313,937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(40,895)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29,730</w:t>
            </w:r>
          </w:p>
        </w:tc>
        <w:tc>
          <w:tcPr>
            <w:tcW w:w="300" w:type="dxa"/>
            <w:vAlign w:val="bottom"/>
          </w:tcPr>
          <w:p>
            <w:pPr>
              <w:spacing w:after="0"/>
              <w:rPr>
                <w:sz w:val="18"/>
                <w:szCs w:val="18"/>
                <w:color w:val="auto"/>
              </w:rPr>
            </w:pP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2,990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305,762</w:t>
            </w:r>
          </w:p>
        </w:tc>
        <w:tc>
          <w:tcPr>
            <w:tcW w:w="0" w:type="dxa"/>
            <w:vAlign w:val="bottom"/>
          </w:tcPr>
          <w:p>
            <w:pPr>
              <w:spacing w:after="0"/>
              <w:rPr>
                <w:sz w:val="1"/>
                <w:szCs w:val="1"/>
                <w:color w:val="auto"/>
              </w:rPr>
            </w:pPr>
          </w:p>
        </w:tc>
      </w:tr>
      <w:tr>
        <w:trPr>
          <w:trHeight w:val="257"/>
        </w:trPr>
        <w:tc>
          <w:tcPr>
            <w:tcW w:w="250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140" w:type="dxa"/>
            <w:vAlign w:val="bottom"/>
          </w:tcPr>
          <w:p>
            <w:pPr>
              <w:spacing w:after="0"/>
              <w:rPr>
                <w:sz w:val="22"/>
                <w:szCs w:val="22"/>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98,198</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98,476</w:t>
            </w:r>
          </w:p>
        </w:tc>
        <w:tc>
          <w:tcPr>
            <w:tcW w:w="0" w:type="dxa"/>
            <w:vAlign w:val="bottom"/>
          </w:tcPr>
          <w:p>
            <w:pPr>
              <w:spacing w:after="0"/>
              <w:rPr>
                <w:sz w:val="1"/>
                <w:szCs w:val="1"/>
                <w:color w:val="auto"/>
              </w:rPr>
            </w:pPr>
          </w:p>
        </w:tc>
      </w:tr>
      <w:tr>
        <w:trPr>
          <w:trHeight w:val="257"/>
        </w:trPr>
        <w:tc>
          <w:tcPr>
            <w:tcW w:w="250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2"/>
                <w:szCs w:val="22"/>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12,446</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(11,205)</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29,730</w:t>
            </w:r>
          </w:p>
        </w:tc>
        <w:tc>
          <w:tcPr>
            <w:tcW w:w="300" w:type="dxa"/>
            <w:vAlign w:val="bottom"/>
          </w:tcPr>
          <w:p>
            <w:pPr>
              <w:spacing w:after="0"/>
              <w:rPr>
                <w:sz w:val="22"/>
                <w:szCs w:val="22"/>
                <w:color w:val="auto"/>
              </w:rPr>
            </w:pP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30,971</w:t>
            </w:r>
          </w:p>
        </w:tc>
        <w:tc>
          <w:tcPr>
            <w:tcW w:w="0" w:type="dxa"/>
            <w:vAlign w:val="bottom"/>
          </w:tcPr>
          <w:p>
            <w:pPr>
              <w:spacing w:after="0"/>
              <w:rPr>
                <w:sz w:val="1"/>
                <w:szCs w:val="1"/>
                <w:color w:val="auto"/>
              </w:rPr>
            </w:pPr>
          </w:p>
        </w:tc>
      </w:tr>
      <w:tr>
        <w:trPr>
          <w:trHeight w:val="257"/>
        </w:trPr>
        <w:tc>
          <w:tcPr>
            <w:tcW w:w="2500" w:type="dxa"/>
            <w:vAlign w:val="bottom"/>
          </w:tcPr>
          <w:p>
            <w:pPr>
              <w:ind w:left="140"/>
              <w:spacing w:after="0"/>
              <w:rPr>
                <w:sz w:val="20"/>
                <w:szCs w:val="20"/>
                <w:color w:val="auto"/>
              </w:rPr>
            </w:pPr>
            <w:r>
              <w:rPr>
                <w:rFonts w:ascii="Arial" w:cs="Arial" w:eastAsia="Arial" w:hAnsi="Arial"/>
                <w:sz w:val="16"/>
                <w:szCs w:val="16"/>
                <w:color w:val="auto"/>
              </w:rPr>
              <w:t>Selling, general &amp; administrative</w:t>
            </w:r>
          </w:p>
        </w:tc>
        <w:tc>
          <w:tcPr>
            <w:tcW w:w="140" w:type="dxa"/>
            <w:vAlign w:val="bottom"/>
          </w:tcPr>
          <w:p>
            <w:pPr>
              <w:spacing w:after="0"/>
              <w:rPr>
                <w:sz w:val="22"/>
                <w:szCs w:val="22"/>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88,547</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(29,690)</w:t>
            </w:r>
          </w:p>
        </w:tc>
        <w:tc>
          <w:tcPr>
            <w:tcW w:w="120" w:type="dxa"/>
            <w:vAlign w:val="bottom"/>
          </w:tcPr>
          <w:p>
            <w:pPr>
              <w:spacing w:after="0"/>
              <w:rPr>
                <w:sz w:val="22"/>
                <w:szCs w:val="22"/>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58,665</w:t>
            </w:r>
          </w:p>
        </w:tc>
        <w:tc>
          <w:tcPr>
            <w:tcW w:w="0" w:type="dxa"/>
            <w:vAlign w:val="bottom"/>
          </w:tcPr>
          <w:p>
            <w:pPr>
              <w:spacing w:after="0"/>
              <w:rPr>
                <w:sz w:val="1"/>
                <w:szCs w:val="1"/>
                <w:color w:val="auto"/>
              </w:rPr>
            </w:pPr>
          </w:p>
        </w:tc>
      </w:tr>
      <w:tr>
        <w:trPr>
          <w:trHeight w:val="257"/>
        </w:trPr>
        <w:tc>
          <w:tcPr>
            <w:tcW w:w="25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84,604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84,604</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283,795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(40,895)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29,730</w:t>
            </w:r>
          </w:p>
        </w:tc>
        <w:tc>
          <w:tcPr>
            <w:tcW w:w="300" w:type="dxa"/>
            <w:vAlign w:val="bottom"/>
          </w:tcPr>
          <w:p>
            <w:pPr>
              <w:spacing w:after="0"/>
              <w:rPr>
                <w:sz w:val="18"/>
                <w:szCs w:val="18"/>
                <w:color w:val="auto"/>
              </w:rPr>
            </w:pP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272,716</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Pr>
          <w:p>
            <w:pPr>
              <w:spacing w:after="0"/>
              <w:rPr>
                <w:sz w:val="18"/>
                <w:szCs w:val="18"/>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30,142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2,904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33,046</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14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(16,355)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(16,355)</w:t>
            </w:r>
          </w:p>
        </w:tc>
        <w:tc>
          <w:tcPr>
            <w:tcW w:w="0" w:type="dxa"/>
            <w:vAlign w:val="bottom"/>
          </w:tcPr>
          <w:p>
            <w:pPr>
              <w:spacing w:after="0"/>
              <w:rPr>
                <w:sz w:val="1"/>
                <w:szCs w:val="1"/>
                <w:color w:val="auto"/>
              </w:rPr>
            </w:pPr>
          </w:p>
        </w:tc>
      </w:tr>
      <w:tr>
        <w:trPr>
          <w:trHeight w:val="257"/>
        </w:trPr>
        <w:tc>
          <w:tcPr>
            <w:tcW w:w="2500" w:type="dxa"/>
            <w:vAlign w:val="bottom"/>
          </w:tcPr>
          <w:p>
            <w:pPr>
              <w:ind w:left="14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22"/>
                <w:szCs w:val="22"/>
                <w:color w:val="auto"/>
              </w:rPr>
            </w:pP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3,254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24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10,533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 $</w:t>
            </w:r>
          </w:p>
        </w:tc>
        <w:tc>
          <w:tcPr>
            <w:tcW w:w="8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12,653</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6"/>
                <w:szCs w:val="16"/>
                <w:color w:val="auto"/>
                <w:w w:val="97"/>
              </w:rPr>
              <w:t>Weighted average shares o/s, basic</w:t>
            </w: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49,511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49,511</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w w:val="93"/>
              </w:rPr>
              <w:t>Weighted average shares o/s, diluted</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50,029</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50,029</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w:t>
      </w:r>
    </w:p>
    <w:p>
      <w:pPr>
        <w:ind w:left="660" w:right="80" w:hanging="328"/>
        <w:spacing w:after="0" w:line="245"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and to provide on-going support to their prepaid customers in our territory were historically recorded as expense when incurred. Under Topic 606, these amounts represent consideration payable to our customer, Sprint, and are recorded as a reduction of revenue. In 2017, these amounts were approximately $44.8 million for the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138" w:lineRule="exact"/>
        <w:rPr>
          <w:rFonts w:ascii="Arial" w:cs="Arial" w:eastAsia="Arial" w:hAnsi="Arial"/>
          <w:sz w:val="14"/>
          <w:szCs w:val="14"/>
          <w:color w:val="auto"/>
        </w:rPr>
      </w:pPr>
    </w:p>
    <w:p>
      <w:pPr>
        <w:ind w:left="660" w:right="20" w:hanging="328"/>
        <w:spacing w:after="0" w:line="257"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Costs incurred by the Company for the sale of devices under Sprint’s device financing and lease programs were previously recorded net against revenue. Under Topic 606, the revenue from device sales is recorded gross as equipment revenue and the device costs are recorded gross and reclassified to cost of goods and services. These amounts were approximately $63.8 million in 2017.</w:t>
      </w:r>
    </w:p>
    <w:p>
      <w:pPr>
        <w:spacing w:after="0" w:line="131" w:lineRule="exact"/>
        <w:rPr>
          <w:rFonts w:ascii="Arial" w:cs="Arial" w:eastAsia="Arial" w:hAnsi="Arial"/>
          <w:sz w:val="14"/>
          <w:szCs w:val="14"/>
          <w:color w:val="auto"/>
        </w:rPr>
      </w:pPr>
    </w:p>
    <w:p>
      <w:pPr>
        <w:ind w:left="660" w:right="80" w:hanging="328"/>
        <w:spacing w:after="0" w:line="252"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which historically have been expensed when incurred, are deferred and amortized against revenue over the expected period of benefit of approximately 21 to 24 months. In Cable and Wireline, installation revenues are recognized over a shorter period of benefit. The deferred balance as of June 30, 2018 is approximately $53.9 million and is classified on the balance sheet as current and non-current assets, as applicable.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Developments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Credit Facility Modification: </w:t>
      </w:r>
      <w:r>
        <w:rPr>
          <w:rFonts w:ascii="Arial" w:cs="Arial" w:eastAsia="Arial" w:hAnsi="Arial"/>
          <w:sz w:val="18"/>
          <w:szCs w:val="18"/>
          <w:color w:val="auto"/>
        </w:rPr>
        <w:t>On February 16, 2018, the Company, entered into a Second Amendment to Credit Agreement (the “Second Amendment”)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CoBank, ACB, as administrative agent of its Credit Agreement, described more fully in Note 12, </w:t>
      </w:r>
      <w:r>
        <w:rPr>
          <w:rFonts w:ascii="Arial" w:cs="Arial" w:eastAsia="Arial" w:hAnsi="Arial"/>
          <w:sz w:val="18"/>
          <w:szCs w:val="18"/>
          <w:i w:val="1"/>
          <w:iCs w:val="1"/>
          <w:color w:val="auto"/>
        </w:rPr>
        <w:t>Long-Term Debt</w:t>
      </w:r>
      <w:r>
        <w:rPr>
          <w:rFonts w:ascii="Arial" w:cs="Arial" w:eastAsia="Arial" w:hAnsi="Arial"/>
          <w:sz w:val="18"/>
          <w:szCs w:val="18"/>
          <w:color w:val="auto"/>
        </w:rPr>
        <w:t>, and the various financial institutions party thereto (the “Lenders”), which modifies the Credit Agreement by (i) reducing the interest rate paid by the Company by 50 basis points with respect to certain loans made by the Lenders to the Company under the Credit Agreement, and (ii) allowing the Company to make charitable contributions to Shentel Foundation, a Virginia nonstock corporation, of up to $1.5 million in any fiscal year.</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Sprint Territory Expansion: </w:t>
      </w:r>
      <w:r>
        <w:rPr>
          <w:rFonts w:ascii="Arial" w:cs="Arial" w:eastAsia="Arial" w:hAnsi="Arial"/>
          <w:sz w:val="16"/>
          <w:szCs w:val="16"/>
          <w:color w:val="auto"/>
        </w:rPr>
        <w:t>Effective February 1, 2018, we signed the Expansion Agreement with Sprint to expand our wireless network coverage area to</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certain portions of Kentucky, Pennsylvania, Virginia and West Virginia, (the “Expansion Area”), effectively adding a population (POPs) of approximately 1.1 million. The agreement includes certain network build out requirements in the Expansion Area, and the ability to utilize Sprint’s spectrum in the Expansion Area along with certain other amendments to the Affiliate Agreements. Pursuant to the Expansion Agreement, Sprint agreed to, among other things, transition the provision of network coverage in the Expansion Area from Sprint to us. The Expansion Agreement required a payment of $52.0 million to Sprint for the right to service the Expansion Area pursuant to the Affiliate Agreements plus an additional payment of up to $5.0 million after acceptance of certain equipment at the Sprint cell sites in the Expansion Area. A map of our territory, reflecting the new expansion area, is provided below:</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5634355" cy="4168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34355" cy="416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with the Three Months Ended June 30,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second quarter of 2018 and 2017 are summarized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66"/>
              <w:spacing w:after="0"/>
              <w:rPr>
                <w:sz w:val="20"/>
                <w:szCs w:val="20"/>
                <w:color w:val="auto"/>
              </w:rPr>
            </w:pPr>
            <w:r>
              <w:rPr>
                <w:rFonts w:ascii="Arial" w:cs="Arial" w:eastAsia="Arial" w:hAnsi="Arial"/>
                <w:sz w:val="18"/>
                <w:szCs w:val="18"/>
                <w:b w:val="1"/>
                <w:bCs w:val="1"/>
                <w:color w:val="auto"/>
              </w:rPr>
              <w:t>%</w:t>
            </w: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2"/>
        </w:trPr>
        <w:tc>
          <w:tcPr>
            <w:tcW w:w="352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154,030</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153,258</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0.5</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135,332</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145,006</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58"/>
        </w:trPr>
        <w:tc>
          <w:tcPr>
            <w:tcW w:w="3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18,698</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8,252</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126.6</w:t>
            </w:r>
          </w:p>
        </w:tc>
      </w:tr>
      <w:tr>
        <w:trPr>
          <w:trHeight w:val="594"/>
        </w:trPr>
        <w:tc>
          <w:tcPr>
            <w:tcW w:w="35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(8,851)</w:t>
            </w:r>
          </w:p>
        </w:tc>
        <w:tc>
          <w:tcPr>
            <w:tcW w:w="12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(9,389)</w:t>
            </w:r>
          </w:p>
        </w:tc>
        <w:tc>
          <w:tcPr>
            <w:tcW w:w="12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5.7</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839</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1,297</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r>
      <w:tr>
        <w:trPr>
          <w:trHeight w:val="258"/>
        </w:trPr>
        <w:tc>
          <w:tcPr>
            <w:tcW w:w="35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10,686</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6,578.8</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2,862</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240</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1,092.5</w:t>
            </w: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7,824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7,904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(9,880.0)</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months ended June 30, 2018, operating revenues increased approximately $0.8 million, or 0.5%, compared with the three months ended June 30, 2017. Excluding the impacts of adopting Topic 606, operating revenues would have increased approximately $4.8 million, driven by the Wireless and Cable operations, partially offset by Wireline operations.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During the three months ended June 30, 2018, operating expenses decreased approximately $9.7 million or 6.7%, compared with the three months ended June 30, 2017. Excluding the impacts of adopting Topic 606, operating expenses would have decreased approximately $3.0 million, primarily due to the absence of acquisition, integration and migration costs related to the completion of the transformation of the nTelos network in 2017, partially offset by our investment in infrastructure in the Other operations necessary to support our growth.</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2018, the Company's stock compensation expense was recorded in the Other operations. In prior years this expense was allocated among Wireless, Cable, Wireline and Other. Stock compensation expense for the three months ended June 30, 2018 was approximately $1.4 million compared with approximately $0.8 million for the three months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the three months ended June 30, 2018, interest expense decreased approximately $0.5 million, or 5.7%, compared with the three months ended June 30, 2017. The decrease in interest expense was primarily attributable to an amendment to the Credit Facility Agreement that reduced the base rate of the Credit Facility by 50 basis points and a reduction in the outstanding principal of our credit facility, partially offset by the effect of increases in the London Interbank Offered Rate ("LIBOR").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During the three months ended June 30, 2018, other income, net decreased approximately $0.5 million, or 35.3%, compared with the three months ended June 30, 2017. The decrease in other income, net was primarily attributable to lower interest income derived from our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During the three months ended June 30, 2018, income tax expense increased approximately $2.6 million or 1092.5%, compared with the three months ended June 30, 2017. The increase is primarily attributable to growth in our income before taxes and was partially offset by the changes in federal tax regulations related to the 2017 Tax Act that was enacted during December 2017. The Company’s effective tax rate decreased from 150.0% for the three months ended June 30, 2017, to 26.8% for the three months ended June 30, 2018, primarily as a result of the changes in federal tax regulations related to the 2017 Tax Act that was enacted during December 2017 and partly due to acquisition related deferred tax adjustments recognized during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with the Six Months Ended June 30,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first six months of 2018 and 2017 are summarized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66"/>
              <w:spacing w:after="0"/>
              <w:rPr>
                <w:sz w:val="20"/>
                <w:szCs w:val="20"/>
                <w:color w:val="auto"/>
              </w:rPr>
            </w:pPr>
            <w:r>
              <w:rPr>
                <w:rFonts w:ascii="Arial" w:cs="Arial" w:eastAsia="Arial" w:hAnsi="Arial"/>
                <w:sz w:val="18"/>
                <w:szCs w:val="18"/>
                <w:b w:val="1"/>
                <w:bCs w:val="1"/>
                <w:color w:val="auto"/>
              </w:rPr>
              <w:t>%</w:t>
            </w:r>
          </w:p>
        </w:tc>
      </w:tr>
      <w:tr>
        <w:trPr>
          <w:trHeight w:val="27"/>
        </w:trPr>
        <w:tc>
          <w:tcPr>
            <w:tcW w:w="3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2"/>
        </w:trPr>
        <w:tc>
          <w:tcPr>
            <w:tcW w:w="352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305,762</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307,138</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272,716</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288,213</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58"/>
        </w:trPr>
        <w:tc>
          <w:tcPr>
            <w:tcW w:w="3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33,046</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18,925</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14,121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74.6</w:t>
            </w:r>
          </w:p>
        </w:tc>
      </w:tr>
      <w:tr>
        <w:trPr>
          <w:trHeight w:val="594"/>
        </w:trPr>
        <w:tc>
          <w:tcPr>
            <w:tcW w:w="35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(18,183)</w:t>
            </w:r>
          </w:p>
        </w:tc>
        <w:tc>
          <w:tcPr>
            <w:tcW w:w="12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(18,489)</w:t>
            </w:r>
          </w:p>
        </w:tc>
        <w:tc>
          <w:tcPr>
            <w:tcW w:w="120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1.7</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1,828</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2,672</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r>
      <w:tr>
        <w:trPr>
          <w:trHeight w:val="258"/>
        </w:trPr>
        <w:tc>
          <w:tcPr>
            <w:tcW w:w="35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16,691</w:t>
            </w:r>
          </w:p>
        </w:tc>
        <w:tc>
          <w:tcPr>
            <w:tcW w:w="1200" w:type="dxa"/>
            <w:vAlign w:val="bottom"/>
          </w:tcPr>
          <w:p>
            <w:pPr>
              <w:jc w:val="right"/>
              <w:ind w:right="24"/>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3,108</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437.0</w:t>
            </w:r>
          </w:p>
        </w:tc>
      </w:tr>
      <w:tr>
        <w:trPr>
          <w:trHeight w:val="276"/>
        </w:trPr>
        <w:tc>
          <w:tcPr>
            <w:tcW w:w="35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4,038</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847</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376.7</w:t>
            </w:r>
          </w:p>
        </w:tc>
      </w:tr>
      <w:tr>
        <w:trPr>
          <w:trHeight w:val="264"/>
        </w:trPr>
        <w:tc>
          <w:tcPr>
            <w:tcW w:w="352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12,653</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2,261</w:t>
            </w: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10,392</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459.6</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six months ended June 30, 2018, operating revenues decreased approximately $1.4 million, or 0.4%, compared with the six months ended June 30, 2017. Excluding the impacts of adopting Topic 606, operating revenues would have increased approximately $6.8 million, driven by the Wireless and Cable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operating expenses decreased approximately $15.5 million or 5.4%, compared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with the six months ended June 30, 2017. Excluding the impacts of adopting Topic 606, operating expenses would have decreased approximately $4.4 million, primarily due to the absence of acquisition, integration and migration costs related to the completion of the transformation of the nTelos network in 2017.</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2018, the Company's stock compensation expense was recorded in the Other operations. In prior years this expense was allocated among Wireless, Cable, Wireline and Other. Stock compensation expense for the six months ended June 30, 2018 was approximately $3.4 million compared with approximately $2.4 million for the six months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During the six months ended June 30, 2018, interest expense decreased approximately $0.3 million, or 1.7%, compared with the six months ended June 30, 2017. The decrease in interest expense was primarily attributable to an amendment to the Credit Facility Agreement that reduced the base rate of the Credit Facility by 50 basis points and a reduction in the outstanding principal of our credit facility, partially offset by the effect of increases in LIBOR.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six months ended June 30, 2018, other income, net decreased approximately $0.8 million, or 31.6%, compared with the six months ended June 30, 2017. The decrease in other income, net was primarily attributable to lower interest income derived from our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six months ended June 30, 2018, income tax increased approximately $3.2 million or 376.7%, compared with the six months ended June 30, 2017. The increase is primarily attributable to growth in our income before taxes and was partially offset by the changes in federal tax regulations related to the 2017 Tax Act that was enacted during December 2017. The Company’s effective tax rate decreased from 27.3% for the six months ended June 30, 2017, to 24.2% for the six months ended June 30, 2018. The decrease in the effective tax rate was primarily attributable to the changes in federal tax regulations related to the 2017 Tax Act that was enacted during December 2017.</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Wireless earns revenues from Sprint for their postpaid and prepaid subscribers usage of our Wireless network in our Wireless network coverage area, net of customer credits, account write offs and other billing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identify the impact of Topic 606 on the Company's Wireless operations for the three and six months ended June 30, 2018 :</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4"/>
          </w:tcPr>
          <w:p>
            <w:pPr>
              <w:jc w:val="center"/>
              <w:ind w:right="31"/>
              <w:spacing w:after="0"/>
              <w:rPr>
                <w:sz w:val="20"/>
                <w:szCs w:val="20"/>
                <w:color w:val="auto"/>
              </w:rPr>
            </w:pPr>
            <w:r>
              <w:rPr>
                <w:rFonts w:ascii="Arial" w:cs="Arial" w:eastAsia="Arial" w:hAnsi="Arial"/>
                <w:sz w:val="16"/>
                <w:szCs w:val="16"/>
                <w:b w:val="1"/>
                <w:bCs w:val="1"/>
                <w:color w:val="auto"/>
                <w:w w:val="91"/>
              </w:rPr>
              <w:t>Three Months Ended June 30, 2018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4"/>
          </w:tcPr>
          <w:p>
            <w:pPr>
              <w:jc w:val="center"/>
              <w:ind w:right="51"/>
              <w:spacing w:after="0"/>
              <w:rPr>
                <w:sz w:val="20"/>
                <w:szCs w:val="20"/>
                <w:color w:val="auto"/>
              </w:rPr>
            </w:pPr>
            <w:r>
              <w:rPr>
                <w:rFonts w:ascii="Arial" w:cs="Arial" w:eastAsia="Arial" w:hAnsi="Arial"/>
                <w:sz w:val="16"/>
                <w:szCs w:val="16"/>
                <w:b w:val="1"/>
                <w:bCs w:val="1"/>
                <w:color w:val="auto"/>
                <w:w w:val="95"/>
              </w:rPr>
              <w:t>Topic 606 Impact - WIRELESS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4"/>
              </w:rPr>
              <w:t>Prior to</w:t>
            </w:r>
          </w:p>
        </w:tc>
        <w:tc>
          <w:tcPr>
            <w:tcW w:w="12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Changes in</w:t>
            </w:r>
          </w:p>
        </w:tc>
        <w:tc>
          <w:tcPr>
            <w:tcW w:w="140" w:type="dxa"/>
            <w:vAlign w:val="bottom"/>
          </w:tcPr>
          <w:p>
            <w:pPr>
              <w:spacing w:after="0"/>
              <w:rPr>
                <w:sz w:val="18"/>
                <w:szCs w:val="18"/>
                <w:color w:val="auto"/>
              </w:rPr>
            </w:pPr>
          </w:p>
        </w:tc>
        <w:tc>
          <w:tcPr>
            <w:tcW w:w="206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w w:val="96"/>
              </w:rPr>
              <w:t>Equipment  Deferred Costs</w:t>
            </w:r>
          </w:p>
        </w:tc>
        <w:tc>
          <w:tcPr>
            <w:tcW w:w="1100" w:type="dxa"/>
            <w:vAlign w:val="bottom"/>
            <w:gridSpan w:val="2"/>
            <w:vMerge w:val="restart"/>
          </w:tcPr>
          <w:p>
            <w:pPr>
              <w:jc w:val="right"/>
              <w:ind w:right="31"/>
              <w:spacing w:after="0"/>
              <w:rPr>
                <w:sz w:val="20"/>
                <w:szCs w:val="20"/>
                <w:color w:val="auto"/>
              </w:rPr>
            </w:pPr>
            <w:r>
              <w:rPr>
                <w:rFonts w:ascii="Arial" w:cs="Arial" w:eastAsia="Arial" w:hAnsi="Arial"/>
                <w:sz w:val="16"/>
                <w:szCs w:val="16"/>
                <w:b w:val="1"/>
                <w:bCs w:val="1"/>
                <w:color w:val="auto"/>
              </w:rPr>
              <w:t>As Reported</w:t>
            </w:r>
          </w:p>
        </w:tc>
        <w:tc>
          <w:tcPr>
            <w:tcW w:w="0" w:type="dxa"/>
            <w:vAlign w:val="bottom"/>
          </w:tcPr>
          <w:p>
            <w:pPr>
              <w:spacing w:after="0"/>
              <w:rPr>
                <w:sz w:val="1"/>
                <w:szCs w:val="1"/>
                <w:color w:val="auto"/>
              </w:rPr>
            </w:pPr>
          </w:p>
        </w:tc>
      </w:tr>
      <w:tr>
        <w:trPr>
          <w:trHeight w:val="95"/>
        </w:trPr>
        <w:tc>
          <w:tcPr>
            <w:tcW w:w="250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Pr>
          <w:p>
            <w:pPr>
              <w:spacing w:after="0"/>
              <w:rPr>
                <w:sz w:val="8"/>
                <w:szCs w:val="8"/>
                <w:color w:val="auto"/>
              </w:rPr>
            </w:pPr>
          </w:p>
        </w:tc>
        <w:tc>
          <w:tcPr>
            <w:tcW w:w="98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8"/>
                <w:szCs w:val="8"/>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90"/>
              </w:rPr>
              <w:t>Presentation</w:t>
            </w:r>
          </w:p>
        </w:tc>
        <w:tc>
          <w:tcPr>
            <w:tcW w:w="140" w:type="dxa"/>
            <w:vAlign w:val="bottom"/>
          </w:tcPr>
          <w:p>
            <w:pPr>
              <w:spacing w:after="0"/>
              <w:rPr>
                <w:sz w:val="8"/>
                <w:szCs w:val="8"/>
                <w:color w:val="auto"/>
              </w:rPr>
            </w:pPr>
          </w:p>
        </w:tc>
        <w:tc>
          <w:tcPr>
            <w:tcW w:w="2060" w:type="dxa"/>
            <w:vAlign w:val="bottom"/>
            <w:tcBorders>
              <w:right w:val="single" w:sz="8" w:color="auto"/>
            </w:tcBorders>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vMerge w:val="restart"/>
          </w:tcPr>
          <w:p>
            <w:pPr>
              <w:jc w:val="center"/>
              <w:ind w:right="331"/>
              <w:spacing w:after="0"/>
              <w:rPr>
                <w:sz w:val="20"/>
                <w:szCs w:val="20"/>
                <w:color w:val="auto"/>
              </w:rPr>
            </w:pPr>
            <w:r>
              <w:rPr>
                <w:rFonts w:ascii="Arial" w:cs="Arial" w:eastAsia="Arial" w:hAnsi="Arial"/>
                <w:sz w:val="16"/>
                <w:szCs w:val="16"/>
                <w:b w:val="1"/>
                <w:bCs w:val="1"/>
                <w:color w:val="auto"/>
                <w:w w:val="90"/>
              </w:rPr>
              <w:t>Revenue (2)</w:t>
            </w:r>
          </w:p>
        </w:tc>
        <w:tc>
          <w:tcPr>
            <w:tcW w:w="820" w:type="dxa"/>
            <w:vAlign w:val="bottom"/>
            <w:tcBorders>
              <w:right w:val="single" w:sz="8" w:color="auto"/>
            </w:tcBorders>
            <w:vMerge w:val="restart"/>
          </w:tcPr>
          <w:p>
            <w:pPr>
              <w:jc w:val="right"/>
              <w:ind w:right="371"/>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9"/>
                <w:szCs w:val="9"/>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w w:val="98"/>
              </w:rPr>
              <w:t>6/30/2018</w:t>
            </w: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6"/>
                <w:szCs w:val="16"/>
                <w:b w:val="1"/>
                <w:bCs w:val="1"/>
                <w:color w:val="auto"/>
                <w:w w:val="89"/>
              </w:rPr>
              <w:t>Topic 606</w:t>
            </w:r>
          </w:p>
        </w:tc>
        <w:tc>
          <w:tcPr>
            <w:tcW w:w="120" w:type="dxa"/>
            <w:vAlign w:val="bottom"/>
          </w:tcPr>
          <w:p>
            <w:pPr>
              <w:spacing w:after="0"/>
              <w:rPr>
                <w:sz w:val="8"/>
                <w:szCs w:val="8"/>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111,515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(20,881)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 $</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93,219</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Equipment revenue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14,210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15,819</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Tower and Other revenue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b w:val="1"/>
                <w:bCs w:val="1"/>
                <w:color w:val="auto"/>
              </w:rPr>
              <w:t>Total operating revenues</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116,368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(20,881)</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rPr>
              <w:t>14,210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2,585</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112,282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color w:val="auto"/>
              </w:rPr>
              <w:t>Cost of services</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33,488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33,488</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(5,372)</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14,210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15,082</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Selling, general &amp; administrative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27,876</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(15,509)</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12,367</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31,565</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31,565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99,173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(20,881)</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rPr>
              <w:t>14,210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92,502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17,195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19,780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4"/>
          </w:tcPr>
          <w:p>
            <w:pPr>
              <w:jc w:val="center"/>
              <w:ind w:left="533"/>
              <w:spacing w:after="0"/>
              <w:rPr>
                <w:sz w:val="20"/>
                <w:szCs w:val="20"/>
                <w:color w:val="auto"/>
              </w:rPr>
            </w:pPr>
            <w:r>
              <w:rPr>
                <w:rFonts w:ascii="Arial" w:cs="Arial" w:eastAsia="Arial" w:hAnsi="Arial"/>
                <w:sz w:val="16"/>
                <w:szCs w:val="16"/>
                <w:b w:val="1"/>
                <w:bCs w:val="1"/>
                <w:color w:val="auto"/>
                <w:w w:val="91"/>
              </w:rPr>
              <w:t>Six Months Ended June 30, 2018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2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4"/>
          </w:tcPr>
          <w:p>
            <w:pPr>
              <w:jc w:val="center"/>
              <w:ind w:left="533"/>
              <w:spacing w:after="0"/>
              <w:rPr>
                <w:sz w:val="20"/>
                <w:szCs w:val="20"/>
                <w:color w:val="auto"/>
              </w:rPr>
            </w:pPr>
            <w:r>
              <w:rPr>
                <w:rFonts w:ascii="Arial" w:cs="Arial" w:eastAsia="Arial" w:hAnsi="Arial"/>
                <w:sz w:val="16"/>
                <w:szCs w:val="16"/>
                <w:b w:val="1"/>
                <w:bCs w:val="1"/>
                <w:color w:val="auto"/>
                <w:w w:val="95"/>
              </w:rPr>
              <w:t>Topic 606 Impact - WIRELESS</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29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64"/>
        </w:trPr>
        <w:tc>
          <w:tcPr>
            <w:tcW w:w="29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420" w:type="dxa"/>
            <w:vAlign w:val="bottom"/>
            <w:tcBorders>
              <w:right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8"/>
              </w:rPr>
              <w:t>Prior to Adoption</w:t>
            </w:r>
          </w:p>
        </w:tc>
        <w:tc>
          <w:tcPr>
            <w:tcW w:w="140" w:type="dxa"/>
            <w:vAlign w:val="bottom"/>
          </w:tcPr>
          <w:p>
            <w:pPr>
              <w:spacing w:after="0"/>
              <w:rPr>
                <w:sz w:val="22"/>
                <w:szCs w:val="22"/>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Changes in</w:t>
            </w:r>
          </w:p>
        </w:tc>
        <w:tc>
          <w:tcPr>
            <w:tcW w:w="200" w:type="dxa"/>
            <w:vAlign w:val="bottom"/>
          </w:tcPr>
          <w:p>
            <w:pPr>
              <w:spacing w:after="0"/>
              <w:rPr>
                <w:sz w:val="22"/>
                <w:szCs w:val="22"/>
                <w:color w:val="auto"/>
              </w:rPr>
            </w:pPr>
          </w:p>
        </w:tc>
        <w:tc>
          <w:tcPr>
            <w:tcW w:w="118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Equipment</w:t>
            </w:r>
          </w:p>
        </w:tc>
        <w:tc>
          <w:tcPr>
            <w:tcW w:w="146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6"/>
              </w:rPr>
              <w:t>Deferred Costs (3)</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YTD 6/30/2018 As</w:t>
            </w:r>
          </w:p>
        </w:tc>
      </w:tr>
      <w:tr>
        <w:trPr>
          <w:trHeight w:val="189"/>
        </w:trPr>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of Topic 606</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0"/>
              </w:rPr>
              <w:t>Presentation (1)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0"/>
              </w:rPr>
              <w:t>Revenue (2)</w:t>
            </w: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Reported</w:t>
            </w:r>
          </w:p>
        </w:tc>
      </w:tr>
      <w:tr>
        <w:trPr>
          <w:trHeight w:val="237"/>
        </w:trPr>
        <w:tc>
          <w:tcPr>
            <w:tcW w:w="2900" w:type="dxa"/>
            <w:vAlign w:val="bottom"/>
          </w:tcPr>
          <w:p>
            <w:pPr>
              <w:spacing w:after="0"/>
              <w:rPr>
                <w:sz w:val="20"/>
                <w:szCs w:val="20"/>
                <w:color w:val="auto"/>
              </w:rPr>
            </w:pPr>
            <w:r>
              <w:rPr>
                <w:rFonts w:ascii="Arial" w:cs="Arial" w:eastAsia="Arial" w:hAnsi="Arial"/>
                <w:sz w:val="16"/>
                <w:szCs w:val="16"/>
                <w:color w:val="auto"/>
              </w:rPr>
              <w:t>Service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220,933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(40,895)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73"/>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2,940</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182,978</w:t>
            </w:r>
          </w:p>
        </w:tc>
      </w:tr>
      <w:tr>
        <w:trPr>
          <w:trHeight w:val="270"/>
        </w:trPr>
        <w:tc>
          <w:tcPr>
            <w:tcW w:w="2900" w:type="dxa"/>
            <w:vAlign w:val="bottom"/>
          </w:tcPr>
          <w:p>
            <w:pPr>
              <w:spacing w:after="0"/>
              <w:rPr>
                <w:sz w:val="20"/>
                <w:szCs w:val="20"/>
                <w:color w:val="auto"/>
              </w:rPr>
            </w:pPr>
            <w:r>
              <w:rPr>
                <w:rFonts w:ascii="Arial" w:cs="Arial" w:eastAsia="Arial" w:hAnsi="Arial"/>
                <w:sz w:val="16"/>
                <w:szCs w:val="16"/>
                <w:color w:val="auto"/>
              </w:rPr>
              <w:t>Equipment revenue</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3,463</w:t>
            </w: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29,730</w:t>
            </w:r>
          </w:p>
        </w:tc>
        <w:tc>
          <w:tcPr>
            <w:tcW w:w="700" w:type="dxa"/>
            <w:vAlign w:val="bottom"/>
          </w:tcPr>
          <w:p>
            <w:pPr>
              <w:spacing w:after="0"/>
              <w:rPr>
                <w:sz w:val="23"/>
                <w:szCs w:val="23"/>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33,193</w:t>
            </w:r>
          </w:p>
        </w:tc>
      </w:tr>
      <w:tr>
        <w:trPr>
          <w:trHeight w:val="270"/>
        </w:trPr>
        <w:tc>
          <w:tcPr>
            <w:tcW w:w="2900" w:type="dxa"/>
            <w:vAlign w:val="bottom"/>
          </w:tcPr>
          <w:p>
            <w:pPr>
              <w:spacing w:after="0"/>
              <w:rPr>
                <w:sz w:val="20"/>
                <w:szCs w:val="20"/>
                <w:color w:val="auto"/>
              </w:rPr>
            </w:pPr>
            <w:r>
              <w:rPr>
                <w:rFonts w:ascii="Arial" w:cs="Arial" w:eastAsia="Arial" w:hAnsi="Arial"/>
                <w:sz w:val="16"/>
                <w:szCs w:val="16"/>
                <w:color w:val="auto"/>
              </w:rPr>
              <w:t>Tower and Other revenue</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6,509</w:t>
            </w: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6,509</w:t>
            </w:r>
          </w:p>
        </w:tc>
      </w:tr>
      <w:tr>
        <w:trPr>
          <w:trHeight w:val="27"/>
        </w:trPr>
        <w:tc>
          <w:tcPr>
            <w:tcW w:w="2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r>
              <w:rPr>
                <w:rFonts w:ascii="Arial" w:cs="Arial" w:eastAsia="Arial" w:hAnsi="Arial"/>
                <w:sz w:val="16"/>
                <w:szCs w:val="16"/>
                <w:b w:val="1"/>
                <w:bCs w:val="1"/>
                <w:color w:val="auto"/>
              </w:rPr>
              <w:t>Total operating revenues</w:t>
            </w:r>
          </w:p>
        </w:tc>
        <w:tc>
          <w:tcPr>
            <w:tcW w:w="200" w:type="dxa"/>
            <w:vAlign w:val="bottom"/>
          </w:tcPr>
          <w:p>
            <w:pPr>
              <w:spacing w:after="0"/>
              <w:rPr>
                <w:sz w:val="20"/>
                <w:szCs w:val="20"/>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230,905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(40,895)</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29,730</w:t>
            </w:r>
          </w:p>
        </w:tc>
        <w:tc>
          <w:tcPr>
            <w:tcW w:w="700" w:type="dxa"/>
            <w:vAlign w:val="bottom"/>
          </w:tcPr>
          <w:p>
            <w:pPr>
              <w:spacing w:after="0"/>
              <w:rPr>
                <w:sz w:val="20"/>
                <w:szCs w:val="20"/>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2,940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222,680</w:t>
            </w:r>
          </w:p>
        </w:tc>
      </w:tr>
      <w:tr>
        <w:trPr>
          <w:trHeight w:val="27"/>
        </w:trPr>
        <w:tc>
          <w:tcPr>
            <w:tcW w:w="2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r>
              <w:rPr>
                <w:rFonts w:ascii="Arial" w:cs="Arial" w:eastAsia="Arial" w:hAnsi="Arial"/>
                <w:sz w:val="16"/>
                <w:szCs w:val="16"/>
                <w:color w:val="auto"/>
              </w:rPr>
              <w:t>Cost of services</w:t>
            </w:r>
          </w:p>
        </w:tc>
        <w:tc>
          <w:tcPr>
            <w:tcW w:w="200" w:type="dxa"/>
            <w:vAlign w:val="bottom"/>
          </w:tcPr>
          <w:p>
            <w:pPr>
              <w:spacing w:after="0"/>
              <w:rPr>
                <w:sz w:val="20"/>
                <w:szCs w:val="20"/>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67,238</w:t>
            </w:r>
          </w:p>
        </w:tc>
        <w:tc>
          <w:tcPr>
            <w:tcW w:w="14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67,238</w:t>
            </w:r>
          </w:p>
        </w:tc>
      </w:tr>
      <w:tr>
        <w:trPr>
          <w:trHeight w:val="270"/>
        </w:trPr>
        <w:tc>
          <w:tcPr>
            <w:tcW w:w="2900" w:type="dxa"/>
            <w:vAlign w:val="bottom"/>
          </w:tcPr>
          <w:p>
            <w:pPr>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12,284</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(11,205)</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29,730</w:t>
            </w:r>
          </w:p>
        </w:tc>
        <w:tc>
          <w:tcPr>
            <w:tcW w:w="700" w:type="dxa"/>
            <w:vAlign w:val="bottom"/>
          </w:tcPr>
          <w:p>
            <w:pPr>
              <w:spacing w:after="0"/>
              <w:rPr>
                <w:sz w:val="23"/>
                <w:szCs w:val="23"/>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30,809</w:t>
            </w:r>
          </w:p>
        </w:tc>
      </w:tr>
      <w:tr>
        <w:trPr>
          <w:trHeight w:val="270"/>
        </w:trPr>
        <w:tc>
          <w:tcPr>
            <w:tcW w:w="2900" w:type="dxa"/>
            <w:vAlign w:val="bottom"/>
          </w:tcPr>
          <w:p>
            <w:pPr>
              <w:spacing w:after="0"/>
              <w:rPr>
                <w:sz w:val="20"/>
                <w:szCs w:val="20"/>
                <w:color w:val="auto"/>
              </w:rPr>
            </w:pPr>
            <w:r>
              <w:rPr>
                <w:rFonts w:ascii="Arial" w:cs="Arial" w:eastAsia="Arial" w:hAnsi="Arial"/>
                <w:sz w:val="16"/>
                <w:szCs w:val="16"/>
                <w:color w:val="auto"/>
              </w:rPr>
              <w:t>Selling, general &amp; administrative</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54,192</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(29,690)</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24,502</w:t>
            </w:r>
          </w:p>
        </w:tc>
      </w:tr>
      <w:tr>
        <w:trPr>
          <w:trHeight w:val="270"/>
        </w:trPr>
        <w:tc>
          <w:tcPr>
            <w:tcW w:w="29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3"/>
                <w:szCs w:val="23"/>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65,490</w:t>
            </w:r>
          </w:p>
        </w:tc>
        <w:tc>
          <w:tcPr>
            <w:tcW w:w="1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65,490</w:t>
            </w:r>
          </w:p>
        </w:tc>
      </w:tr>
      <w:tr>
        <w:trPr>
          <w:trHeight w:val="27"/>
        </w:trPr>
        <w:tc>
          <w:tcPr>
            <w:tcW w:w="2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Pr>
          <w:p>
            <w:pPr>
              <w:spacing w:after="0"/>
              <w:rPr>
                <w:sz w:val="20"/>
                <w:szCs w:val="20"/>
                <w:color w:val="auto"/>
              </w:rPr>
            </w:pPr>
          </w:p>
        </w:tc>
        <w:tc>
          <w:tcPr>
            <w:tcW w:w="12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199,204</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(40,895)</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29,730</w:t>
            </w:r>
          </w:p>
        </w:tc>
        <w:tc>
          <w:tcPr>
            <w:tcW w:w="700" w:type="dxa"/>
            <w:vAlign w:val="bottom"/>
          </w:tcPr>
          <w:p>
            <w:pPr>
              <w:spacing w:after="0"/>
              <w:rPr>
                <w:sz w:val="20"/>
                <w:szCs w:val="20"/>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188,039</w:t>
            </w:r>
          </w:p>
        </w:tc>
      </w:tr>
      <w:tr>
        <w:trPr>
          <w:trHeight w:val="27"/>
        </w:trPr>
        <w:tc>
          <w:tcPr>
            <w:tcW w:w="2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29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31,701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2,940</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34,641</w:t>
            </w:r>
          </w:p>
        </w:tc>
      </w:tr>
      <w:tr>
        <w:trPr>
          <w:trHeight w:val="20"/>
        </w:trPr>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w:t>
      </w:r>
    </w:p>
    <w:p>
      <w:pPr>
        <w:ind w:left="660" w:right="60" w:hanging="328"/>
        <w:spacing w:after="0" w:line="245"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and to provide on-going support to their prepaid customers in our territory were historically recorded as expense when incurred. Under Topic 606, these amounts represent consideration payable to our customer, Sprint, and are recorded as a reduction of revenue. In 2017, these amounts were approximately $44.8 million for the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138" w:lineRule="exact"/>
        <w:rPr>
          <w:rFonts w:ascii="Arial" w:cs="Arial" w:eastAsia="Arial" w:hAnsi="Arial"/>
          <w:sz w:val="14"/>
          <w:szCs w:val="14"/>
          <w:color w:val="auto"/>
        </w:rPr>
      </w:pPr>
    </w:p>
    <w:p>
      <w:pPr>
        <w:ind w:left="660" w:hanging="328"/>
        <w:spacing w:after="0" w:line="257"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Costs incurred by the Company for the sale of devices under Sprint’s device financing and lease programs were previously recorded net against revenue. Under Topic 606, the revenue from device sales is recorded gross as equipment revenue and the device costs are recorded gross and reclassified to cost of goods and services. These amounts were approximately $63.8 million in 2017.</w:t>
      </w:r>
    </w:p>
    <w:p>
      <w:pPr>
        <w:spacing w:after="0" w:line="131" w:lineRule="exact"/>
        <w:rPr>
          <w:rFonts w:ascii="Arial" w:cs="Arial" w:eastAsia="Arial" w:hAnsi="Arial"/>
          <w:sz w:val="14"/>
          <w:szCs w:val="14"/>
          <w:color w:val="auto"/>
        </w:rPr>
      </w:pPr>
    </w:p>
    <w:p>
      <w:pPr>
        <w:ind w:left="660" w:right="60" w:hanging="328"/>
        <w:spacing w:after="0" w:line="273"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which historically have been expensed when incurred, are deferred and amortized against revenue over the expected period of benefit of approximately 21</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 24 months. The deferred balance as of June 30, 2018 is approximately $53.9 and is classified on the balance sheet as current and non-current assets, as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Under our amended affiliate agreement, Sprint agreed to waive the Management Fees charged on both postpaid and prepaid revenues, up to approximately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$4.2 million per month, until the total amount waived reaches approximately $255.6 million, which is expected to occur in 2022. The cash flow savings of the waived management fee waiver has been incorporated into the fair value of the affiliate contract expansion intangible, which is reduced, in part, as credits are received from Sprint.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Wireless, including Sprint subscribers, as of the dates shown: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100" w:type="dxa"/>
            <w:vAlign w:val="bottom"/>
            <w:gridSpan w:val="2"/>
          </w:tcPr>
          <w:p>
            <w:pPr>
              <w:ind w:left="400"/>
              <w:spacing w:after="0"/>
              <w:rPr>
                <w:sz w:val="20"/>
                <w:szCs w:val="20"/>
                <w:color w:val="auto"/>
              </w:rPr>
            </w:pPr>
            <w:r>
              <w:rPr>
                <w:rFonts w:ascii="Arial" w:cs="Arial" w:eastAsia="Arial" w:hAnsi="Arial"/>
                <w:sz w:val="16"/>
                <w:szCs w:val="16"/>
                <w:b w:val="1"/>
                <w:bCs w:val="1"/>
                <w:color w:val="auto"/>
              </w:rPr>
              <w:t>June 30, 2018 (3)</w:t>
            </w:r>
          </w:p>
        </w:tc>
        <w:tc>
          <w:tcPr>
            <w:tcW w:w="210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 2017 (4)</w:t>
            </w:r>
          </w:p>
        </w:tc>
        <w:tc>
          <w:tcPr>
            <w:tcW w:w="1980" w:type="dxa"/>
            <w:vAlign w:val="bottom"/>
          </w:tcPr>
          <w:p>
            <w:pPr>
              <w:jc w:val="right"/>
              <w:ind w:right="331"/>
              <w:spacing w:after="0"/>
              <w:rPr>
                <w:sz w:val="20"/>
                <w:szCs w:val="20"/>
                <w:color w:val="auto"/>
              </w:rPr>
            </w:pPr>
            <w:r>
              <w:rPr>
                <w:rFonts w:ascii="Arial" w:cs="Arial" w:eastAsia="Arial" w:hAnsi="Arial"/>
                <w:sz w:val="16"/>
                <w:szCs w:val="16"/>
                <w:b w:val="1"/>
                <w:bCs w:val="1"/>
                <w:color w:val="auto"/>
              </w:rPr>
              <w:t>June 30, 2017 (4)</w:t>
            </w:r>
          </w:p>
        </w:tc>
      </w:tr>
      <w:tr>
        <w:trPr>
          <w:trHeight w:val="33"/>
        </w:trPr>
        <w:tc>
          <w:tcPr>
            <w:tcW w:w="49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Retail PCS Subscribers - Postpaid</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780,658</w:t>
            </w:r>
          </w:p>
        </w:tc>
        <w:tc>
          <w:tcPr>
            <w:tcW w:w="120" w:type="dxa"/>
            <w:vAlign w:val="bottom"/>
          </w:tcPr>
          <w:p>
            <w:pPr>
              <w:spacing w:after="0"/>
              <w:rPr>
                <w:sz w:val="20"/>
                <w:szCs w:val="20"/>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736,597</w:t>
            </w:r>
          </w:p>
        </w:tc>
        <w:tc>
          <w:tcPr>
            <w:tcW w:w="120" w:type="dxa"/>
            <w:vAlign w:val="bottom"/>
          </w:tcPr>
          <w:p>
            <w:pPr>
              <w:spacing w:after="0"/>
              <w:rPr>
                <w:sz w:val="20"/>
                <w:szCs w:val="20"/>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732,664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Retail PCS Subscribers - Prepaid (1)</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252,054</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225,822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222,038</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PCS Market POPS (000) (2)</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7,023</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6,047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PCS Covered POP (000) (2)</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5,908</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5,137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CDMA Base Stations (sites)</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1,541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195</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205</w:t>
            </w:r>
          </w:p>
        </w:tc>
      </w:tr>
      <w:tr>
        <w:trPr>
          <w:trHeight w:val="142"/>
        </w:trPr>
        <w:tc>
          <w:tcPr>
            <w:tcW w:w="492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r>
    </w:tbl>
    <w:p>
      <w:pPr>
        <w:ind w:left="660" w:hanging="328"/>
        <w:spacing w:after="0"/>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of September 2017, the Company is no longer including Lifeline subscribers to be consistent with Sprint's policy. Historical customer counts have been adjusted accordingly.</w:t>
      </w:r>
    </w:p>
    <w:p>
      <w:pPr>
        <w:spacing w:after="0" w:line="12" w:lineRule="exact"/>
        <w:rPr>
          <w:rFonts w:ascii="Arial" w:cs="Arial" w:eastAsia="Arial" w:hAnsi="Arial"/>
          <w:sz w:val="13"/>
          <w:szCs w:val="13"/>
          <w:color w:val="auto"/>
        </w:rPr>
      </w:pPr>
    </w:p>
    <w:p>
      <w:pPr>
        <w:ind w:left="660" w:right="4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agreements, and Covered POPS are those covered by our network. As of December 31, 2017, the data source for POPS is U.S. census data. Historical periods previously referred to other third party population data and have been recast to refer to U.S. census data.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Beginning February 1, 2018 includes Richmond Expansion Area.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Beginning April 6, 2017 includes Parkersburg Expansion Area.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3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160" w:type="dxa"/>
            <w:vAlign w:val="bottom"/>
          </w:tcPr>
          <w:p>
            <w:pPr>
              <w:spacing w:after="0"/>
              <w:rPr>
                <w:sz w:val="20"/>
                <w:szCs w:val="20"/>
                <w:color w:val="auto"/>
              </w:rPr>
            </w:pPr>
          </w:p>
        </w:tc>
        <w:tc>
          <w:tcPr>
            <w:tcW w:w="20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4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Gross PCS Subscriber Additions - Postpaid</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44,629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40,408</w:t>
            </w:r>
          </w:p>
        </w:tc>
        <w:tc>
          <w:tcPr>
            <w:tcW w:w="12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126,049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79,109</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Net PCS Subscriber Additions (Losses) - Postpaid</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44,061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10,102</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Gross PCS Subscriber Additions - Prepaid (1)</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33,840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35,103</w:t>
            </w:r>
          </w:p>
        </w:tc>
        <w:tc>
          <w:tcPr>
            <w:tcW w:w="12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89,642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79,065</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Net PCS Subscriber Additions (Losses) - Prepaid (1)</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26,232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15,366</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PCS Average Monthly Retail Churn % - Postpaid</w:t>
            </w:r>
          </w:p>
        </w:tc>
        <w:tc>
          <w:tcPr>
            <w:tcW w:w="15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PCS Average Monthly Retail Churn % - Prepaid (1)</w:t>
            </w:r>
          </w:p>
        </w:tc>
        <w:tc>
          <w:tcPr>
            <w:tcW w:w="15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142"/>
        </w:trPr>
        <w:tc>
          <w:tcPr>
            <w:tcW w:w="41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ind w:left="660" w:right="560" w:hanging="328"/>
        <w:spacing w:after="0" w:line="25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September 2017, the Company is no longer including Lifeline subscribers to be consistent with Sprint's policy. Historical customer counts and churn % have been adjusted accordingly.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subscriber statistics shown above, excluding gross additions, include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February 1, 2018</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April 6, 2017</w:t>
            </w:r>
          </w:p>
        </w:tc>
        <w:tc>
          <w:tcPr>
            <w:tcW w:w="196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6, 2016</w:t>
            </w:r>
          </w:p>
        </w:tc>
      </w:tr>
      <w:tr>
        <w:trPr>
          <w:trHeight w:val="27"/>
        </w:trPr>
        <w:tc>
          <w:tcPr>
            <w:tcW w:w="43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8"/>
        </w:trPr>
        <w:tc>
          <w:tcPr>
            <w:tcW w:w="430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Richmond Expansion</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Parkersburg Expansion</w:t>
            </w:r>
          </w:p>
        </w:tc>
        <w:tc>
          <w:tcPr>
            <w:tcW w:w="1960" w:type="dxa"/>
            <w:vAlign w:val="bottom"/>
          </w:tcPr>
          <w:p>
            <w:pPr>
              <w:spacing w:after="0"/>
              <w:rPr>
                <w:sz w:val="18"/>
                <w:szCs w:val="18"/>
                <w:color w:val="auto"/>
              </w:rPr>
            </w:pPr>
          </w:p>
        </w:tc>
      </w:tr>
      <w:tr>
        <w:trPr>
          <w:trHeight w:val="234"/>
        </w:trPr>
        <w:tc>
          <w:tcPr>
            <w:tcW w:w="4300" w:type="dxa"/>
            <w:vAlign w:val="bottom"/>
          </w:tcPr>
          <w:p>
            <w:pPr>
              <w:spacing w:after="0"/>
              <w:rPr>
                <w:sz w:val="20"/>
                <w:szCs w:val="20"/>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Area</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Area</w:t>
            </w:r>
          </w:p>
        </w:tc>
        <w:tc>
          <w:tcPr>
            <w:tcW w:w="1960" w:type="dxa"/>
            <w:vAlign w:val="bottom"/>
          </w:tcPr>
          <w:p>
            <w:pPr>
              <w:jc w:val="right"/>
              <w:ind w:right="430"/>
              <w:spacing w:after="0"/>
              <w:rPr>
                <w:sz w:val="20"/>
                <w:szCs w:val="20"/>
                <w:color w:val="auto"/>
              </w:rPr>
            </w:pPr>
            <w:r>
              <w:rPr>
                <w:rFonts w:ascii="Arial" w:cs="Arial" w:eastAsia="Arial" w:hAnsi="Arial"/>
                <w:sz w:val="18"/>
                <w:szCs w:val="18"/>
                <w:b w:val="1"/>
                <w:bCs w:val="1"/>
                <w:color w:val="auto"/>
              </w:rPr>
              <w:t>nTelos Area</w:t>
            </w:r>
          </w:p>
        </w:tc>
      </w:tr>
      <w:tr>
        <w:trPr>
          <w:trHeight w:val="27"/>
        </w:trPr>
        <w:tc>
          <w:tcPr>
            <w:tcW w:w="43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PCS Subscribers - Postpaid</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38,343</w:t>
            </w:r>
          </w:p>
        </w:tc>
        <w:tc>
          <w:tcPr>
            <w:tcW w:w="1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19,067</w:t>
            </w:r>
          </w:p>
        </w:tc>
        <w:tc>
          <w:tcPr>
            <w:tcW w:w="12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404,965</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PCS Subscribers - Prepaid (1)</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15,691</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154,944</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Acquired PCS Market POPS (000)</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3,099</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Acquired PCS Covered POPS (000)</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2,298</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Acquired CDMA Base Stations (sites) (2)</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Towers</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142"/>
        </w:trPr>
        <w:tc>
          <w:tcPr>
            <w:tcW w:w="430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r>
    </w:tbl>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Lifeline subscribers.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June 30, 2018 we have shut down 107 overlap sites associated with the nTelos Area.</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Index</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with the Three Months Ended June 30,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7"/>
                <w:szCs w:val="17"/>
                <w:color w:val="auto"/>
              </w:rPr>
            </w:pPr>
          </w:p>
        </w:tc>
      </w:t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gridSpan w:val="3"/>
          </w:tcPr>
          <w:p>
            <w:pPr>
              <w:ind w:left="820"/>
              <w:spacing w:after="0"/>
              <w:rPr>
                <w:sz w:val="20"/>
                <w:szCs w:val="20"/>
                <w:color w:val="auto"/>
              </w:rPr>
            </w:pPr>
            <w:r>
              <w:rPr>
                <w:rFonts w:ascii="Arial" w:cs="Arial" w:eastAsia="Arial" w:hAnsi="Arial"/>
                <w:sz w:val="16"/>
                <w:szCs w:val="16"/>
                <w:b w:val="1"/>
                <w:bCs w:val="1"/>
                <w:color w:val="auto"/>
                <w:w w:val="96"/>
              </w:rPr>
              <w:t>June 30,</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2"/>
                <w:szCs w:val="22"/>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 of Revenue</w:t>
            </w: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 of Revenue</w:t>
            </w: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Wireless operating revenues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91"/>
        </w:trPr>
        <w:tc>
          <w:tcPr>
            <w:tcW w:w="4880" w:type="dxa"/>
            <w:vAlign w:val="bottom"/>
          </w:tcPr>
          <w:p>
            <w:pPr>
              <w:ind w:left="120"/>
              <w:spacing w:after="0"/>
              <w:rPr>
                <w:sz w:val="20"/>
                <w:szCs w:val="20"/>
                <w:color w:val="auto"/>
              </w:rPr>
            </w:pPr>
            <w:r>
              <w:rPr>
                <w:rFonts w:ascii="Arial" w:cs="Arial" w:eastAsia="Arial" w:hAnsi="Arial"/>
                <w:sz w:val="16"/>
                <w:szCs w:val="16"/>
                <w:color w:val="auto"/>
              </w:rPr>
              <w:t>Wireless service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93,219</w:t>
            </w:r>
          </w:p>
        </w:tc>
        <w:tc>
          <w:tcPr>
            <w:tcW w:w="1060" w:type="dxa"/>
            <w:vAlign w:val="bottom"/>
          </w:tcPr>
          <w:p>
            <w:pPr>
              <w:jc w:val="right"/>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107,681</w:t>
            </w:r>
          </w:p>
        </w:tc>
        <w:tc>
          <w:tcPr>
            <w:tcW w:w="1040" w:type="dxa"/>
            <w:vAlign w:val="bottom"/>
          </w:tcPr>
          <w:p>
            <w:pPr>
              <w:jc w:val="right"/>
              <w:spacing w:after="0"/>
              <w:rPr>
                <w:sz w:val="20"/>
                <w:szCs w:val="20"/>
                <w:color w:val="auto"/>
              </w:rPr>
            </w:pPr>
            <w:r>
              <w:rPr>
                <w:rFonts w:ascii="Arial" w:cs="Arial" w:eastAsia="Arial" w:hAnsi="Arial"/>
                <w:sz w:val="14"/>
                <w:szCs w:val="14"/>
                <w:color w:val="auto"/>
              </w:rPr>
              <w:t>94.3</w:t>
            </w:r>
          </w:p>
        </w:tc>
      </w:tr>
      <w:tr>
        <w:trPr>
          <w:trHeight w:val="270"/>
        </w:trPr>
        <w:tc>
          <w:tcPr>
            <w:tcW w:w="4880" w:type="dxa"/>
            <w:vAlign w:val="bottom"/>
          </w:tcPr>
          <w:p>
            <w:pPr>
              <w:ind w:left="120"/>
              <w:spacing w:after="0"/>
              <w:rPr>
                <w:sz w:val="20"/>
                <w:szCs w:val="20"/>
                <w:color w:val="auto"/>
              </w:rPr>
            </w:pPr>
            <w:r>
              <w:rPr>
                <w:rFonts w:ascii="Arial" w:cs="Arial" w:eastAsia="Arial" w:hAnsi="Arial"/>
                <w:sz w:val="16"/>
                <w:szCs w:val="16"/>
                <w:color w:val="auto"/>
              </w:rPr>
              <w:t>Tower lease revenue</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2,878</w:t>
            </w: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2,861</w:t>
            </w: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0"/>
        </w:trPr>
        <w:tc>
          <w:tcPr>
            <w:tcW w:w="4880" w:type="dxa"/>
            <w:vAlign w:val="bottom"/>
          </w:tcPr>
          <w:p>
            <w:pPr>
              <w:ind w:left="12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15,819</w:t>
            </w:r>
          </w:p>
        </w:tc>
        <w:tc>
          <w:tcPr>
            <w:tcW w:w="106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2,779</w:t>
            </w: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4880" w:type="dxa"/>
            <w:vAlign w:val="bottom"/>
          </w:tcPr>
          <w:p>
            <w:pPr>
              <w:ind w:left="12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Segment operating revenues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112,282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114,133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58"/>
        </w:trPr>
        <w:tc>
          <w:tcPr>
            <w:tcW w:w="4880" w:type="dxa"/>
            <w:vAlign w:val="bottom"/>
          </w:tcPr>
          <w:p>
            <w:pPr>
              <w:spacing w:after="0"/>
              <w:rPr>
                <w:sz w:val="20"/>
                <w:szCs w:val="20"/>
                <w:color w:val="auto"/>
              </w:rPr>
            </w:pPr>
            <w:r>
              <w:rPr>
                <w:rFonts w:ascii="Arial" w:cs="Arial" w:eastAsia="Arial" w:hAnsi="Arial"/>
                <w:sz w:val="16"/>
                <w:szCs w:val="16"/>
                <w:color w:val="auto"/>
              </w:rPr>
              <w:t>Wireless operating expenses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4880" w:type="dxa"/>
            <w:vAlign w:val="bottom"/>
          </w:tcPr>
          <w:p>
            <w:pPr>
              <w:ind w:left="12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33,488</w:t>
            </w:r>
          </w:p>
        </w:tc>
        <w:tc>
          <w:tcPr>
            <w:tcW w:w="106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33,497</w:t>
            </w:r>
          </w:p>
        </w:tc>
        <w:tc>
          <w:tcPr>
            <w:tcW w:w="104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15,082</w:t>
            </w: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4,972</w:t>
            </w:r>
          </w:p>
        </w:tc>
        <w:tc>
          <w:tcPr>
            <w:tcW w:w="10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70"/>
        </w:trPr>
        <w:tc>
          <w:tcPr>
            <w:tcW w:w="4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12,367</w:t>
            </w:r>
          </w:p>
        </w:tc>
        <w:tc>
          <w:tcPr>
            <w:tcW w:w="106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29,637</w:t>
            </w:r>
          </w:p>
        </w:tc>
        <w:tc>
          <w:tcPr>
            <w:tcW w:w="104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70"/>
        </w:trPr>
        <w:tc>
          <w:tcPr>
            <w:tcW w:w="4880" w:type="dxa"/>
            <w:vAlign w:val="bottom"/>
          </w:tcPr>
          <w:p>
            <w:pPr>
              <w:ind w:left="100"/>
              <w:spacing w:after="0"/>
              <w:rPr>
                <w:sz w:val="20"/>
                <w:szCs w:val="20"/>
                <w:color w:val="auto"/>
              </w:rPr>
            </w:pPr>
            <w:r>
              <w:rPr>
                <w:rFonts w:ascii="Arial" w:cs="Arial" w:eastAsia="Arial" w:hAnsi="Arial"/>
                <w:sz w:val="16"/>
                <w:szCs w:val="16"/>
                <w:color w:val="auto"/>
              </w:rPr>
              <w:t>Acquisition, integration and migration expenses</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4,124</w:t>
            </w: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31,565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35,551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expenses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92,502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107,781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Wireless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19,780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6,352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1355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7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2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r>
      <w:tr>
        <w:trPr>
          <w:trHeight w:val="33"/>
        </w:trPr>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22"/>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(14,462)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70"/>
        </w:trPr>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1020" w:type="dxa"/>
            <w:vAlign w:val="bottom"/>
          </w:tcPr>
          <w:p>
            <w:pPr>
              <w:jc w:val="right"/>
              <w:ind w:right="27"/>
              <w:spacing w:after="0"/>
              <w:rPr>
                <w:sz w:val="20"/>
                <w:szCs w:val="20"/>
                <w:color w:val="auto"/>
              </w:rPr>
            </w:pPr>
            <w:r>
              <w:rPr>
                <w:rFonts w:ascii="Arial" w:cs="Arial" w:eastAsia="Arial" w:hAnsi="Arial"/>
                <w:sz w:val="14"/>
                <w:szCs w:val="14"/>
                <w:color w:val="auto"/>
              </w:rPr>
              <w:t>0.6</w:t>
            </w:r>
          </w:p>
        </w:tc>
      </w:tr>
      <w:tr>
        <w:trPr>
          <w:trHeight w:val="270"/>
        </w:trPr>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13,040</w:t>
            </w:r>
          </w:p>
        </w:tc>
        <w:tc>
          <w:tcPr>
            <w:tcW w:w="100" w:type="dxa"/>
            <w:vAlign w:val="bottom"/>
          </w:tcPr>
          <w:p>
            <w:pPr>
              <w:spacing w:after="0"/>
              <w:rPr>
                <w:sz w:val="23"/>
                <w:szCs w:val="23"/>
                <w:color w:val="auto"/>
              </w:rPr>
            </w:pPr>
          </w:p>
        </w:tc>
        <w:tc>
          <w:tcPr>
            <w:tcW w:w="1020" w:type="dxa"/>
            <w:vAlign w:val="bottom"/>
          </w:tcPr>
          <w:p>
            <w:pPr>
              <w:jc w:val="right"/>
              <w:ind w:right="27"/>
              <w:spacing w:after="0"/>
              <w:rPr>
                <w:sz w:val="20"/>
                <w:szCs w:val="20"/>
                <w:color w:val="auto"/>
              </w:rPr>
            </w:pPr>
            <w:r>
              <w:rPr>
                <w:rFonts w:ascii="Arial" w:cs="Arial" w:eastAsia="Arial" w:hAnsi="Arial"/>
                <w:sz w:val="14"/>
                <w:szCs w:val="14"/>
                <w:color w:val="auto"/>
              </w:rPr>
              <w:t>469.2</w:t>
            </w:r>
          </w:p>
        </w:tc>
      </w:tr>
      <w:tr>
        <w:trPr>
          <w:trHeight w:val="276"/>
        </w:trPr>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r>
      <w:tr>
        <w:trPr>
          <w:trHeight w:val="250"/>
        </w:trPr>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bl>
    <w:p>
      <w:pPr>
        <w:spacing w:after="0" w:line="154" w:lineRule="exact"/>
        <w:rPr>
          <w:sz w:val="20"/>
          <w:szCs w:val="20"/>
          <w:color w:val="auto"/>
        </w:rPr>
      </w:pPr>
    </w:p>
    <w:p>
      <w:pPr>
        <w:ind w:left="1880" w:hanging="1104"/>
        <w:spacing w:after="0"/>
        <w:tabs>
          <w:tab w:leader="none" w:pos="1880" w:val="left"/>
        </w:tabs>
        <w:numPr>
          <w:ilvl w:val="0"/>
          <w:numId w:val="9"/>
        </w:numPr>
        <w:rPr>
          <w:rFonts w:ascii="Arial" w:cs="Arial" w:eastAsia="Arial" w:hAnsi="Arial"/>
          <w:sz w:val="16"/>
          <w:szCs w:val="16"/>
          <w:color w:val="auto"/>
        </w:rPr>
      </w:pPr>
      <w:r>
        <w:rPr>
          <w:rFonts w:ascii="Arial" w:cs="Arial" w:eastAsia="Arial" w:hAnsi="Arial"/>
          <w:sz w:val="29"/>
          <w:szCs w:val="29"/>
          <w:color w:val="auto"/>
          <w:vertAlign w:val="subscript"/>
        </w:rPr>
        <w:t>—</w:t>
      </w:r>
    </w:p>
    <w:p>
      <w:pPr>
        <w:spacing w:after="0" w:line="41"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10,110</w:t>
      </w:r>
      <w:r>
        <w:rPr>
          <w:rFonts w:ascii="Arial" w:cs="Arial" w:eastAsia="Arial" w:hAnsi="Arial"/>
          <w:sz w:val="20"/>
          <w:szCs w:val="20"/>
          <w:color w:val="auto"/>
          <w:vertAlign w:val="subscript"/>
        </w:rPr>
        <w:t>203.3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(17,270)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(58.3)</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(4,124)</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76"/>
        </w:trPr>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250"/>
        </w:trPr>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(15,279)</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r>
      <w:tr>
        <w:trPr>
          <w:trHeight w:val="290"/>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13,428</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211.4</w:t>
            </w:r>
          </w:p>
        </w:tc>
      </w:tr>
    </w:tbl>
    <w:p>
      <w:pPr>
        <w:spacing w:after="0" w:line="198" w:lineRule="exact"/>
        <w:rPr>
          <w:sz w:val="20"/>
          <w:szCs w:val="20"/>
          <w:color w:val="auto"/>
        </w:rPr>
      </w:pPr>
    </w:p>
    <w:p>
      <w:pPr>
        <w:sectPr>
          <w:pgSz w:w="11900" w:h="16838" w:orient="portrait"/>
          <w:cols w:equalWidth="0" w:num="2">
            <w:col w:w="9180" w:space="100"/>
            <w:col w:w="214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Operating Revenue</w:t>
      </w:r>
    </w:p>
    <w:p>
      <w:pPr>
        <w:spacing w:after="0" w:line="2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During the three months ended June 30, 2018, wireless operating revenues decreased approximately $1.9 million or 1.6%, compared with the three months ended June 30, 2017, due primarily to the adoption of Topic 606. Excluding the impacts of Topic 606, wireless operating revenues increased approximately $2.2 million. This increase was driven by growth in postpaid and prepaid PCS subscribers, improvements in PCS average monthly churn for postpaid and prepaid, and was partially offset by a decline in average revenue per subscriber primarily related to promotions and discounts.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the adoption of Topic 606 and in the three months ended June 30, 2018, wireless service revenues were reduced by approximately $20.9 million of expenses payable to our customer, Sprint, for the reimbursement of costs incurred for national sales channel commissions and device costs, and to provide ongoing support to Sprint's prepaid customers in our territory. Commissions, device costs and costs for ongoing support of Sprint's prepaid customers were previously recorded as expenses within selling, general and administrative. Additionally, we recorded approximately $14.2 million of equipment revenue and cost of goods sold for the sale of devices under Sprint’s device financing and lease programs. Equipment costs were historically netted and presented within equipment revenue.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2"/>
          </w:tcPr>
          <w:p>
            <w:pPr>
              <w:spacing w:after="0"/>
              <w:rPr>
                <w:sz w:val="20"/>
                <w:szCs w:val="20"/>
                <w:color w:val="auto"/>
              </w:rPr>
            </w:pPr>
            <w:r>
              <w:rPr>
                <w:rFonts w:ascii="Arial" w:cs="Arial" w:eastAsia="Arial" w:hAnsi="Arial"/>
                <w:sz w:val="18"/>
                <w:szCs w:val="18"/>
                <w:color w:val="auto"/>
              </w:rPr>
              <w:t>The table below provides additional detail for Wireless service revenues.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6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Wireless Service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Postpaid billings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96,127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93,722</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Amortization of deferred contract &amp; other costs (3)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Net service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72,935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78,318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58"/>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Prepaid billings (2)</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27,915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25,252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Amortization of deferred contract &amp; other costs (3)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Sprint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58"/>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23,689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76"/>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Travel and other revenues (2)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6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 Service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93,219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107,681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(14,462)</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160" w:hanging="328"/>
        <w:spacing w:after="0" w:line="241"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ind w:left="660" w:right="380" w:hanging="328"/>
        <w:spacing w:after="0" w:line="241"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includes Lifeline subscribers revenue within travel and other revenues to be consistent with Sprint. The above table reflects the reclassification of the related Assurance Wireless prepaid revenue from prepaid gross billings to travel and other revenues.</w:t>
      </w:r>
    </w:p>
    <w:p>
      <w:pPr>
        <w:ind w:left="660" w:right="40" w:hanging="328"/>
        <w:spacing w:after="0" w:line="248"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Due to the adoption of Topic 606, costs reimbursed to Sprint for commission and acquisition cost incurred in their national sales channel are recorded as reduction of revenue and amortized over the period of benefit. Additionally, costs reimbursed to Sprint for the support of their prepaid customer base are recorded as a reduction of revenue. These costs were previously recorded in cost of goods sold, and selling, general and administrative.</w:t>
      </w:r>
    </w:p>
    <w:p>
      <w:pPr>
        <w:spacing w:after="0" w:line="14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decline in postpaid service revenue during the three months ended June 30, 2018, was primarily the result of the adoption of Topic 606. Excluding the impact of adopting Topic 606, postpaid service revenues would have remained consistent with the prior year period. Growth related to the addition of approximately 48 thousand postpaid PCS retail subscribers, and improvements in postpaid PCS average monthly retail churn, was partially offset by a decline in average revenue per subscriber. The growth in our postpaid PCS retail subscribers includes approximately 38 thousand acquired with the Richmond Expansion Area. Postpaid service revenue was further reduced by approximately $0.5 million due to an increase in net service fee as nTelos subscribers were migrated to Sprint’s billing and back-office systems. The migration of these subscribers resulted in the elimination of costs to run the nTelos back office system which were recorded in selling, general and administrative.</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decline in prepaid service revenues during the three months ended June 30, 2018, was primarily the result of the adoption of Topic 606. Excluding the impact of adopting Topic 606, prepaid service revenues would have increased approximately $2.5 million due to growth of approximately 30 thousand prepaid PCS retail subscribers, improvements in prepaid PCS average monthly retail churn, and was partially offset by a decrease in average revenue per subscriber. The growth in our prepaid PCS retail subscribers includes approximately 16 thousand subscribers acquired with the Richmond Expansion Area.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cost of services remained consistent with the three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During the three months ended June 30, 2018, cost of goods sold increased approximately $10.1 million, or 203.3%, compared with the three months ended June 30, 2017. The increase in costs of goods sold was primarily the result of the reclassification of approximately $14.2 million of expenses for equipment costs and was partially offset by $5.4 million of costs incurred for national sales channel commissions, which were previously classified as reductions of revenue, driven by the adoption of Topic 606. Excluding the impact of the adoption of Topic 606, the increase would have been approximately $1.3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the three months ended June 30, 2018, selling, general and administrative costs decreased approximately $17.3 million, or 58.3%, compared with the three months ended June 30, 2017. The decrease in selling, general and administrative costs was primarily attributable to the reclassification of approximately $15.5 million of commissions and subscriber acquisition costs to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reductions of revenue as required by the adoption of Topic 606. Excluding the impact of Topic 606, the decrease would have been approximately $1.8 million and was primarily due to a reduction of back office expenses required to support former nTelos subscribers that migrated to the Sprint back office during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integration and migration expenses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Acquisition and integration costs were not incurred during the three months ended June 30, 2018, as the completion of integration and migration activities related to the acquisition of nTelos was completed during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jc w:val="both"/>
        <w:ind w:right="500"/>
        <w:spacing w:after="0" w:line="255" w:lineRule="auto"/>
        <w:rPr>
          <w:sz w:val="20"/>
          <w:szCs w:val="20"/>
          <w:color w:val="auto"/>
        </w:rPr>
      </w:pPr>
      <w:r>
        <w:rPr>
          <w:rFonts w:ascii="Arial" w:cs="Arial" w:eastAsia="Arial" w:hAnsi="Arial"/>
          <w:sz w:val="18"/>
          <w:szCs w:val="18"/>
          <w:color w:val="auto"/>
        </w:rPr>
        <w:t>During the three months ended June 30, 2018, depreciation and amortization decreased approximately $4.0 million, or 11.2%, compared with the three months ended June 30, 2017. The decrease in depreciation and amortization was primarily attributable to the retirement of assets acquired in the nTelos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with the Six Months Ended June 30,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60" w:type="dxa"/>
            <w:vAlign w:val="bottom"/>
          </w:tcPr>
          <w:p>
            <w:pPr>
              <w:spacing w:after="0"/>
              <w:rPr>
                <w:sz w:val="20"/>
                <w:szCs w:val="20"/>
                <w:color w:val="auto"/>
              </w:rPr>
            </w:pPr>
          </w:p>
        </w:tc>
        <w:tc>
          <w:tcPr>
            <w:tcW w:w="7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Wireless operating revenues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240"/>
              <w:spacing w:after="0"/>
              <w:rPr>
                <w:sz w:val="20"/>
                <w:szCs w:val="20"/>
                <w:color w:val="auto"/>
              </w:rPr>
            </w:pPr>
            <w:r>
              <w:rPr>
                <w:rFonts w:ascii="Arial" w:cs="Arial" w:eastAsia="Arial" w:hAnsi="Arial"/>
                <w:sz w:val="16"/>
                <w:szCs w:val="16"/>
                <w:color w:val="auto"/>
              </w:rPr>
              <w:t>Wireless service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182,978</w:t>
            </w:r>
          </w:p>
        </w:tc>
        <w:tc>
          <w:tcPr>
            <w:tcW w:w="1080" w:type="dxa"/>
            <w:vAlign w:val="bottom"/>
          </w:tcPr>
          <w:p>
            <w:pPr>
              <w:jc w:val="right"/>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215,867</w:t>
            </w:r>
          </w:p>
        </w:tc>
        <w:tc>
          <w:tcPr>
            <w:tcW w:w="1060" w:type="dxa"/>
            <w:vAlign w:val="bottom"/>
          </w:tcPr>
          <w:p>
            <w:pPr>
              <w:jc w:val="right"/>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(32,889)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Arial" w:cs="Arial" w:eastAsia="Arial" w:hAnsi="Arial"/>
                <w:sz w:val="16"/>
                <w:szCs w:val="16"/>
                <w:color w:val="auto"/>
              </w:rPr>
              <w:t>Tower lease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5,774</w:t>
            </w: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5,743</w:t>
            </w: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0"/>
        </w:trPr>
        <w:tc>
          <w:tcPr>
            <w:tcW w:w="4880" w:type="dxa"/>
            <w:vAlign w:val="bottom"/>
          </w:tcPr>
          <w:p>
            <w:pPr>
              <w:ind w:left="26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33,193</w:t>
            </w:r>
          </w:p>
        </w:tc>
        <w:tc>
          <w:tcPr>
            <w:tcW w:w="108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5,924</w:t>
            </w: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27,269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460.3</w:t>
            </w:r>
          </w:p>
        </w:tc>
        <w:tc>
          <w:tcPr>
            <w:tcW w:w="0" w:type="dxa"/>
            <w:vAlign w:val="bottom"/>
          </w:tcPr>
          <w:p>
            <w:pPr>
              <w:spacing w:after="0"/>
              <w:rPr>
                <w:sz w:val="1"/>
                <w:szCs w:val="1"/>
                <w:color w:val="auto"/>
              </w:rPr>
            </w:pPr>
          </w:p>
        </w:tc>
      </w:tr>
      <w:tr>
        <w:trPr>
          <w:trHeight w:val="276"/>
        </w:trPr>
        <w:tc>
          <w:tcPr>
            <w:tcW w:w="4880" w:type="dxa"/>
            <w:vAlign w:val="bottom"/>
          </w:tcPr>
          <w:p>
            <w:pPr>
              <w:ind w:left="26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50"/>
        </w:trPr>
        <w:tc>
          <w:tcPr>
            <w:tcW w:w="4880" w:type="dxa"/>
            <w:vAlign w:val="bottom"/>
          </w:tcPr>
          <w:p>
            <w:pPr>
              <w:ind w:left="280"/>
              <w:spacing w:after="0"/>
              <w:rPr>
                <w:sz w:val="20"/>
                <w:szCs w:val="20"/>
                <w:color w:val="auto"/>
              </w:rPr>
            </w:pPr>
            <w:r>
              <w:rPr>
                <w:rFonts w:ascii="Arial" w:cs="Arial" w:eastAsia="Arial" w:hAnsi="Arial"/>
                <w:sz w:val="16"/>
                <w:szCs w:val="16"/>
                <w:color w:val="auto"/>
              </w:rPr>
              <w:t>Total segment operating revenues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222,680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229,596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37"/>
        </w:trPr>
        <w:tc>
          <w:tcPr>
            <w:tcW w:w="4880" w:type="dxa"/>
            <w:vAlign w:val="bottom"/>
          </w:tcPr>
          <w:p>
            <w:pPr>
              <w:ind w:left="140"/>
              <w:spacing w:after="0"/>
              <w:rPr>
                <w:sz w:val="20"/>
                <w:szCs w:val="20"/>
                <w:color w:val="auto"/>
              </w:rPr>
            </w:pPr>
            <w:r>
              <w:rPr>
                <w:rFonts w:ascii="Arial" w:cs="Arial" w:eastAsia="Arial" w:hAnsi="Arial"/>
                <w:sz w:val="16"/>
                <w:szCs w:val="16"/>
                <w:color w:val="auto"/>
              </w:rPr>
              <w:t>Wireless 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26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67,238</w:t>
            </w:r>
          </w:p>
        </w:tc>
        <w:tc>
          <w:tcPr>
            <w:tcW w:w="108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66,920</w:t>
            </w:r>
          </w:p>
        </w:tc>
        <w:tc>
          <w:tcPr>
            <w:tcW w:w="106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30,809</w:t>
            </w:r>
          </w:p>
        </w:tc>
        <w:tc>
          <w:tcPr>
            <w:tcW w:w="108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9,868</w:t>
            </w:r>
          </w:p>
        </w:tc>
        <w:tc>
          <w:tcPr>
            <w:tcW w:w="10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20,941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270"/>
        </w:trPr>
        <w:tc>
          <w:tcPr>
            <w:tcW w:w="48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24,502</w:t>
            </w:r>
          </w:p>
        </w:tc>
        <w:tc>
          <w:tcPr>
            <w:tcW w:w="108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58,101</w:t>
            </w:r>
          </w:p>
        </w:tc>
        <w:tc>
          <w:tcPr>
            <w:tcW w:w="106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(33,599)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Arial" w:cs="Arial" w:eastAsia="Arial" w:hAnsi="Arial"/>
                <w:sz w:val="16"/>
                <w:szCs w:val="16"/>
                <w:color w:val="auto"/>
              </w:rPr>
              <w:t>Acquisition, integration and migration expenses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7,916</w:t>
            </w: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48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71,303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50"/>
        </w:trPr>
        <w:tc>
          <w:tcPr>
            <w:tcW w:w="4880" w:type="dxa"/>
            <w:vAlign w:val="bottom"/>
          </w:tcPr>
          <w:p>
            <w:pPr>
              <w:ind w:left="380"/>
              <w:spacing w:after="0"/>
              <w:rPr>
                <w:sz w:val="20"/>
                <w:szCs w:val="20"/>
                <w:color w:val="auto"/>
              </w:rPr>
            </w:pPr>
            <w:r>
              <w:rPr>
                <w:rFonts w:ascii="Arial" w:cs="Arial" w:eastAsia="Arial" w:hAnsi="Arial"/>
                <w:sz w:val="16"/>
                <w:szCs w:val="16"/>
                <w:color w:val="auto"/>
              </w:rPr>
              <w:t>Total Wireless operating expenses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188,039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214,108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90"/>
        </w:trPr>
        <w:tc>
          <w:tcPr>
            <w:tcW w:w="4880" w:type="dxa"/>
            <w:vAlign w:val="bottom"/>
          </w:tcPr>
          <w:p>
            <w:pPr>
              <w:ind w:left="140"/>
              <w:spacing w:after="0"/>
              <w:rPr>
                <w:sz w:val="20"/>
                <w:szCs w:val="20"/>
                <w:color w:val="auto"/>
              </w:rPr>
            </w:pPr>
            <w:r>
              <w:rPr>
                <w:rFonts w:ascii="Arial" w:cs="Arial" w:eastAsia="Arial" w:hAnsi="Arial"/>
                <w:sz w:val="16"/>
                <w:szCs w:val="16"/>
                <w:color w:val="auto"/>
              </w:rPr>
              <w:t>Wireless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19,153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six months ended June 30, 2018, wireless operating revenues decreased approximately $6.9 million or 3.0%, compared with the six months ended June 30, 2017, due primarily to the adoption of Topic 606. Excluding the impacts of Topic 606, wireless operating revenues increased approximately $1.3 million. This increase was driven by growth in postpaid and prepaid PCS subscribers, improvements in average monthly churn for postpaid and prepaid, and was partially offset by a decline in average revenue per subscriber primarily related to promotional discounts.</w:t>
      </w:r>
    </w:p>
    <w:p>
      <w:pPr>
        <w:spacing w:after="0" w:line="17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a result of the adoption of Topic 606 in the six months ended June 30, 2018, wireless service revenues were reduced by approximately $40.9 million of expenses payable to Sprint, our customer, related to the reimbursement to Sprint for costs incurred in their national sales channel for commissions and device costs, and to provide ongoing support to their prepaid customers in our territory. Commissions were previously recorded as expenses within selling, general and administrative. Additionally, we recorded $29.7 million of equipment revenue and cost of goods sold for the sale of devices under Sprint’s device financing and lease programs. Equipment costs were historically netted and presented within equipment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2"/>
          </w:tcPr>
          <w:p>
            <w:pPr>
              <w:spacing w:after="0"/>
              <w:rPr>
                <w:sz w:val="20"/>
                <w:szCs w:val="20"/>
                <w:color w:val="auto"/>
              </w:rPr>
            </w:pPr>
            <w:r>
              <w:rPr>
                <w:rFonts w:ascii="Arial" w:cs="Arial" w:eastAsia="Arial" w:hAnsi="Arial"/>
                <w:sz w:val="18"/>
                <w:szCs w:val="18"/>
                <w:color w:val="auto"/>
              </w:rPr>
              <w:t>The table below provides additional detail for Wireless service revenues.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6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Wireless Service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Postpaid billings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189,417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186,711</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Amortization of deferred contract &amp; other costs (3)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Net service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143,999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156,724</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58"/>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Prepaid billings (2)</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54,256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50,455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Amortization of deferred contract &amp; other costs (3)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(25,664)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080" w:type="dxa"/>
            <w:vAlign w:val="bottom"/>
            <w:gridSpan w:val="2"/>
          </w:tcPr>
          <w:p>
            <w:pPr>
              <w:ind w:left="300"/>
              <w:spacing w:after="0"/>
              <w:rPr>
                <w:sz w:val="20"/>
                <w:szCs w:val="20"/>
                <w:color w:val="auto"/>
              </w:rPr>
            </w:pPr>
            <w:r>
              <w:rPr>
                <w:rFonts w:ascii="Arial" w:cs="Arial" w:eastAsia="Arial" w:hAnsi="Arial"/>
                <w:sz w:val="18"/>
                <w:szCs w:val="18"/>
                <w:color w:val="auto"/>
              </w:rPr>
              <w:t>Sprint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58"/>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47,335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276"/>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Travel and other revenues (2)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11,808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 Service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182,978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215,867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160" w:hanging="328"/>
        <w:spacing w:after="0" w:line="241"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ind w:left="660" w:right="380" w:hanging="328"/>
        <w:spacing w:after="0" w:line="241"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includes Lifeline subscribers revenue within travel and other revenues to be consistent with Sprint. The above table reflects the reclassification of the related Assurance Wireless prepaid revenue from prepaid gross billings to travel and other revenues.</w:t>
      </w:r>
    </w:p>
    <w:p>
      <w:pPr>
        <w:ind w:left="660" w:right="40" w:hanging="328"/>
        <w:spacing w:after="0" w:line="248"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Due to the adoption of Topic 606, costs reimbursed to Sprint for commission and acquisition cost incurred in their national sales channel are recorded as reduction of revenue and amortized over the period of benefit. Additionally, costs reimbursed to Sprint for the support of their prepaid customer base are recorded as a reduction of revenue. These costs were previously recorded in cost of goods sold, and selling, general and administrative.</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six months ended June 30, 2018, the decline in postpaid service revenue was primarily the result of the adoption of Topic 606. Excluding the impact of adopting Topic 606, postpaid service revenues would have decreased approximately $0.4 million primarily due to a decline in average revenue per subscriber and partially offset by growth of approximately 48 thousand postpaid PCS retail subscribers and improvements in postpaid PCS average monthly retail churn. The growth in our postpaid PCS retail subscribers includes approximately 38 thousand acquired with the Richmond Expansion Area. Postpaid service revenue was further reduced by approximately $1.3 million due to an increase in net service fee as nTelos subscribers were migrated to Sprint’s billing and back-office systems. The migration of these subscribers resulted in the elimination of costs to run the nTelos back office system which were recorded in selling, general and administrative.</w:t>
      </w:r>
    </w:p>
    <w:p>
      <w:pPr>
        <w:spacing w:after="0" w:line="18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decline in prepaid service revenues during the six months ended June 30, 2018, was primarily the result of the adoption of Topic 606. Excluding the impact of adopting Topic 606, prepaid service revenues would have increased approximately $3.5 million due to growth of approximately 30 thousand prepaid PCS retail subscribers, improvements in prepaid PCS average monthly retail churn, and was partially offset by a decrease in average revenue per subscriber. The growth in our prepaid PCS retail subscribers includes approximately 16 thousand subscribers acquired with the Richmond Expansion Area.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7"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During the six months ended June 30, 2018, cost of services increased approximately $0.3 million, or 0.5%, compared with the six months ended June 30, 2017. The increase in cost of goods and services was primarily attributable to additional network costs related to the completion of our 4G roll-out and the expansion of our wireless network coverage area.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During the six months ended June 30, 2018, cost of goods sold increased approximately $20.9 million, or 212.2%, compared with the six months ended June 30, 2017. The increase in costs of goods sold was primarily the result of the reclassification of approximately $29.7 million of expenses for equipment costs and was partially offset by $11.2 million of costs incurred for national sales channel commissions, which were previously classified as reductions of revenue, driven by the adoption of Topic 606. Excluding the impact of the adoption of Topic 606, the increase would have been approximately $2.4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six months ended June 30, 2018, selling, general and administrative costs decreased approximately $33.6 million, or 57.8%, compared with the six months ended June 30, 2017. The decrease in selling, general and administrative was primarily attributable to the reclassification of approximately $29.7 million of commissions and subscriber acquisition costs to reductions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revenue as required by the adoption of Topic 606. Excluding the impact of Topic 606, the decrease would have been approximately $3.9 million and was primarily due to a reduction of back office expenses required to support former nTelos subscribers that migrated to the Sprint back office during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integration and migration expenses</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Acquisition and integration costs were not incurred during the six months ended June 30, 2018, as the completion of integration and migration activities related to the acquisition of nTelos was completed during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During the six months ended June 30, 2018, depreciation and amortization decreased $5.8 million, or 8.2%, compared with the six months ended June 30, 2017. The decrease in depreciation and amortization was primarily attributable to the retirement of assets acquired in the nTelos acquisition.</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125" w:right="45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Cable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 which are included in Wireline. The following tables indicate selected operating statistics of Cable, as of the dates shown: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120" w:type="dxa"/>
            <w:vAlign w:val="bottom"/>
            <w:gridSpan w:val="2"/>
          </w:tcPr>
          <w:p>
            <w:pPr>
              <w:ind w:left="480"/>
              <w:spacing w:after="0"/>
              <w:rPr>
                <w:sz w:val="20"/>
                <w:szCs w:val="20"/>
                <w:color w:val="auto"/>
              </w:rPr>
            </w:pPr>
            <w:r>
              <w:rPr>
                <w:rFonts w:ascii="Arial" w:cs="Arial" w:eastAsia="Arial" w:hAnsi="Arial"/>
                <w:sz w:val="18"/>
                <w:szCs w:val="18"/>
                <w:b w:val="1"/>
                <w:bCs w:val="1"/>
                <w:color w:val="auto"/>
              </w:rPr>
              <w:t>June 30, 2018</w:t>
            </w:r>
          </w:p>
        </w:tc>
        <w:tc>
          <w:tcPr>
            <w:tcW w:w="21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2017</w:t>
            </w:r>
          </w:p>
        </w:tc>
        <w:tc>
          <w:tcPr>
            <w:tcW w:w="202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 2017</w:t>
            </w:r>
          </w:p>
        </w:tc>
      </w:tr>
      <w:tr>
        <w:trPr>
          <w:trHeight w:val="27"/>
        </w:trPr>
        <w:tc>
          <w:tcPr>
            <w:tcW w:w="47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Homes Passed (1)</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185,016</w:t>
            </w:r>
          </w:p>
        </w:tc>
        <w:tc>
          <w:tcPr>
            <w:tcW w:w="120" w:type="dxa"/>
            <w:vAlign w:val="bottom"/>
          </w:tcPr>
          <w:p>
            <w:pPr>
              <w:spacing w:after="0"/>
              <w:rPr>
                <w:sz w:val="20"/>
                <w:szCs w:val="20"/>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00" w:type="dxa"/>
            <w:vAlign w:val="bottom"/>
          </w:tcPr>
          <w:p>
            <w:pPr>
              <w:spacing w:after="0"/>
              <w:rPr>
                <w:sz w:val="20"/>
                <w:szCs w:val="20"/>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184,834</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Customer Relationships (2)</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Video Users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42,483</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44,269</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46,014</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Non-video customers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35,773</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33,559</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31,291</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Total customer relationships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78,256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77,828</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77,305</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Video</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44,800</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46,613</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48,248</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20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Digital video penetration (5)</w:t>
            </w:r>
          </w:p>
        </w:tc>
        <w:tc>
          <w:tcPr>
            <w:tcW w:w="200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High-speed internet</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Available Homes (6)</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185,016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184,834</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Users (3)</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65,466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63,918</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61,947</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20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Voice</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Available Homes (6)</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185,016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182,379</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182,303</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Users (3)</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22,882</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22,555</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22,092</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20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 Generating Units (7)</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133,148</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133,086</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132,287</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3,426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3,301</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Total Fiber Miles (8)</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133,702</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122,011</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114,366</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Average Revenue Generating Units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132,287</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132,759</w:t>
            </w:r>
          </w:p>
        </w:tc>
        <w:tc>
          <w:tcPr>
            <w:tcW w:w="10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132,829</w:t>
            </w:r>
          </w:p>
        </w:tc>
      </w:tr>
      <w:tr>
        <w:trPr>
          <w:trHeight w:val="142"/>
        </w:trPr>
        <w:tc>
          <w:tcPr>
            <w:tcW w:w="470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r>
    </w:tbl>
    <w:p>
      <w:pPr>
        <w:ind w:left="660" w:right="340" w:hanging="328"/>
        <w:spacing w:after="0" w:line="255"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24" w:lineRule="exact"/>
        <w:rPr>
          <w:rFonts w:ascii="Arial" w:cs="Arial" w:eastAsia="Arial" w:hAnsi="Arial"/>
          <w:sz w:val="14"/>
          <w:szCs w:val="14"/>
          <w:color w:val="auto"/>
        </w:rPr>
      </w:pPr>
    </w:p>
    <w:p>
      <w:pPr>
        <w:ind w:left="540" w:hanging="20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55" w:lineRule="exact"/>
        <w:rPr>
          <w:rFonts w:ascii="Arial" w:cs="Arial" w:eastAsia="Arial" w:hAnsi="Arial"/>
          <w:sz w:val="14"/>
          <w:szCs w:val="14"/>
          <w:color w:val="auto"/>
        </w:rPr>
      </w:pPr>
    </w:p>
    <w:p>
      <w:pPr>
        <w:ind w:left="660" w:hanging="328"/>
        <w:spacing w:after="0" w:line="257"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3" w:lineRule="exact"/>
        <w:rPr>
          <w:rFonts w:ascii="Arial" w:cs="Arial" w:eastAsia="Arial" w:hAnsi="Arial"/>
          <w:sz w:val="14"/>
          <w:szCs w:val="14"/>
          <w:color w:val="auto"/>
        </w:rPr>
      </w:pPr>
    </w:p>
    <w:p>
      <w:pPr>
        <w:ind w:left="540" w:hanging="20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55" w:lineRule="exact"/>
        <w:rPr>
          <w:rFonts w:ascii="Arial" w:cs="Arial" w:eastAsia="Arial" w:hAnsi="Arial"/>
          <w:sz w:val="14"/>
          <w:szCs w:val="14"/>
          <w:color w:val="auto"/>
        </w:rPr>
      </w:pPr>
    </w:p>
    <w:p>
      <w:pPr>
        <w:ind w:left="660" w:right="60" w:hanging="328"/>
        <w:spacing w:after="0" w:line="273"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spacing w:after="0" w:line="11" w:lineRule="exact"/>
        <w:rPr>
          <w:rFonts w:ascii="Arial" w:cs="Arial" w:eastAsia="Arial" w:hAnsi="Arial"/>
          <w:sz w:val="14"/>
          <w:szCs w:val="14"/>
          <w:color w:val="auto"/>
        </w:rPr>
      </w:pPr>
    </w:p>
    <w:p>
      <w:pPr>
        <w:ind w:left="660" w:right="200" w:hanging="328"/>
        <w:spacing w:after="0" w:line="273"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extending the transmission lines and if we offer the service in that area.</w:t>
      </w:r>
    </w:p>
    <w:p>
      <w:pPr>
        <w:spacing w:after="0" w:line="11" w:lineRule="exact"/>
        <w:rPr>
          <w:rFonts w:ascii="Arial" w:cs="Arial" w:eastAsia="Arial" w:hAnsi="Arial"/>
          <w:sz w:val="14"/>
          <w:szCs w:val="14"/>
          <w:color w:val="auto"/>
        </w:rPr>
      </w:pPr>
    </w:p>
    <w:p>
      <w:pPr>
        <w:ind w:left="540" w:hanging="20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Revenue generating units are the sum of video, voice and high-speed internet users.</w:t>
      </w:r>
    </w:p>
    <w:p>
      <w:pPr>
        <w:spacing w:after="0" w:line="55" w:lineRule="exact"/>
        <w:rPr>
          <w:rFonts w:ascii="Arial" w:cs="Arial" w:eastAsia="Arial" w:hAnsi="Arial"/>
          <w:sz w:val="14"/>
          <w:szCs w:val="14"/>
          <w:color w:val="auto"/>
        </w:rPr>
      </w:pPr>
    </w:p>
    <w:p>
      <w:pPr>
        <w:ind w:left="660" w:right="360" w:hanging="328"/>
        <w:spacing w:after="0" w:line="273"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with the Three Months Ended June 30,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52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 of</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Revenue</w:t>
            </w:r>
          </w:p>
        </w:tc>
        <w:tc>
          <w:tcPr>
            <w:tcW w:w="300" w:type="dxa"/>
            <w:vAlign w:val="bottom"/>
          </w:tcPr>
          <w:p>
            <w:pPr>
              <w:spacing w:after="0"/>
              <w:rPr>
                <w:sz w:val="18"/>
                <w:szCs w:val="18"/>
                <w:color w:val="auto"/>
              </w:rPr>
            </w:pPr>
          </w:p>
        </w:tc>
        <w:tc>
          <w:tcPr>
            <w:tcW w:w="72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Cable Operating Revenues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20"/>
              <w:spacing w:after="0"/>
              <w:rPr>
                <w:sz w:val="20"/>
                <w:szCs w:val="20"/>
                <w:color w:val="auto"/>
              </w:rPr>
            </w:pPr>
            <w:r>
              <w:rPr>
                <w:rFonts w:ascii="Arial" w:cs="Arial" w:eastAsia="Arial" w:hAnsi="Arial"/>
                <w:sz w:val="16"/>
                <w:szCs w:val="16"/>
                <w:color w:val="auto"/>
              </w:rPr>
              <w:t>Service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28,748</w:t>
            </w:r>
          </w:p>
        </w:tc>
        <w:tc>
          <w:tcPr>
            <w:tcW w:w="1080" w:type="dxa"/>
            <w:vAlign w:val="bottom"/>
          </w:tcPr>
          <w:p>
            <w:pPr>
              <w:jc w:val="right"/>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26,883</w:t>
            </w: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Equipment revenues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w:t>
            </w:r>
          </w:p>
        </w:tc>
        <w:tc>
          <w:tcPr>
            <w:tcW w:w="10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147</w:t>
            </w: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4880" w:type="dxa"/>
            <w:vAlign w:val="bottom"/>
          </w:tcPr>
          <w:p>
            <w:pPr>
              <w:ind w:left="12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2,534</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Revenues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29,564</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Cable 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15,125</w:t>
            </w:r>
          </w:p>
        </w:tc>
        <w:tc>
          <w:tcPr>
            <w:tcW w:w="108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14,920</w:t>
            </w: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4880" w:type="dxa"/>
            <w:vAlign w:val="bottom"/>
          </w:tcPr>
          <w:p>
            <w:pPr>
              <w:ind w:left="1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270"/>
        </w:trPr>
        <w:tc>
          <w:tcPr>
            <w:tcW w:w="4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4,661</w:t>
            </w:r>
          </w:p>
        </w:tc>
        <w:tc>
          <w:tcPr>
            <w:tcW w:w="108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4,867</w:t>
            </w: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6"/>
        </w:trPr>
        <w:tc>
          <w:tcPr>
            <w:tcW w:w="488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6,090</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Expenses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25,868</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Cable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3,696</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three months ended June 30, 2018, service revenues increased approximately $1.9 million, or 6.9%, compared with the three months ended June 30, 2017. The increase in service revenues was primarily attributable to increases in high speed data and voice subscribers, video rate increases, and customers selecting or upgrading to higher-speed data access packages.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equipment revenues were consistent with the three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During the three months ended June 30, 2018, other revenue increased approximately $0.7 million, or 27.0%, compared with the three months ended June 30, 2017. The increase in other revenue was primarily attributable to installation services that were driven by growth in our customer base.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During the three months ended June 30, 2018, cable cost of services increased approximately $0.2 million, or 1.4%, compared with the three months ended June 30, 2017. The increase in cost of services was driven by programming rate increases.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During the three months ended June 30, 2018, costs of goods sold increased approximately $0.1 million, or 800.0%, compared with the three months ended June 30, 2017. The increase in cost of goods sold was primarily attributable to gains on disposals of equipment that were recognized during the three months ended June 30,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months ended June 30, 2018, selling, general and administrative expenses decreased approximately $0.2 million, or 4.2%, compared with the three months ended June 30, 2017. The decrease in selling, general and administrative expenses was primarily attributable to management's cost saving initiatives.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June 30, 2018, depreciation and amortization expense was consistent with the three months ended June 30, 2017.</w:t>
      </w:r>
    </w:p>
    <w:p>
      <w:pPr>
        <w:spacing w:after="0" w:line="22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with the Six months ended June 30,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52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72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Cable Operating Revenues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20"/>
              <w:spacing w:after="0"/>
              <w:rPr>
                <w:sz w:val="20"/>
                <w:szCs w:val="20"/>
                <w:color w:val="auto"/>
              </w:rPr>
            </w:pPr>
            <w:r>
              <w:rPr>
                <w:rFonts w:ascii="Arial" w:cs="Arial" w:eastAsia="Arial" w:hAnsi="Arial"/>
                <w:sz w:val="16"/>
                <w:szCs w:val="16"/>
                <w:color w:val="auto"/>
              </w:rPr>
              <w:t>Service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57,219</w:t>
            </w:r>
          </w:p>
        </w:tc>
        <w:tc>
          <w:tcPr>
            <w:tcW w:w="1080" w:type="dxa"/>
            <w:vAlign w:val="bottom"/>
          </w:tcPr>
          <w:p>
            <w:pPr>
              <w:jc w:val="right"/>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53,294</w:t>
            </w:r>
          </w:p>
        </w:tc>
        <w:tc>
          <w:tcPr>
            <w:tcW w:w="1060" w:type="dxa"/>
            <w:vAlign w:val="bottom"/>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3,925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6"/>
                <w:szCs w:val="16"/>
                <w:color w:val="auto"/>
              </w:rPr>
              <w:t>Equipment revenues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w:t>
            </w:r>
          </w:p>
        </w:tc>
        <w:tc>
          <w:tcPr>
            <w:tcW w:w="10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329</w:t>
            </w: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6"/>
        </w:trPr>
        <w:tc>
          <w:tcPr>
            <w:tcW w:w="4880" w:type="dxa"/>
            <w:vAlign w:val="bottom"/>
          </w:tcPr>
          <w:p>
            <w:pPr>
              <w:ind w:left="12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Revenues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58,577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5,245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Cable 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30,281</w:t>
            </w:r>
          </w:p>
        </w:tc>
        <w:tc>
          <w:tcPr>
            <w:tcW w:w="1080" w:type="dxa"/>
            <w:vAlign w:val="bottom"/>
          </w:tcPr>
          <w:p>
            <w:pPr>
              <w:jc w:val="right"/>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30,098</w:t>
            </w:r>
          </w:p>
        </w:tc>
        <w:tc>
          <w:tcPr>
            <w:tcW w:w="106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0"/>
        </w:trPr>
        <w:tc>
          <w:tcPr>
            <w:tcW w:w="4880" w:type="dxa"/>
            <w:vAlign w:val="bottom"/>
          </w:tcPr>
          <w:p>
            <w:pPr>
              <w:ind w:left="1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270"/>
        </w:trPr>
        <w:tc>
          <w:tcPr>
            <w:tcW w:w="4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9,609</w:t>
            </w:r>
          </w:p>
        </w:tc>
        <w:tc>
          <w:tcPr>
            <w:tcW w:w="108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9,725</w:t>
            </w:r>
          </w:p>
        </w:tc>
        <w:tc>
          <w:tcPr>
            <w:tcW w:w="106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488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Expenses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51,743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Cable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the six months ended June 30, 2018, service revenues increased approximately $3.9 million, or 7.4%, compared with the six months ended June 30, 2017. The increase in service revenues was primarily attributable to growth in our high speed data and voice subscribers, video rate increases, and our customers selecting or upgrading to higher-speed data access packages.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equipment revenues were consistent with the six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During the six months ended June 30, 2018, other revenue increased approximately $1.3 million, or 27.2%, compared with the six months ended June 30, 2017. The increase in other revenue was primarily attributable to new fiber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cable cost of services were consistent with the six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cost of goods sold were consistent with the six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2018, selling, general and administrative expenses were consistent with the six months ended June 30,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six months ended June 30, 2018, depreciation and amortization expense increased approximately $0.3 million million, or 2.7%, compared with the six months ended June 30, 2017. The increase in depreciation and amortization expense was primarily attributable to our investment in infrastructure necessary to support the growth of the cable and fiber networks.</w:t>
      </w:r>
    </w:p>
    <w:p>
      <w:pPr>
        <w:spacing w:after="0" w:line="1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Wireline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Wireline provides regulated and unregulated voice services, DSL internet access, and long distance access services throughout Shenandoah County and portions of Rockingham, Frederick, Warren and Augusta counties, Virginia. Also, Wireline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140" w:type="dxa"/>
            <w:vAlign w:val="bottom"/>
            <w:gridSpan w:val="2"/>
          </w:tcPr>
          <w:p>
            <w:pPr>
              <w:ind w:left="480"/>
              <w:spacing w:after="0"/>
              <w:rPr>
                <w:sz w:val="20"/>
                <w:szCs w:val="20"/>
                <w:color w:val="auto"/>
              </w:rPr>
            </w:pPr>
            <w:r>
              <w:rPr>
                <w:rFonts w:ascii="Arial" w:cs="Arial" w:eastAsia="Arial" w:hAnsi="Arial"/>
                <w:sz w:val="18"/>
                <w:szCs w:val="18"/>
                <w:b w:val="1"/>
                <w:bCs w:val="1"/>
                <w:color w:val="auto"/>
              </w:rPr>
              <w:t>June 30, 2018</w:t>
            </w:r>
          </w:p>
        </w:tc>
        <w:tc>
          <w:tcPr>
            <w:tcW w:w="214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2017</w:t>
            </w:r>
          </w:p>
        </w:tc>
        <w:tc>
          <w:tcPr>
            <w:tcW w:w="20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2017</w:t>
            </w:r>
          </w:p>
        </w:tc>
      </w:tr>
      <w:tr>
        <w:trPr>
          <w:trHeight w:val="27"/>
        </w:trPr>
        <w:tc>
          <w:tcPr>
            <w:tcW w:w="50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jc w:val="right"/>
              <w:ind w:right="75"/>
              <w:spacing w:after="0"/>
              <w:rPr>
                <w:sz w:val="20"/>
                <w:szCs w:val="20"/>
                <w:color w:val="auto"/>
              </w:rPr>
            </w:pPr>
            <w:r>
              <w:rPr>
                <w:rFonts w:ascii="Arial" w:cs="Arial" w:eastAsia="Arial" w:hAnsi="Arial"/>
                <w:sz w:val="18"/>
                <w:szCs w:val="18"/>
                <w:color w:val="auto"/>
              </w:rPr>
              <w:t>Telephone Access Lines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17,017</w:t>
            </w:r>
          </w:p>
        </w:tc>
        <w:tc>
          <w:tcPr>
            <w:tcW w:w="10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17,933</w:t>
            </w:r>
          </w:p>
        </w:tc>
        <w:tc>
          <w:tcPr>
            <w:tcW w:w="12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18,077</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9,078</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9,139</w:t>
            </w:r>
          </w:p>
        </w:tc>
      </w:tr>
      <w:tr>
        <w:trPr>
          <w:trHeight w:val="270"/>
        </w:trPr>
        <w:tc>
          <w:tcPr>
            <w:tcW w:w="5000" w:type="dxa"/>
            <w:vAlign w:val="bottom"/>
          </w:tcPr>
          <w:p>
            <w:pPr>
              <w:jc w:val="right"/>
              <w:ind w:right="75"/>
              <w:spacing w:after="0"/>
              <w:rPr>
                <w:sz w:val="20"/>
                <w:szCs w:val="20"/>
                <w:color w:val="auto"/>
              </w:rPr>
            </w:pPr>
            <w:r>
              <w:rPr>
                <w:rFonts w:ascii="Arial" w:cs="Arial" w:eastAsia="Arial" w:hAnsi="Arial"/>
                <w:sz w:val="18"/>
                <w:szCs w:val="18"/>
                <w:color w:val="auto"/>
              </w:rPr>
              <w:t>Video Customers (1)</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5,180</w:t>
            </w:r>
          </w:p>
        </w:tc>
      </w:tr>
      <w:tr>
        <w:trPr>
          <w:trHeight w:val="270"/>
        </w:trPr>
        <w:tc>
          <w:tcPr>
            <w:tcW w:w="5000" w:type="dxa"/>
            <w:vAlign w:val="bottom"/>
          </w:tcPr>
          <w:p>
            <w:pPr>
              <w:jc w:val="right"/>
              <w:ind w:right="75"/>
              <w:spacing w:after="0"/>
              <w:rPr>
                <w:sz w:val="20"/>
                <w:szCs w:val="20"/>
                <w:color w:val="auto"/>
              </w:rPr>
            </w:pPr>
            <w:r>
              <w:rPr>
                <w:rFonts w:ascii="Arial" w:cs="Arial" w:eastAsia="Arial" w:hAnsi="Arial"/>
                <w:sz w:val="18"/>
                <w:szCs w:val="18"/>
                <w:color w:val="auto"/>
              </w:rPr>
              <w:t>DSL and Cable Modem Subscribers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14,694</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14,665</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14,605</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0"/>
        </w:trPr>
        <w:tc>
          <w:tcPr>
            <w:tcW w:w="5000" w:type="dxa"/>
            <w:vAlign w:val="bottom"/>
          </w:tcPr>
          <w:p>
            <w:pPr>
              <w:jc w:val="right"/>
              <w:ind w:right="75"/>
              <w:spacing w:after="0"/>
              <w:rPr>
                <w:sz w:val="20"/>
                <w:szCs w:val="20"/>
                <w:color w:val="auto"/>
              </w:rPr>
            </w:pPr>
            <w:r>
              <w:rPr>
                <w:rFonts w:ascii="Arial" w:cs="Arial" w:eastAsia="Arial" w:hAnsi="Arial"/>
                <w:sz w:val="18"/>
                <w:szCs w:val="18"/>
                <w:color w:val="auto"/>
              </w:rPr>
              <w:t>Total Fiber miles (2)</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157,008</w:t>
            </w:r>
          </w:p>
        </w:tc>
        <w:tc>
          <w:tcPr>
            <w:tcW w:w="10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154,165</w:t>
            </w:r>
          </w:p>
        </w:tc>
        <w:tc>
          <w:tcPr>
            <w:tcW w:w="12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146,967</w:t>
            </w:r>
          </w:p>
        </w:tc>
      </w:tr>
      <w:tr>
        <w:trPr>
          <w:trHeight w:val="154"/>
        </w:trPr>
        <w:tc>
          <w:tcPr>
            <w:tcW w:w="5000" w:type="dxa"/>
            <w:vAlign w:val="bottom"/>
          </w:tcPr>
          <w:p>
            <w:pPr>
              <w:jc w:val="right"/>
              <w:ind w:right="1935"/>
              <w:spacing w:after="0"/>
              <w:rPr>
                <w:sz w:val="20"/>
                <w:szCs w:val="20"/>
                <w:color w:val="auto"/>
              </w:rPr>
            </w:pPr>
            <w:r>
              <w:rPr>
                <w:rFonts w:ascii="Arial" w:cs="Arial" w:eastAsia="Arial" w:hAnsi="Arial"/>
                <w:sz w:val="11"/>
                <w:szCs w:val="11"/>
                <w:color w:val="auto"/>
                <w:w w:val="87"/>
              </w:rPr>
              <w:t>_______________________________________________________</w:t>
            </w: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r>
    </w:tbl>
    <w:p>
      <w:pPr>
        <w:spacing w:after="0" w:line="3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Wireline’s video service passes approximately 16,500 homes.</w:t>
      </w:r>
    </w:p>
    <w:p>
      <w:pPr>
        <w:spacing w:after="0" w:line="55" w:lineRule="exact"/>
        <w:rPr>
          <w:rFonts w:ascii="Arial" w:cs="Arial" w:eastAsia="Arial" w:hAnsi="Arial"/>
          <w:sz w:val="14"/>
          <w:szCs w:val="14"/>
          <w:color w:val="auto"/>
        </w:rPr>
      </w:pPr>
    </w:p>
    <w:p>
      <w:pPr>
        <w:ind w:left="660" w:right="18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5"/>
          </w:tcPr>
          <w:p>
            <w:pPr>
              <w:spacing w:after="0"/>
              <w:rPr>
                <w:sz w:val="20"/>
                <w:szCs w:val="20"/>
                <w:color w:val="auto"/>
              </w:rPr>
            </w:pPr>
            <w:r>
              <w:rPr>
                <w:rFonts w:ascii="Arial" w:cs="Arial" w:eastAsia="Arial" w:hAnsi="Arial"/>
                <w:sz w:val="18"/>
                <w:szCs w:val="18"/>
                <w:b w:val="1"/>
                <w:bCs w:val="1"/>
                <w:color w:val="auto"/>
                <w:w w:val="91"/>
              </w:rPr>
              <w:t>Three Months Ended June 30, 2018 Compared with the Three Months Ended June 30, 2017</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2017</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Wireline operating revenues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5,725</w:t>
            </w:r>
          </w:p>
        </w:tc>
        <w:tc>
          <w:tcPr>
            <w:tcW w:w="106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5,676</w:t>
            </w:r>
          </w:p>
        </w:tc>
        <w:tc>
          <w:tcPr>
            <w:tcW w:w="106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Carrier access and fiber revenues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12,468</w:t>
            </w:r>
          </w:p>
        </w:tc>
        <w:tc>
          <w:tcPr>
            <w:tcW w:w="106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13,038</w:t>
            </w:r>
          </w:p>
        </w:tc>
        <w:tc>
          <w:tcPr>
            <w:tcW w:w="1060" w:type="dxa"/>
            <w:vAlign w:val="bottom"/>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63"/>
        </w:trPr>
        <w:tc>
          <w:tcPr>
            <w:tcW w:w="4920" w:type="dxa"/>
            <w:vAlign w:val="bottom"/>
          </w:tcPr>
          <w:p>
            <w:pPr>
              <w:ind w:left="300"/>
              <w:spacing w:after="0"/>
              <w:rPr>
                <w:sz w:val="20"/>
                <w:szCs w:val="20"/>
                <w:color w:val="auto"/>
              </w:rPr>
            </w:pPr>
            <w:r>
              <w:rPr>
                <w:rFonts w:ascii="Arial" w:cs="Arial" w:eastAsia="Arial" w:hAnsi="Arial"/>
                <w:sz w:val="18"/>
                <w:szCs w:val="18"/>
                <w:color w:val="auto"/>
              </w:rPr>
              <w:t>Total Wireline operating revenues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Wireline Operating Expenses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9,373</w:t>
            </w:r>
          </w:p>
        </w:tc>
        <w:tc>
          <w:tcPr>
            <w:tcW w:w="1060" w:type="dxa"/>
            <w:vAlign w:val="bottom"/>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9,329</w:t>
            </w:r>
          </w:p>
        </w:tc>
        <w:tc>
          <w:tcPr>
            <w:tcW w:w="1060" w:type="dxa"/>
            <w:vAlign w:val="bottom"/>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Costs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color w:val="auto"/>
              </w:rPr>
              <w:t>1,900.0</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1,686</w:t>
            </w:r>
          </w:p>
        </w:tc>
        <w:tc>
          <w:tcPr>
            <w:tcW w:w="106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1,683</w:t>
            </w:r>
          </w:p>
        </w:tc>
        <w:tc>
          <w:tcPr>
            <w:tcW w:w="106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4920" w:type="dxa"/>
            <w:vAlign w:val="bottom"/>
          </w:tcPr>
          <w:p>
            <w:pPr>
              <w:ind w:left="300"/>
              <w:spacing w:after="0"/>
              <w:rPr>
                <w:sz w:val="20"/>
                <w:szCs w:val="20"/>
                <w:color w:val="auto"/>
              </w:rPr>
            </w:pPr>
            <w:r>
              <w:rPr>
                <w:rFonts w:ascii="Arial" w:cs="Arial" w:eastAsia="Arial" w:hAnsi="Arial"/>
                <w:sz w:val="18"/>
                <w:szCs w:val="18"/>
                <w:color w:val="auto"/>
              </w:rPr>
              <w:t>Total Wireline operating expenses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8"/>
                <w:szCs w:val="18"/>
                <w:color w:val="auto"/>
              </w:rPr>
              <w:t>Wireline operating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service revenues were consistent with the three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access and fiber revenues</w:t>
      </w:r>
    </w:p>
    <w:p>
      <w:pPr>
        <w:spacing w:after="0" w:line="2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During the three months ended June 30, 2018, carrier access and fiber revenues decreased by approximately $0.6 million, or 4.4%, compared to the three months ended June 30, 2017. The decrease in carrier access and fiber revenues was primarily attributable to repricing Wireless backhaul circuits to market rates and migrating Wireless voice traffic from traditional circuit-switched facilities to more cost effective Voice Over IP ("VoIP") facilities.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other revenue was consistent with the three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cost of services was consistent with the three months ended June 30,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cost of goods sold was consistent with the three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2018, selling, general and administrative expenses were consistent with the three months ended June 30, 2017.</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2018, depreciation and amortization was consistent with the three months ended June 30, 2017.</w:t>
      </w:r>
    </w:p>
    <w:p>
      <w:pPr>
        <w:spacing w:after="0" w:line="21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5"/>
          </w:tcPr>
          <w:p>
            <w:pPr>
              <w:spacing w:after="0"/>
              <w:rPr>
                <w:sz w:val="20"/>
                <w:szCs w:val="20"/>
                <w:color w:val="auto"/>
              </w:rPr>
            </w:pPr>
            <w:r>
              <w:rPr>
                <w:rFonts w:ascii="Arial" w:cs="Arial" w:eastAsia="Arial" w:hAnsi="Arial"/>
                <w:sz w:val="18"/>
                <w:szCs w:val="18"/>
                <w:b w:val="1"/>
                <w:bCs w:val="1"/>
                <w:color w:val="auto"/>
                <w:w w:val="97"/>
              </w:rPr>
              <w:t>Six months ended June 30, 2018 Compared with the Six months ended June 30, 2017</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50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300" w:type="dxa"/>
            <w:vAlign w:val="bottom"/>
          </w:tcPr>
          <w:p>
            <w:pPr>
              <w:spacing w:after="0"/>
              <w:rPr>
                <w:sz w:val="20"/>
                <w:szCs w:val="20"/>
                <w:color w:val="auto"/>
              </w:rPr>
            </w:pPr>
          </w:p>
        </w:tc>
        <w:tc>
          <w:tcPr>
            <w:tcW w:w="68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2017</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80" w:type="dxa"/>
            <w:vAlign w:val="bottom"/>
          </w:tcPr>
          <w:p>
            <w:pPr>
              <w:spacing w:after="0"/>
              <w:rPr>
                <w:sz w:val="20"/>
                <w:szCs w:val="20"/>
                <w:color w:val="auto"/>
              </w:rPr>
            </w:pPr>
          </w:p>
        </w:tc>
        <w:tc>
          <w:tcPr>
            <w:tcW w:w="7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Wireline operating revenues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11,615</w:t>
            </w:r>
          </w:p>
        </w:tc>
        <w:tc>
          <w:tcPr>
            <w:tcW w:w="106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11,278</w:t>
            </w:r>
          </w:p>
        </w:tc>
        <w:tc>
          <w:tcPr>
            <w:tcW w:w="106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Carrier access and fiber revenues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25,322</w:t>
            </w:r>
          </w:p>
        </w:tc>
        <w:tc>
          <w:tcPr>
            <w:tcW w:w="106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25,703</w:t>
            </w:r>
          </w:p>
        </w:tc>
        <w:tc>
          <w:tcPr>
            <w:tcW w:w="1060" w:type="dxa"/>
            <w:vAlign w:val="bottom"/>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3"/>
        </w:trPr>
        <w:tc>
          <w:tcPr>
            <w:tcW w:w="4920" w:type="dxa"/>
            <w:vAlign w:val="bottom"/>
          </w:tcPr>
          <w:p>
            <w:pPr>
              <w:ind w:left="300"/>
              <w:spacing w:after="0"/>
              <w:rPr>
                <w:sz w:val="20"/>
                <w:szCs w:val="20"/>
                <w:color w:val="auto"/>
              </w:rPr>
            </w:pPr>
            <w:r>
              <w:rPr>
                <w:rFonts w:ascii="Arial" w:cs="Arial" w:eastAsia="Arial" w:hAnsi="Arial"/>
                <w:sz w:val="18"/>
                <w:szCs w:val="18"/>
                <w:color w:val="auto"/>
              </w:rPr>
              <w:t>Total Wireline operating revenues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Wireline Operating Expenses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19,175</w:t>
            </w:r>
          </w:p>
        </w:tc>
        <w:tc>
          <w:tcPr>
            <w:tcW w:w="1060" w:type="dxa"/>
            <w:vAlign w:val="bottom"/>
          </w:tcPr>
          <w:p>
            <w:pPr>
              <w:jc w:val="right"/>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18,563</w:t>
            </w:r>
          </w:p>
        </w:tc>
        <w:tc>
          <w:tcPr>
            <w:tcW w:w="1060" w:type="dxa"/>
            <w:vAlign w:val="bottom"/>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Costs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3,403</w:t>
            </w:r>
          </w:p>
        </w:tc>
        <w:tc>
          <w:tcPr>
            <w:tcW w:w="106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3,359</w:t>
            </w: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4920" w:type="dxa"/>
            <w:vAlign w:val="bottom"/>
          </w:tcPr>
          <w:p>
            <w:pPr>
              <w:ind w:left="300"/>
              <w:spacing w:after="0"/>
              <w:rPr>
                <w:sz w:val="20"/>
                <w:szCs w:val="20"/>
                <w:color w:val="auto"/>
              </w:rPr>
            </w:pPr>
            <w:r>
              <w:rPr>
                <w:rFonts w:ascii="Arial" w:cs="Arial" w:eastAsia="Arial" w:hAnsi="Arial"/>
                <w:sz w:val="18"/>
                <w:szCs w:val="18"/>
                <w:color w:val="auto"/>
              </w:rPr>
              <w:t>Total Wireline operating expenses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8"/>
                <w:szCs w:val="18"/>
                <w:color w:val="auto"/>
              </w:rPr>
              <w:t>Wireline operating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six months ended June 30, 2018, service revenues increased by approximately $0.3 million, or 3.0%, compared to the six months ended June 30, 2017. The increase in service revenues was primarily attributable to rate increases for our internet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access and fiber revenue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six months ended June 30, 2018, carrier access and fiber revenues decreased by approximately $0.4 million, or 1.5%, compared to the six months ended June 30, 2017. The decrease in operating revenues was primarily attributable to repricing Wireless backhaul circuits to market rates and migrating Wireless voice traffic from traditional circuit-switched facilities to more cost effective VoIP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other revenues were consistent with the six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7"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During the six months ended June 30, 2018, cost of services increased by approximately $0.6 million, or 3.3%, compared to the six months ended June 30, 2017. The increase in costs of services was primarily attributable our expenses incurred necessary to support the growth of our fiber network.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cost of goods sold were consistent with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2018, selling, general and administrative expenses were consistent with the six months ended June 30,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six months ended June 30, 2018, depreciation and amortization increased by approximately $0.3 million, or 5.5%, compared to the six months ended June 30, 2017. The increase in depreciation and amortization was primarily attributable to the expansion of the underlying network assets necessary to support the growth in our fiber network.</w:t>
      </w:r>
    </w:p>
    <w:p>
      <w:pPr>
        <w:spacing w:after="0" w:line="1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the financial statement measures prepared in accordance with GAAP with Adjusted OIBDA and Continuing OIBDA, which are considered “non-GAAP financial measures” under SEC rules.</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OIBDA is defined as operating income (loss) before depreciation and amortization, adjusted to exclude the effects of: certain non-recurring transactions; impairment of assets; gains and losses on asset sales; actuarial gains and losses on pension and other post-retirement benefit plans; and share-based compensation expense, amortization of deferred costs related to the impacts of the adoption of Topic 606, and adjusted to include the benefit received from the waived management fee by Sprint. Continuing OIBDA is defined as Adjusted OIBDA, less the benefit received from the waived management fee by Sprint. Adjusted OIBDA and Continuing OIBDA should not be construed as an alternative to operating income as determined in accordance with GAAP as a measure of operating performance.</w:t>
      </w:r>
    </w:p>
    <w:p>
      <w:pPr>
        <w:spacing w:after="0" w:line="19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these measures facilitate comparisons of our operating performance from period to period and comparisons of our operating performance to that of our peers and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Adjusted OIBDA and Continuing OIBDA have limitations as an analytical tool, and should not be considered in isolation or as a substitute for analysis of our results as reported under GAAP. These limitations include, but are not limited to, the following:</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the impacts of adoption of Topic 606;</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and Continuing OIBDA do not reflect cash requirements for such replacements;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and Continuing OIBDA differently than we do, limiting its usefulness as a comparative measure.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new revenue recognition standard did not impact Adjusted OIBDA.</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which we consider to be the most directly comparable GAAP financial measure: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2"/>
                <w:szCs w:val="22"/>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19,780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6,083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4,793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(11,958)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18,698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Impact of ASC topic 606</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31,565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41,117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 based compensation expense</w:t>
            </w:r>
          </w:p>
        </w:tc>
        <w:tc>
          <w:tcPr>
            <w:tcW w:w="24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5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Benefit received from the waived management fee (1)</w:t>
            </w:r>
          </w:p>
        </w:tc>
        <w:tc>
          <w:tcPr>
            <w:tcW w:w="24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9,558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netted in rent expense</w:t>
            </w:r>
          </w:p>
        </w:tc>
        <w:tc>
          <w:tcPr>
            <w:tcW w:w="24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Actuarial (gains) losses on pension plans</w:t>
            </w:r>
          </w:p>
        </w:tc>
        <w:tc>
          <w:tcPr>
            <w:tcW w:w="24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60,072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69,809</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Waived management fee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Continuing OIBDA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50,514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12,266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60,251</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6,352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3,696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5,408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8,252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35,551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44,925</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(Gain) loss on asset sales</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 based compensation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9,167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netted in rent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53"/>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Temporary back office costs to support the billing operations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4700" w:type="dxa"/>
            <w:vAlign w:val="bottom"/>
            <w:gridSpan w:val="2"/>
            <w:vMerge w:val="restart"/>
          </w:tcPr>
          <w:p>
            <w:pPr>
              <w:ind w:left="180"/>
              <w:spacing w:after="0"/>
              <w:rPr>
                <w:sz w:val="20"/>
                <w:szCs w:val="20"/>
                <w:color w:val="auto"/>
              </w:rPr>
            </w:pPr>
            <w:r>
              <w:rPr>
                <w:rFonts w:ascii="Arial" w:cs="Arial" w:eastAsia="Arial" w:hAnsi="Arial"/>
                <w:sz w:val="16"/>
                <w:szCs w:val="16"/>
                <w:color w:val="auto"/>
              </w:rPr>
              <w:t>through migration (2)</w:t>
            </w:r>
          </w:p>
        </w:tc>
        <w:tc>
          <w:tcPr>
            <w:tcW w:w="240" w:type="dxa"/>
            <w:vAlign w:val="bottom"/>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color w:val="auto"/>
              </w:rPr>
              <w:t>1,693</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108"/>
        </w:trPr>
        <w:tc>
          <w:tcPr>
            <w:tcW w:w="4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Integration and acquisition related expenses, and other</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4,734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4,288</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58,216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8,646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69,444</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180"/>
              <w:spacing w:after="0"/>
              <w:rPr>
                <w:sz w:val="20"/>
                <w:szCs w:val="20"/>
                <w:color w:val="auto"/>
              </w:rPr>
            </w:pPr>
            <w:r>
              <w:rPr>
                <w:rFonts w:ascii="Arial" w:cs="Arial" w:eastAsia="Arial" w:hAnsi="Arial"/>
                <w:sz w:val="16"/>
                <w:szCs w:val="16"/>
                <w:color w:val="auto"/>
              </w:rPr>
              <w:t>Waived management fee</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Continuing OIBDA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49,049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9,919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8,646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60,277</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420" w:type="dxa"/>
            <w:vAlign w:val="bottom"/>
            <w:gridSpan w:val="3"/>
          </w:tcPr>
          <w:p>
            <w:pPr>
              <w:ind w:left="40"/>
              <w:spacing w:after="0"/>
              <w:rPr>
                <w:sz w:val="20"/>
                <w:szCs w:val="20"/>
                <w:color w:val="auto"/>
              </w:rPr>
            </w:pPr>
            <w:r>
              <w:rPr>
                <w:rFonts w:ascii="Arial" w:cs="Arial" w:eastAsia="Arial" w:hAnsi="Arial"/>
                <w:sz w:val="16"/>
                <w:szCs w:val="16"/>
                <w:b w:val="1"/>
                <w:bCs w:val="1"/>
                <w:color w:val="auto"/>
              </w:rPr>
              <w:t>Wireless</w:t>
            </w: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34,641</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11,610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9,565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(22,770)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33,046</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Impact of ASC topic 606</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65,490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84,604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 based compensation expense</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18,606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18,606</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netted in rent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Actuarial (gains) losses on pension plans</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117,635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23,928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138,449</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Waived management fee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(18,606)</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Continuing OIBDA</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99,029</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23,928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16,137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119,843</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15,488</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6,834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10,482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18,925</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71,303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89,729</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(Gain) loss on asset sales</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Share based compensation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2,418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18,107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18,107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netted in rent expense</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53"/>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Temporary back office costs to support the billing operations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through migration (2)</w:t>
            </w:r>
          </w:p>
        </w:tc>
        <w:tc>
          <w:tcPr>
            <w:tcW w:w="2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4,286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4,286</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Integration and acquisition related expenses, and other</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8,770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9,021</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119,647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17,037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143,012</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Waived management fee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(18,107)</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Continuing OIBDA</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101,540</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19,204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17,037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(12,876)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12700</wp:posOffset>
            </wp:positionV>
            <wp:extent cx="4262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1" w:lineRule="exact"/>
        <w:rPr>
          <w:sz w:val="20"/>
          <w:szCs w:val="20"/>
          <w:color w:val="auto"/>
        </w:rPr>
      </w:pPr>
    </w:p>
    <w:p>
      <w:pPr>
        <w:ind w:left="660" w:right="180" w:hanging="328"/>
        <w:spacing w:after="0" w:line="250"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Under our amended affiliate agreement, Sprint agreed to waive the Management Fees charged on both postpaid and prepaid revenues, up to $4.2 million per month, until the total amount waived reaches approximately $255.6 million, which is expected to occur in 2022.</w:t>
      </w:r>
    </w:p>
    <w:p>
      <w:pPr>
        <w:ind w:left="540" w:hanging="20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back office expenses required to support former nTelos subscribers that migrated to the Sprint back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-311785</wp:posOffset>
            </wp:positionV>
            <wp:extent cx="426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The Company generated approximately $127.1 million of net cash from operations in the first six months of 2018,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from approximately $86.8 million in the first six months of 2017.</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June 30, 2018, the Company’s gross indebtedness totaled $812.3 million, with an estimated annualized effective interest rate of 3.90%</w:t>
      </w:r>
      <w:r>
        <w:rPr>
          <w:rFonts w:ascii="Arial" w:cs="Arial" w:eastAsia="Arial" w:hAnsi="Arial"/>
          <w:sz w:val="18"/>
          <w:szCs w:val="18"/>
          <w:i w:val="1"/>
          <w:iCs w:val="1"/>
          <w:color w:val="auto"/>
        </w:rPr>
        <w:t xml:space="preserve"> </w:t>
      </w:r>
      <w:r>
        <w:rPr>
          <w:rFonts w:ascii="Arial" w:cs="Arial" w:eastAsia="Arial" w:hAnsi="Arial"/>
          <w:sz w:val="18"/>
          <w:szCs w:val="18"/>
          <w:color w:val="auto"/>
        </w:rPr>
        <w:t>after considering the impact of the interest rate swap contracts and unamortized loan costs, and is inclusive of the Credit Facility Modification that (a) was effective February 16, 2018 and (b) reduced the base rate of each term loan and the revolving facility by 50 basis points. The balance consisted of the $412.3 million Term Loan A-1 at a variable rate (4.23% as of June 30, 2018) that resets monthly based on one month LIBOR plus a margin of 2.25%, and the $400.0 million Term Loan A-2 at a variable rate (4.48% as of June 30, 2018) that resets monthly based on one month LIBOR plus a margin of 2.50%. The Term Loan A-1 requires quarterly principal repayments of $12.1 million quarterly through June 2020, with further increases at that time through maturity in 2021. The Term Loan A-2 requires quarterly principal repayments of $10.0 million beginning September 30, 2018 through March 31, 2023, with the remaining balance due June 30, 2023.</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is subject to certain financial covenants measured on a trailing twelve month basis each calendar quarter unless otherwise specified. These covenants include:</w:t>
      </w:r>
    </w:p>
    <w:p>
      <w:pPr>
        <w:spacing w:after="0" w:line="170" w:lineRule="exact"/>
        <w:rPr>
          <w:sz w:val="20"/>
          <w:szCs w:val="20"/>
          <w:color w:val="auto"/>
        </w:rPr>
      </w:pPr>
    </w:p>
    <w:p>
      <w:pPr>
        <w:ind w:left="500" w:right="60" w:hanging="316"/>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00" w:right="240" w:hanging="316"/>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minus certain cash taxes divided by the sum of all scheduled principal payments on the Term Loans and other indebtedness plus cash interest expense, greater than 2.00 to 1.00; and</w:t>
      </w:r>
    </w:p>
    <w:p>
      <w:pPr>
        <w:spacing w:after="0" w:line="170" w:lineRule="exact"/>
        <w:rPr>
          <w:rFonts w:ascii="Arial" w:cs="Arial" w:eastAsia="Arial" w:hAnsi="Arial"/>
          <w:sz w:val="18"/>
          <w:szCs w:val="18"/>
          <w:color w:val="auto"/>
        </w:rPr>
      </w:pPr>
    </w:p>
    <w:p>
      <w:pPr>
        <w:jc w:val="both"/>
        <w:ind w:left="500" w:right="60" w:hanging="316"/>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 minimum liquidity balance of greater than $25 million. The balance includes amounts available under the revolver facility plus unrestricted cash and cash equivalents on deposit in a deposit account for which a control agreement has been delivered to the administrative agent under the 2016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the Company was in compliance with the financial covenants in its credit agreements, and ratios as of June 30, 2018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580" w:type="dxa"/>
            <w:vAlign w:val="bottom"/>
            <w:gridSpan w:val="2"/>
          </w:tcPr>
          <w:p>
            <w:pPr>
              <w:ind w:left="500"/>
              <w:spacing w:after="0"/>
              <w:rPr>
                <w:sz w:val="20"/>
                <w:szCs w:val="20"/>
                <w:color w:val="auto"/>
              </w:rPr>
            </w:pPr>
            <w:r>
              <w:rPr>
                <w:rFonts w:ascii="Arial" w:cs="Arial" w:eastAsia="Arial" w:hAnsi="Arial"/>
                <w:sz w:val="16"/>
                <w:szCs w:val="16"/>
                <w:b w:val="1"/>
                <w:bCs w:val="1"/>
                <w:color w:val="auto"/>
              </w:rPr>
              <w:t>Actual</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1"/>
              </w:rPr>
              <w:t>Covenant Requirement</w:t>
            </w:r>
          </w:p>
        </w:tc>
        <w:tc>
          <w:tcPr>
            <w:tcW w:w="0" w:type="dxa"/>
            <w:vAlign w:val="bottom"/>
          </w:tcPr>
          <w:p>
            <w:pPr>
              <w:spacing w:after="0"/>
              <w:rPr>
                <w:sz w:val="1"/>
                <w:szCs w:val="1"/>
                <w:color w:val="auto"/>
              </w:rPr>
            </w:pPr>
          </w:p>
        </w:tc>
      </w:tr>
      <w:tr>
        <w:trPr>
          <w:trHeight w:val="33"/>
        </w:trPr>
        <w:tc>
          <w:tcPr>
            <w:tcW w:w="72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3.75 or Lower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Minimum Liquidity Balance (in thousands)</w:t>
            </w:r>
          </w:p>
        </w:tc>
        <w:tc>
          <w:tcPr>
            <w:tcW w:w="1460" w:type="dxa"/>
            <w:vAlign w:val="bottom"/>
          </w:tcPr>
          <w:p>
            <w:pPr>
              <w:jc w:val="right"/>
              <w:spacing w:after="0"/>
              <w:rPr>
                <w:sz w:val="20"/>
                <w:szCs w:val="20"/>
                <w:color w:val="auto"/>
              </w:rPr>
            </w:pPr>
            <w:r>
              <w:rPr>
                <w:rFonts w:ascii="Arial" w:cs="Arial" w:eastAsia="Arial" w:hAnsi="Arial"/>
                <w:sz w:val="18"/>
                <w:szCs w:val="18"/>
                <w:color w:val="auto"/>
              </w:rPr>
              <w:t>$139,333</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$25 million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Capital Commitments. </w:t>
      </w:r>
      <w:r>
        <w:rPr>
          <w:rFonts w:ascii="Arial" w:cs="Arial" w:eastAsia="Arial" w:hAnsi="Arial"/>
          <w:sz w:val="16"/>
          <w:szCs w:val="16"/>
          <w:color w:val="auto"/>
        </w:rPr>
        <w:t>Capital expenditures budgeted for 2018 are approximately $163 million, including $103 million in the Wireless segment primarily for</w:t>
      </w:r>
      <w:r>
        <w:rPr>
          <w:rFonts w:ascii="Arial" w:cs="Arial" w:eastAsia="Arial" w:hAnsi="Arial"/>
          <w:sz w:val="16"/>
          <w:szCs w:val="16"/>
          <w:i w:val="1"/>
          <w:iCs w:val="1"/>
          <w:color w:val="auto"/>
        </w:rPr>
        <w:t xml:space="preserve"> </w:t>
      </w:r>
      <w:r>
        <w:rPr>
          <w:rFonts w:ascii="Arial" w:cs="Arial" w:eastAsia="Arial" w:hAnsi="Arial"/>
          <w:sz w:val="16"/>
          <w:szCs w:val="16"/>
          <w:color w:val="auto"/>
        </w:rPr>
        <w:t>upgrades and expansion of the nTelos wireless network. In addition, $29 million is budgeted primarily for cable network expansion including new fiber routes and cable market expansion, $22 million in Wireline projects including fiber builds in Pennsylvania and other areas, and $9 million primarily for IT projects.</w:t>
      </w:r>
    </w:p>
    <w:p>
      <w:pPr>
        <w:spacing w:after="0" w:line="147"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The Company spent $62.3 million on capital projects in the first six months of 2018, compared to $68.8 million in the comparable 2017 period. Spending related to Wireless projects accounted for $34.9 million in the first six months of 2018, primarily for upgrades to the recently acquired expansion areas and continued expansion of coverage in the former nTelos territory. Cable capital spending of $14.2 million related to network and cable market expansion.</w:t>
      </w:r>
    </w:p>
    <w:p>
      <w:pPr>
        <w:ind w:right="880"/>
        <w:spacing w:after="0" w:line="261" w:lineRule="auto"/>
        <w:rPr>
          <w:sz w:val="20"/>
          <w:szCs w:val="20"/>
          <w:color w:val="auto"/>
        </w:rPr>
      </w:pPr>
      <w:r>
        <w:rPr>
          <w:rFonts w:ascii="Arial" w:cs="Arial" w:eastAsia="Arial" w:hAnsi="Arial"/>
          <w:sz w:val="18"/>
          <w:szCs w:val="18"/>
          <w:color w:val="auto"/>
        </w:rPr>
        <w:t>Wireline capital projects cost $9.6 million, driven primarily by fiber builds and increased capacity projects. The remaining $3.6 million of capital expenditures is largely related to information technology projects and fleet vehicles.</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 can be no assurance that we will continue to generate cash flows at or above current levels or that we will be able to maintain our ability to borrow under our credit facilities. Thereafter, capital expenditures will likely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new market developments and expansion opportunities.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the preparation of our unaudited condensed consolidated financial statements. For a more detailed discussion of our critical accounting policies, please refer to our 2017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Recently issued accounting standards and their expected impact, if any,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of the notes to our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240" w:top="125" w:right="55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June 30, 2018, the Company had $812.3 million of gross variable rate debt outstanding, with unamortized loan fees and costs of $12.4 million, bearing interest at a weighted average rate of 3.90% as determined on a quarterly basis. An increase in market interest rates of 1.00% would add approximately $7.8 million to annual interest expense, excluding the effect of the interest rate swap. In May 2016, the Company entered into a pay-fixed, receive-variable interest rate swap with three counterparties totaling $256.6 of notional principal (subject to change based upon expected draws under the delayed draw term loan and principal payments due under our debt agreements). These swaps, combined with the swap purchased in 2012, cover notional principal equal to approximately 50% of the outstanding variable rate debt through maturity in 2023. The Company is required to pay a combined fixed rate of approximately 1.16% and receive a variable rate based on one month LIBOR</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(1.98% for June 2018),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$4.6 million, based on the spread between the fixed rate and the variable rate currently in effect on our debt.</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June 30, 2018, the Company has $406.1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Management, with the participation of our President and Chief Executive Officer, who is the principal executive officer, and the Senior Vice President - Finance and Chief Financial Officer, who is the principal financial officer, conducted an evaluation of our disclosure controls and procedures, (as defined by Rule 13a-15(e) under the Securities Exchange Act of 1934), as of the end of the period covered by this Quarterly report on Form 10-Q.</w:t>
      </w:r>
    </w:p>
    <w:p>
      <w:pPr>
        <w:spacing w:after="0" w:line="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disclosed in our Annual Report on Form 10-K for our fiscal year ended December 31, 2017,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and our Senior Vice President - Finance and Chief Financial Officer have concluded that our disclosure controls and procedures continued to be ineffective as of June 30, 2018.</w:t>
      </w:r>
    </w:p>
    <w:p>
      <w:pPr>
        <w:spacing w:after="0" w:line="10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as of June 30, 2018, that have materially affected or are reasonably likely to material affect, the Company’s internal control over financial reporting.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continuing to implement the remediation plans as disclosed in our Annual Report on Form 10-K for our fiscal year ended December 31, 2017. We believe that these actions and the improvements we expect to achieve will effectively remediate the material weaknesses. However, these material weaknesses will not be considered remediated until the enhanced controls operate for a sufficient period of time and management has concluded that these controls are operating effectively.</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June 30, 2018, the Company has not identified any needed updates to the risk factors included in our most recent Form 10-K.</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the Company’s shares surrendered for the settlement of payroll taxes and exercise prices for options as related to equity award vesting and exercise events, during the three months ended June 30, 2018:</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 of Shares</w:t>
            </w:r>
          </w:p>
        </w:tc>
        <w:tc>
          <w:tcPr>
            <w:tcW w:w="26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Average Price</w:t>
            </w:r>
          </w:p>
        </w:tc>
      </w:tr>
      <w:tr>
        <w:trPr>
          <w:trHeight w:val="230"/>
        </w:trPr>
        <w:tc>
          <w:tcPr>
            <w:tcW w:w="2440" w:type="dxa"/>
            <w:vAlign w:val="bottom"/>
          </w:tcPr>
          <w:p>
            <w:pPr>
              <w:spacing w:after="0"/>
              <w:rPr>
                <w:sz w:val="20"/>
                <w:szCs w:val="20"/>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color w:val="auto"/>
                <w:w w:val="96"/>
              </w:rPr>
              <w:t>Paid per Share</w:t>
            </w:r>
          </w:p>
        </w:tc>
      </w:tr>
      <w:tr>
        <w:trPr>
          <w:trHeight w:val="34"/>
        </w:trPr>
        <w:tc>
          <w:tcPr>
            <w:tcW w:w="24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April 1 to April 30</w:t>
            </w:r>
          </w:p>
        </w:tc>
        <w:tc>
          <w:tcPr>
            <w:tcW w:w="180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38.60</w:t>
            </w:r>
          </w:p>
        </w:tc>
      </w:tr>
      <w:tr>
        <w:trPr>
          <w:trHeight w:val="270"/>
        </w:trPr>
        <w:tc>
          <w:tcPr>
            <w:tcW w:w="2440" w:type="dxa"/>
            <w:vAlign w:val="bottom"/>
          </w:tcPr>
          <w:p>
            <w:pPr>
              <w:spacing w:after="0"/>
              <w:rPr>
                <w:sz w:val="20"/>
                <w:szCs w:val="20"/>
                <w:color w:val="auto"/>
              </w:rPr>
            </w:pPr>
            <w:r>
              <w:rPr>
                <w:rFonts w:ascii="Arial" w:cs="Arial" w:eastAsia="Arial" w:hAnsi="Arial"/>
                <w:sz w:val="18"/>
                <w:szCs w:val="18"/>
                <w:color w:val="auto"/>
              </w:rPr>
              <w:t>May 1 to May 31</w:t>
            </w:r>
          </w:p>
        </w:tc>
        <w:tc>
          <w:tcPr>
            <w:tcW w:w="180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31.42</w:t>
            </w:r>
          </w:p>
        </w:tc>
      </w:tr>
      <w:tr>
        <w:trPr>
          <w:trHeight w:val="304"/>
        </w:trPr>
        <w:tc>
          <w:tcPr>
            <w:tcW w:w="2440" w:type="dxa"/>
            <w:vAlign w:val="bottom"/>
          </w:tcPr>
          <w:p>
            <w:pPr>
              <w:spacing w:after="0"/>
              <w:rPr>
                <w:sz w:val="20"/>
                <w:szCs w:val="20"/>
                <w:color w:val="auto"/>
              </w:rPr>
            </w:pPr>
            <w:r>
              <w:rPr>
                <w:rFonts w:ascii="Arial" w:cs="Arial" w:eastAsia="Arial" w:hAnsi="Arial"/>
                <w:sz w:val="18"/>
                <w:szCs w:val="18"/>
                <w:color w:val="auto"/>
              </w:rPr>
              <w:t>June 1 to June 30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r>
      <w:tr>
        <w:trPr>
          <w:trHeight w:val="264"/>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r>
      <w:tr>
        <w:trPr>
          <w:trHeight w:val="20"/>
        </w:trPr>
        <w:tc>
          <w:tcPr>
            <w:tcW w:w="24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exhibits are filed with this Quarterly Report on Form 10-Q:</w:t>
      </w:r>
    </w:p>
    <w:p>
      <w:pPr>
        <w:spacing w:after="0" w:line="171" w:lineRule="exact"/>
        <w:rPr>
          <w:sz w:val="20"/>
          <w:szCs w:val="20"/>
          <w:color w:val="auto"/>
        </w:rPr>
      </w:pPr>
    </w:p>
    <w:p>
      <w:pPr>
        <w:ind w:left="960" w:right="500" w:hanging="688"/>
        <w:spacing w:after="0" w:line="308" w:lineRule="auto"/>
        <w:tabs>
          <w:tab w:leader="none" w:pos="9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7"/>
          <w:szCs w:val="17"/>
          <w:color w:val="auto"/>
        </w:rPr>
        <w:t>Second Amendment to Credit Agreement, dated as of February 16, 2018, by and among Shenandoah Telecommunications Company, as Borrower, CoBank, ACB, ACB, as Administrative Agent, and various other lenders named therein.</w:t>
      </w:r>
    </w:p>
    <w:p>
      <w:pPr>
        <w:spacing w:after="0" w:line="255"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333"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333" w:lineRule="exact"/>
        <w:rPr>
          <w:sz w:val="20"/>
          <w:szCs w:val="20"/>
          <w:color w:val="auto"/>
        </w:rPr>
      </w:pPr>
    </w:p>
    <w:p>
      <w:pPr>
        <w:ind w:left="28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333"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Consultant Agreement</w:t>
      </w:r>
    </w:p>
    <w:p>
      <w:pPr>
        <w:spacing w:after="0" w:line="387" w:lineRule="exact"/>
        <w:rPr>
          <w:sz w:val="20"/>
          <w:szCs w:val="20"/>
          <w:color w:val="auto"/>
        </w:rPr>
      </w:pPr>
    </w:p>
    <w:p>
      <w:pPr>
        <w:ind w:left="960" w:hanging="68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ectPr>
          <w:pgSz w:w="11900" w:h="16838" w:orient="portrait"/>
          <w:cols w:equalWidth="0" w:num="1">
            <w:col w:w="11240"/>
          </w:cols>
          <w:pgMar w:left="240" w:top="125" w:right="419" w:bottom="1440" w:gutter="0" w:footer="0" w:header="0"/>
        </w:sectPr>
      </w:pPr>
    </w:p>
    <w:p>
      <w:pPr>
        <w:spacing w:after="0" w:line="33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1640" w:space="680"/>
            <w:col w:w="8920"/>
          </w:cols>
          <w:pgMar w:left="240" w:top="125" w:right="419" w:bottom="1440" w:gutter="0" w:footer="0" w:header="0"/>
          <w:type w:val="continuous"/>
        </w:sectPr>
      </w:pPr>
    </w:p>
    <w:p>
      <w:pPr>
        <w:spacing w:after="0" w:line="15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1700" w:space="620"/>
            <w:col w:w="8920"/>
          </w:cols>
          <w:pgMar w:left="240" w:top="125" w:right="419" w:bottom="1440" w:gutter="0" w:footer="0" w:header="0"/>
          <w:type w:val="continuous"/>
        </w:sectPr>
      </w:pPr>
    </w:p>
    <w:p>
      <w:pPr>
        <w:spacing w:after="0" w:line="15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1720" w:space="600"/>
            <w:col w:w="8920"/>
          </w:cols>
          <w:pgMar w:left="240" w:top="125" w:right="419" w:bottom="1440" w:gutter="0" w:footer="0" w:header="0"/>
          <w:type w:val="continuous"/>
        </w:sectPr>
      </w:pPr>
    </w:p>
    <w:p>
      <w:pPr>
        <w:spacing w:after="0" w:line="14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38" w:orient="portrait"/>
          <w:cols w:equalWidth="0" w:num="2">
            <w:col w:w="1700" w:space="620"/>
            <w:col w:w="8920"/>
          </w:cols>
          <w:pgMar w:left="240" w:top="125" w:right="419" w:bottom="1440" w:gutter="0" w:footer="0" w:header="0"/>
          <w:type w:val="continuous"/>
        </w:sectPr>
      </w:pPr>
    </w:p>
    <w:p>
      <w:pPr>
        <w:spacing w:after="0" w:line="14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1720" w:space="600"/>
            <w:col w:w="8920"/>
          </w:cols>
          <w:pgMar w:left="240" w:top="125" w:right="419" w:bottom="1440" w:gutter="0" w:footer="0" w:header="0"/>
          <w:type w:val="continuous"/>
        </w:sectPr>
      </w:pPr>
    </w:p>
    <w:p>
      <w:pPr>
        <w:spacing w:after="0" w:line="14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680" w:space="640"/>
            <w:col w:w="8920"/>
          </w:cols>
          <w:pgMar w:left="240" w:top="125" w:right="419" w:bottom="1440" w:gutter="0" w:footer="0" w:header="0"/>
          <w:type w:val="continuous"/>
        </w:sectPr>
      </w:pPr>
    </w:p>
    <w:p>
      <w:pPr>
        <w:spacing w:after="0" w:line="3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240"/>
          </w:cols>
          <w:pgMar w:left="240" w:top="125" w:right="419" w:bottom="1440" w:gutter="0" w:footer="0" w:header="0"/>
          <w:type w:val="continuous"/>
        </w:sectPr>
      </w:pPr>
    </w:p>
    <w:p>
      <w:pPr>
        <w:spacing w:after="0" w:line="360" w:lineRule="exact"/>
        <w:rPr>
          <w:sz w:val="20"/>
          <w:szCs w:val="20"/>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125" w:right="41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383" w:lineRule="exact"/>
        <w:rPr>
          <w:sz w:val="20"/>
          <w:szCs w:val="20"/>
          <w:color w:val="auto"/>
        </w:rPr>
      </w:pPr>
    </w:p>
    <w:p>
      <w:pPr>
        <w:ind w:left="180"/>
        <w:spacing w:after="0"/>
        <w:tabs>
          <w:tab w:leader="none" w:pos="57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Exhibit</w:t>
      </w:r>
    </w:p>
    <w:p>
      <w:pPr>
        <w:spacing w:after="0" w:line="364" w:lineRule="exact"/>
        <w:rPr>
          <w:sz w:val="20"/>
          <w:szCs w:val="20"/>
          <w:color w:val="auto"/>
        </w:rPr>
      </w:pPr>
    </w:p>
    <w:p>
      <w:pPr>
        <w:ind w:left="1260" w:right="400" w:hanging="836"/>
        <w:spacing w:after="0" w:line="308" w:lineRule="auto"/>
        <w:tabs>
          <w:tab w:leader="none" w:pos="1240" w:val="left"/>
        </w:tabs>
        <w:rPr>
          <w:rFonts w:ascii="Arial" w:cs="Arial" w:eastAsia="Arial" w:hAnsi="Arial"/>
          <w:sz w:val="18"/>
          <w:szCs w:val="18"/>
          <w:color w:val="0000FF"/>
        </w:rPr>
      </w:pPr>
      <w:hyperlink r:id="rId19">
        <w:r>
          <w:rPr>
            <w:rFonts w:ascii="Arial" w:cs="Arial" w:eastAsia="Arial" w:hAnsi="Arial"/>
            <w:sz w:val="18"/>
            <w:szCs w:val="18"/>
            <w:u w:val="single" w:color="auto"/>
            <w:color w:val="0000FF"/>
          </w:rPr>
          <w:t>10.50</w:t>
        </w:r>
      </w:hyperlink>
      <w:r>
        <w:rPr>
          <w:rFonts w:ascii="Arial" w:cs="Arial" w:eastAsia="Arial" w:hAnsi="Arial"/>
          <w:sz w:val="18"/>
          <w:szCs w:val="18"/>
          <w:color w:val="0000FF"/>
        </w:rPr>
        <w:tab/>
      </w:r>
      <w:r>
        <w:rPr>
          <w:rFonts w:ascii="Arial" w:cs="Arial" w:eastAsia="Arial" w:hAnsi="Arial"/>
          <w:sz w:val="17"/>
          <w:szCs w:val="17"/>
          <w:color w:val="0000FF"/>
        </w:rPr>
        <w:t>Second Amendment to Credit Agreement, dated as of February 16, 2018, by and among Shenandoah Telecommunications Company, as Borrower, CoBank, ACB, ACB, as Administrative Agent, and various other lenders named therein.</w:t>
      </w:r>
    </w:p>
    <w:p>
      <w:pPr>
        <w:spacing w:after="0" w:line="255" w:lineRule="exact"/>
        <w:rPr>
          <w:sz w:val="20"/>
          <w:szCs w:val="20"/>
          <w:color w:val="auto"/>
        </w:rPr>
      </w:pPr>
    </w:p>
    <w:p>
      <w:pPr>
        <w:ind w:left="420"/>
        <w:spacing w:after="0"/>
        <w:tabs>
          <w:tab w:leader="none" w:pos="1240" w:val="left"/>
        </w:tabs>
        <w:rPr>
          <w:rFonts w:ascii="Arial" w:cs="Arial" w:eastAsia="Arial" w:hAnsi="Arial"/>
          <w:sz w:val="18"/>
          <w:szCs w:val="18"/>
          <w:color w:val="0000FF"/>
        </w:rPr>
      </w:pPr>
      <w:hyperlink w:anchor="page52">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President and Chief Executive Officer pursuant to Rule 13a-14(a) under the Securities Exchange Act of 1934.</w:t>
      </w:r>
    </w:p>
    <w:p>
      <w:pPr>
        <w:spacing w:after="0" w:line="333" w:lineRule="exact"/>
        <w:rPr>
          <w:sz w:val="20"/>
          <w:szCs w:val="20"/>
          <w:color w:val="auto"/>
        </w:rPr>
      </w:pPr>
    </w:p>
    <w:p>
      <w:pPr>
        <w:ind w:left="420"/>
        <w:spacing w:after="0"/>
        <w:tabs>
          <w:tab w:leader="none" w:pos="1240" w:val="left"/>
        </w:tabs>
        <w:rPr>
          <w:rFonts w:ascii="Arial" w:cs="Arial" w:eastAsia="Arial" w:hAnsi="Arial"/>
          <w:sz w:val="18"/>
          <w:szCs w:val="18"/>
          <w:color w:val="0000FF"/>
        </w:rPr>
      </w:pPr>
      <w:hyperlink w:anchor="page53">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Vice President - Finance and Chief Financial Officer pursuant to Rule 13a-14(a) under the Securities Exchange Act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1934.</w:t>
      </w:r>
    </w:p>
    <w:p>
      <w:pPr>
        <w:spacing w:after="0" w:line="319" w:lineRule="exact"/>
        <w:rPr>
          <w:sz w:val="20"/>
          <w:szCs w:val="20"/>
          <w:color w:val="auto"/>
        </w:rPr>
      </w:pPr>
    </w:p>
    <w:p>
      <w:pPr>
        <w:ind w:left="440"/>
        <w:spacing w:after="0"/>
        <w:tabs>
          <w:tab w:leader="none" w:pos="1240" w:val="left"/>
        </w:tabs>
        <w:rPr>
          <w:rFonts w:ascii="Arial" w:cs="Arial" w:eastAsia="Arial" w:hAnsi="Arial"/>
          <w:sz w:val="18"/>
          <w:szCs w:val="18"/>
          <w:color w:val="0000FF"/>
        </w:rPr>
      </w:pPr>
      <w:hyperlink w:anchor="page54">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387"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w:anchor="page55">
        <w:r>
          <w:rPr>
            <w:rFonts w:ascii="Arial" w:cs="Arial" w:eastAsia="Arial" w:hAnsi="Arial"/>
            <w:sz w:val="18"/>
            <w:szCs w:val="18"/>
            <w:u w:val="single" w:color="auto"/>
            <w:color w:val="0000FF"/>
          </w:rPr>
          <w:t>99.1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Consultant Agreement</w:t>
      </w:r>
    </w:p>
    <w:p>
      <w:pPr>
        <w:spacing w:after="0" w:line="333" w:lineRule="exact"/>
        <w:rPr>
          <w:sz w:val="20"/>
          <w:szCs w:val="20"/>
          <w:color w:val="auto"/>
        </w:rPr>
      </w:pPr>
    </w:p>
    <w:p>
      <w:pPr>
        <w:ind w:left="1260" w:hanging="839"/>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482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820" w:type="dxa"/>
            <w:vAlign w:val="bottom"/>
          </w:tcPr>
          <w:p>
            <w:pPr>
              <w:ind w:left="3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820" w:type="dxa"/>
            <w:vAlign w:val="bottom"/>
          </w:tcPr>
          <w:p>
            <w:pPr>
              <w:ind w:left="3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820" w:type="dxa"/>
            <w:vAlign w:val="bottom"/>
          </w:tcPr>
          <w:p>
            <w:pPr>
              <w:ind w:left="3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8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0" w:lineRule="exact"/>
        <w:rPr>
          <w:sz w:val="20"/>
          <w:szCs w:val="20"/>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125" w:right="41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SHENANDOAH TELECOMMUNICATIONS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/s/JAMES F. WOODWARD</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F. Woodward</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Senior Vice President – Finance and Chief Financial Officer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August 7,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00"/>
          </w:cols>
          <w:pgMar w:left="240" w:top="125" w:right="10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F. Woodward,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F. WOODWARD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F. Woodward, Senior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260" w:firstLine="656"/>
        <w:spacing w:after="0" w:line="342" w:lineRule="auto"/>
        <w:tabs>
          <w:tab w:leader="none" w:pos="13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June 30, 2018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August 7, 2018</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/S/JAMES F. WOODWARD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James F. Woodward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 Finance and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August 7, 2018</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10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9" Type="http://schemas.openxmlformats.org/officeDocument/2006/relationships/hyperlink" Target="http://www.sec.gov/Archives/edgar/data/354963/000117184318001225/exh_105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2019-12-28T20:48:10Z</dcterms:created>
  <dcterms:modified xsi:type="dcterms:W3CDTF">2019-12-28T20:48:10Z</dcterms:modified>
</cp:coreProperties>
</file>