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 OF AMERICA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jc w:val="center"/>
        <w:ind w:right="-19"/>
        <w:spacing w:after="0" w:line="230" w:lineRule="auto"/>
        <w:rPr>
          <w:sz w:val="20"/>
          <w:szCs w:val="20"/>
          <w:color w:val="auto"/>
        </w:rPr>
      </w:pPr>
      <w:r>
        <w:rPr>
          <w:rFonts w:ascii="Arial" w:cs="Arial" w:eastAsia="Arial" w:hAnsi="Arial"/>
          <w:sz w:val="22"/>
          <w:szCs w:val="22"/>
          <w:color w:val="auto"/>
        </w:rPr>
        <w:t>Washington, D. C. 20549</w:t>
      </w: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500" w:right="2240" w:hanging="492"/>
        <w:spacing w:after="0" w:line="250"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2015</w:t>
      </w:r>
    </w:p>
    <w:p>
      <w:pPr>
        <w:spacing w:after="0" w:line="1" w:lineRule="exact"/>
        <w:rPr>
          <w:sz w:val="24"/>
          <w:szCs w:val="24"/>
          <w:color w:val="auto"/>
        </w:rPr>
      </w:pPr>
    </w:p>
    <w:p>
      <w:pPr>
        <w:ind w:left="500" w:right="2220" w:hanging="492"/>
        <w:spacing w:after="0" w:line="266"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169545</wp:posOffset>
            </wp:positionV>
            <wp:extent cx="234124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4124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SHENANDOAH TELECOMMUNICATIONS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1" w:right="239" w:bottom="1440" w:gutter="0" w:footer="0" w:header="0"/>
        </w:sectPr>
      </w:pPr>
    </w:p>
    <w:p>
      <w:pPr>
        <w:spacing w:after="0" w:line="23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54-1162807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541" w:right="239" w:bottom="1440" w:gutter="0" w:footer="0" w:header="0"/>
          <w:type w:val="continuous"/>
        </w:sectPr>
      </w:pPr>
    </w:p>
    <w:p>
      <w:pPr>
        <w:spacing w:after="0" w:line="49"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500 Shentel Way, Edinburg, Virginia</w:t>
      </w:r>
    </w:p>
    <w:p>
      <w:pPr>
        <w:spacing w:after="0" w:line="4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22824</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541" w:right="239" w:bottom="1440" w:gutter="0" w:footer="0" w:header="0"/>
          <w:type w:val="continuous"/>
        </w:sectPr>
      </w:pP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(540) 984-4141</w:t>
      </w:r>
    </w:p>
    <w:p>
      <w:pPr>
        <w:sectPr>
          <w:pgSz w:w="11900" w:h="16838" w:orient="portrait"/>
          <w:cols w:equalWidth="0" w:num="1">
            <w:col w:w="11420"/>
          </w:cols>
          <w:pgMar w:left="240" w:top="541" w:right="23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July 23, 2015 was 24,198,020.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0"/>
        </w:trPr>
        <w:tc>
          <w:tcPr>
            <w:tcW w:w="900" w:type="dxa"/>
            <w:vAlign w:val="bottom"/>
            <w:gridSpan w:val="2"/>
            <w:vMerge w:val="restart"/>
          </w:tcPr>
          <w:p>
            <w:pPr>
              <w:spacing w:after="0"/>
              <w:rPr>
                <w:sz w:val="20"/>
                <w:szCs w:val="20"/>
                <w:color w:val="auto"/>
              </w:rPr>
            </w:pPr>
            <w:r>
              <w:rPr>
                <w:rFonts w:ascii="Arial" w:cs="Arial" w:eastAsia="Arial" w:hAnsi="Arial"/>
                <w:sz w:val="18"/>
                <w:szCs w:val="18"/>
                <w:color w:val="auto"/>
              </w:rPr>
              <w:t>PART I.</w:t>
            </w:r>
          </w:p>
        </w:tc>
        <w:tc>
          <w:tcPr>
            <w:tcW w:w="9860" w:type="dxa"/>
            <w:vAlign w:val="bottom"/>
            <w:gridSpan w:val="15"/>
            <w:vMerge w:val="restart"/>
          </w:tcPr>
          <w:p>
            <w:pPr>
              <w:spacing w:after="0"/>
              <w:rPr>
                <w:sz w:val="20"/>
                <w:szCs w:val="20"/>
                <w:color w:val="auto"/>
              </w:rPr>
            </w:pPr>
            <w:r>
              <w:rPr>
                <w:rFonts w:ascii="Arial" w:cs="Arial" w:eastAsia="Arial" w:hAnsi="Arial"/>
                <w:sz w:val="18"/>
                <w:szCs w:val="18"/>
                <w:color w:val="auto"/>
              </w:rPr>
              <w:t>FINANCIAL INFORMATION</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Numbers</w:t>
            </w:r>
          </w:p>
        </w:tc>
        <w:tc>
          <w:tcPr>
            <w:tcW w:w="0" w:type="dxa"/>
            <w:vAlign w:val="bottom"/>
          </w:tcPr>
          <w:p>
            <w:pPr>
              <w:spacing w:after="0"/>
              <w:rPr>
                <w:sz w:val="1"/>
                <w:szCs w:val="1"/>
                <w:color w:val="auto"/>
              </w:rPr>
            </w:pPr>
          </w:p>
        </w:tc>
      </w:tr>
      <w:tr>
        <w:trPr>
          <w:trHeight w:val="216"/>
        </w:trPr>
        <w:tc>
          <w:tcPr>
            <w:tcW w:w="900" w:type="dxa"/>
            <w:vAlign w:val="bottom"/>
            <w:gridSpan w:val="2"/>
            <w:vMerge w:val="continue"/>
          </w:tcPr>
          <w:p>
            <w:pPr>
              <w:spacing w:after="0"/>
              <w:rPr>
                <w:sz w:val="18"/>
                <w:szCs w:val="18"/>
                <w:color w:val="auto"/>
              </w:rPr>
            </w:pPr>
          </w:p>
        </w:tc>
        <w:tc>
          <w:tcPr>
            <w:tcW w:w="9860" w:type="dxa"/>
            <w:vAlign w:val="bottom"/>
            <w:gridSpan w:val="15"/>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6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June 30, 2015 and December 31, 2014</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Income and Comprehensive Income for the Three and Six Months Ended June 30, 2015 and 2014</w:t>
              </w:r>
            </w:hyperlink>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860" w:type="dxa"/>
            <w:vAlign w:val="bottom"/>
            <w:gridSpan w:val="15"/>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Statements of Shareholders’ Equity for the Six Months Ended June 30, 2015 and the Year Ended December 31,</w:t>
              </w:r>
            </w:hyperlink>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0000EE"/>
            </w:tcBorders>
            <w:gridSpan w:val="2"/>
            <w:shd w:val="clear" w:color="auto" w:fill="CCEEFF"/>
          </w:tcPr>
          <w:p>
            <w:pPr>
              <w:ind w:left="16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2014</w:t>
              </w:r>
            </w:hyperlink>
          </w:p>
        </w:tc>
        <w:tc>
          <w:tcPr>
            <w:tcW w:w="8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780" w:type="dxa"/>
            <w:vAlign w:val="bottom"/>
            <w:tcBorders>
              <w:top w:val="single" w:sz="8" w:color="0000EE"/>
            </w:tcBorders>
            <w:shd w:val="clear" w:color="auto" w:fill="CCEEFF"/>
          </w:tcPr>
          <w:p>
            <w:pPr>
              <w:spacing w:after="0"/>
              <w:rPr>
                <w:sz w:val="18"/>
                <w:szCs w:val="18"/>
                <w:color w:val="auto"/>
              </w:rPr>
            </w:pPr>
          </w:p>
        </w:tc>
        <w:tc>
          <w:tcPr>
            <w:tcW w:w="218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36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24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60" w:type="dxa"/>
            <w:vAlign w:val="bottom"/>
            <w:gridSpan w:val="15"/>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Cash Flows for the Six Months Ended June 30, 2015 and 2014</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60" w:type="dxa"/>
            <w:vAlign w:val="bottom"/>
            <w:gridSpan w:val="15"/>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9-13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60" w:type="dxa"/>
            <w:vAlign w:val="bottom"/>
            <w:gridSpan w:val="15"/>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860" w:type="dxa"/>
            <w:vAlign w:val="bottom"/>
            <w:gridSpan w:val="1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860" w:type="dxa"/>
            <w:vAlign w:val="bottom"/>
            <w:gridSpan w:val="1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9860" w:type="dxa"/>
            <w:vAlign w:val="bottom"/>
            <w:gridSpan w:val="15"/>
          </w:tcPr>
          <w:p>
            <w:pPr>
              <w:spacing w:after="0"/>
              <w:rPr>
                <w:sz w:val="20"/>
                <w:szCs w:val="20"/>
                <w:color w:val="auto"/>
              </w:rPr>
            </w:pPr>
            <w:r>
              <w:rPr>
                <w:rFonts w:ascii="Arial" w:cs="Arial" w:eastAsia="Arial" w:hAnsi="Arial"/>
                <w:sz w:val="18"/>
                <w:szCs w:val="18"/>
                <w:color w:val="auto"/>
              </w:rPr>
              <w:t>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860" w:type="dxa"/>
            <w:vAlign w:val="bottom"/>
            <w:gridSpan w:val="15"/>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60" w:type="dxa"/>
            <w:vAlign w:val="bottom"/>
            <w:gridSpan w:val="15"/>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860" w:type="dxa"/>
            <w:vAlign w:val="bottom"/>
            <w:gridSpan w:val="15"/>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60" w:type="dxa"/>
            <w:vAlign w:val="bottom"/>
            <w:gridSpan w:val="15"/>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60" w:type="dxa"/>
            <w:vAlign w:val="bottom"/>
            <w:gridSpan w:val="15"/>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Exhibit Index</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980" w:type="dxa"/>
            <w:vAlign w:val="bottom"/>
            <w:tcBorders>
              <w:top w:val="single" w:sz="8" w:color="0000EE"/>
            </w:tcBorders>
            <w:gridSpan w:val="6"/>
          </w:tcPr>
          <w:p>
            <w:pPr>
              <w:spacing w:after="0"/>
              <w:rPr>
                <w:sz w:val="24"/>
                <w:szCs w:val="24"/>
                <w:color w:val="auto"/>
              </w:rPr>
            </w:pPr>
          </w:p>
        </w:tc>
        <w:tc>
          <w:tcPr>
            <w:tcW w:w="4720" w:type="dxa"/>
            <w:vAlign w:val="bottom"/>
            <w:tcBorders>
              <w:top w:val="single" w:sz="8" w:color="CCEEFF"/>
            </w:tcBorders>
            <w:gridSpan w:val="5"/>
          </w:tcPr>
          <w:p>
            <w:pPr>
              <w:jc w:val="right"/>
              <w:ind w:right="860"/>
              <w:spacing w:after="0"/>
              <w:rPr>
                <w:sz w:val="20"/>
                <w:szCs w:val="20"/>
                <w:color w:val="auto"/>
              </w:rPr>
            </w:pPr>
            <w:r>
              <w:rPr>
                <w:rFonts w:ascii="Arial" w:cs="Arial" w:eastAsia="Arial" w:hAnsi="Arial"/>
                <w:sz w:val="14"/>
                <w:szCs w:val="14"/>
                <w:color w:val="auto"/>
              </w:rPr>
              <w:t>2</w:t>
            </w:r>
          </w:p>
        </w:tc>
        <w:tc>
          <w:tcPr>
            <w:tcW w:w="7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24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w w:val="95"/>
              </w:rPr>
              <w:t>June 30,</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auto"/>
            </w:tcBorders>
            <w:gridSpan w:val="3"/>
            <w:vMerge w:val="continue"/>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92,137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29,806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receivable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Materials and supplies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5,708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5,577</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134,402</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including $2,752 and $2,661 carried at fair value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10,526</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402,877</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67,535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charges and other assets, net</w:t>
            </w:r>
          </w:p>
        </w:tc>
        <w:tc>
          <w:tcPr>
            <w:tcW w:w="1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6,917</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Other assets, net</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74,452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622,257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w w:val="95"/>
              </w:rPr>
              <w:t>June 30,</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auto"/>
            </w:tcBorders>
            <w:gridSpan w:val="3"/>
            <w:vMerge w:val="continue"/>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9,410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Advanced billings and customer deposits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11,373</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Accrued compensation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3,480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Accrued liabilities and other</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55,688</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189,750</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lease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Asset retirement obligations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jc w:val="right"/>
        <w:ind w:right="5360"/>
        <w:spacing w:after="0"/>
        <w:rPr>
          <w:sz w:val="20"/>
          <w:szCs w:val="20"/>
          <w:color w:val="auto"/>
        </w:rPr>
      </w:pPr>
      <w:r>
        <w:rPr>
          <w:rFonts w:ascii="Arial" w:cs="Arial" w:eastAsia="Arial" w:hAnsi="Arial"/>
          <w:sz w:val="18"/>
          <w:szCs w:val="18"/>
          <w:b w:val="1"/>
          <w:bCs w:val="1"/>
          <w:color w:val="auto"/>
        </w:rPr>
        <w:t>Total other long-term liabilities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72,241</w:t>
            </w:r>
          </w:p>
        </w:tc>
        <w:tc>
          <w:tcPr>
            <w:tcW w:w="980" w:type="dxa"/>
            <w:vAlign w:val="bottom"/>
          </w:tcPr>
          <w:p>
            <w:pPr>
              <w:jc w:val="right"/>
              <w:spacing w:after="0"/>
              <w:rPr>
                <w:sz w:val="20"/>
                <w:szCs w:val="20"/>
                <w:color w:val="auto"/>
              </w:rPr>
            </w:pPr>
            <w:r>
              <w:rPr>
                <w:rFonts w:ascii="Arial" w:cs="Arial" w:eastAsia="Arial" w:hAnsi="Arial"/>
                <w:sz w:val="18"/>
                <w:szCs w:val="18"/>
                <w:color w:val="auto"/>
              </w:rPr>
              <w:t>76,777</w:t>
            </w:r>
          </w:p>
        </w:tc>
      </w:tr>
      <w:tr>
        <w:trPr>
          <w:trHeight w:val="216"/>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7,686</w:t>
            </w:r>
          </w:p>
        </w:tc>
        <w:tc>
          <w:tcPr>
            <w:tcW w:w="980" w:type="dxa"/>
            <w:vAlign w:val="bottom"/>
          </w:tcPr>
          <w:p>
            <w:pPr>
              <w:jc w:val="right"/>
              <w:spacing w:after="0"/>
              <w:rPr>
                <w:sz w:val="20"/>
                <w:szCs w:val="20"/>
                <w:color w:val="auto"/>
              </w:rPr>
            </w:pPr>
            <w:r>
              <w:rPr>
                <w:rFonts w:ascii="Arial" w:cs="Arial" w:eastAsia="Arial" w:hAnsi="Arial"/>
                <w:sz w:val="18"/>
                <w:szCs w:val="18"/>
                <w:color w:val="auto"/>
              </w:rPr>
              <w:t>7,180</w:t>
            </w:r>
          </w:p>
        </w:tc>
      </w:tr>
      <w:tr>
        <w:trPr>
          <w:trHeight w:val="216"/>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7,522</w:t>
            </w:r>
          </w:p>
        </w:tc>
        <w:tc>
          <w:tcPr>
            <w:tcW w:w="980" w:type="dxa"/>
            <w:vAlign w:val="bottom"/>
          </w:tcPr>
          <w:p>
            <w:pPr>
              <w:jc w:val="right"/>
              <w:spacing w:after="0"/>
              <w:rPr>
                <w:sz w:val="20"/>
                <w:szCs w:val="20"/>
                <w:color w:val="auto"/>
              </w:rPr>
            </w:pPr>
            <w:r>
              <w:rPr>
                <w:rFonts w:ascii="Arial" w:cs="Arial" w:eastAsia="Arial" w:hAnsi="Arial"/>
                <w:sz w:val="18"/>
                <w:szCs w:val="18"/>
                <w:color w:val="auto"/>
              </w:rPr>
              <w:t>6,928</w:t>
            </w:r>
          </w:p>
        </w:tc>
      </w:tr>
      <w:tr>
        <w:trPr>
          <w:trHeight w:val="237"/>
        </w:trPr>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9,653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9,607</w:t>
            </w:r>
          </w:p>
        </w:tc>
      </w:tr>
      <w:tr>
        <w:trPr>
          <w:trHeight w:val="223"/>
        </w:trPr>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97,102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100,492</w:t>
            </w:r>
          </w:p>
        </w:tc>
      </w:tr>
    </w:tbl>
    <w:p>
      <w:pPr>
        <w:spacing w:after="0" w:line="20" w:lineRule="exact"/>
        <w:rPr>
          <w:sz w:val="20"/>
          <w:szCs w:val="20"/>
          <w:color w:val="auto"/>
        </w:rPr>
      </w:pPr>
    </w:p>
    <w:p>
      <w:pPr>
        <w:sectPr>
          <w:pgSz w:w="11900" w:h="16838" w:orient="portrait"/>
          <w:cols w:equalWidth="0" w:num="2">
            <w:col w:w="8100" w:space="720"/>
            <w:col w:w="2600"/>
          </w:cols>
          <w:pgMar w:left="240" w:top="11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Shareholders’ Equity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30,904</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248,272</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320"/>
              <w:spacing w:after="0"/>
              <w:rPr>
                <w:sz w:val="20"/>
                <w:szCs w:val="20"/>
                <w:color w:val="auto"/>
              </w:rPr>
            </w:pPr>
            <w:r>
              <w:rPr>
                <w:rFonts w:ascii="Arial" w:cs="Arial" w:eastAsia="Arial" w:hAnsi="Arial"/>
                <w:sz w:val="18"/>
                <w:szCs w:val="18"/>
                <w:b w:val="1"/>
                <w:bCs w:val="1"/>
                <w:color w:val="auto"/>
              </w:rPr>
              <w:t>Total shareholders’ equity</w:t>
            </w:r>
          </w:p>
        </w:tc>
        <w:tc>
          <w:tcPr>
            <w:tcW w:w="1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279,717</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2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622,257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619,242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1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00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INCOME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2360" w:type="dxa"/>
            <w:vAlign w:val="bottom"/>
            <w:gridSpan w:val="4"/>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85,701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81,416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169,989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160"/>
              <w:spacing w:after="0" w:line="201" w:lineRule="exact"/>
              <w:rPr>
                <w:sz w:val="20"/>
                <w:szCs w:val="20"/>
                <w:color w:val="auto"/>
              </w:rPr>
            </w:pPr>
            <w:r>
              <w:rPr>
                <w:rFonts w:ascii="Arial" w:cs="Arial" w:eastAsia="Arial" w:hAnsi="Arial"/>
                <w:sz w:val="18"/>
                <w:szCs w:val="18"/>
                <w:color w:val="auto"/>
                <w:w w:val="93"/>
              </w:rPr>
              <w:t>Cost of goods and services, exclusive of depreciation and amortization shown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80"/>
              <w:spacing w:after="0"/>
              <w:rPr>
                <w:sz w:val="20"/>
                <w:szCs w:val="20"/>
                <w:color w:val="auto"/>
              </w:rPr>
            </w:pPr>
            <w:r>
              <w:rPr>
                <w:rFonts w:ascii="Arial" w:cs="Arial" w:eastAsia="Arial" w:hAnsi="Arial"/>
                <w:sz w:val="18"/>
                <w:szCs w:val="18"/>
                <w:color w:val="auto"/>
              </w:rPr>
              <w:t>separately below</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30,280</w:t>
            </w:r>
          </w:p>
        </w:tc>
        <w:tc>
          <w:tcPr>
            <w:tcW w:w="3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32,403</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60,970</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Selling, general and administrative, exclusive of depreciation and amortization</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shown separately below</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19,008</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16,625</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37,742</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17,663</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16,595</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34,001</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66,951</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65,623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132,713</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18,750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15,793</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37,276</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Gain on investments,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Non-operating income, net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442</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874</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17,350</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14,301</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34,495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6,876</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5,686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13,735</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10,474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8,615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20,760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Unrealized gain (loss) on interest rate hedge, net of tax</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326</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(581)</w:t>
            </w: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10,800</w:t>
            </w: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7,702</w:t>
            </w:r>
          </w:p>
        </w:tc>
        <w:tc>
          <w:tcPr>
            <w:tcW w:w="3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20,179</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0.43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0.86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shares outstanding, basic</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24,190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24,102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24,172</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shares outstanding, diluted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24,502</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24,320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24,463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96"/>
        </w:trPr>
        <w:tc>
          <w:tcPr>
            <w:tcW w:w="6360" w:type="dxa"/>
            <w:vAlign w:val="bottom"/>
            <w:gridSpan w:val="4"/>
          </w:tcPr>
          <w:p>
            <w:pPr>
              <w:spacing w:after="0"/>
              <w:rPr>
                <w:sz w:val="20"/>
                <w:szCs w:val="20"/>
                <w:color w:val="auto"/>
              </w:rPr>
            </w:pPr>
            <w:r>
              <w:rPr>
                <w:rFonts w:ascii="Arial" w:cs="Arial" w:eastAsia="Arial" w:hAnsi="Arial"/>
                <w:sz w:val="22"/>
                <w:szCs w:val="22"/>
                <w:color w:val="auto"/>
                <w:w w:val="89"/>
              </w:rPr>
              <w:t>See accompanying notes to unaudited consolidated financial statements.</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960" w:type="dxa"/>
            <w:vAlign w:val="bottom"/>
            <w:gridSpan w:val="2"/>
          </w:tcPr>
          <w:p>
            <w:pPr>
              <w:jc w:val="right"/>
              <w:ind w:right="13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494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CONSOLIDATED STATEMENTS OF SHAREHOLDERS' EQUITY </w:t>
      </w:r>
      <w:r>
        <w:rPr>
          <w:rFonts w:ascii="Arial" w:cs="Arial" w:eastAsia="Arial" w:hAnsi="Arial"/>
          <w:sz w:val="18"/>
          <w:szCs w:val="18"/>
          <w:i w:val="1"/>
          <w:i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color w:val="auto"/>
                <w:w w:val="93"/>
              </w:rPr>
              <w:t>Other</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w w:val="98"/>
              </w:rPr>
              <w:t>Common</w:t>
            </w:r>
          </w:p>
        </w:tc>
        <w:tc>
          <w:tcPr>
            <w:tcW w:w="2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99"/>
              </w:rPr>
              <w:t>Comprehensive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280" w:type="dxa"/>
            <w:vAlign w:val="bottom"/>
          </w:tcPr>
          <w:p>
            <w:pPr>
              <w:spacing w:after="0"/>
              <w:rPr>
                <w:sz w:val="20"/>
                <w:szCs w:val="20"/>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color w:val="auto"/>
                <w:w w:val="91"/>
              </w:rPr>
              <w:t>Income</w:t>
            </w:r>
          </w:p>
        </w:tc>
        <w:tc>
          <w:tcPr>
            <w:tcW w:w="3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4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24,040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26,759</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204,962</w:t>
            </w:r>
          </w:p>
        </w:tc>
        <w:tc>
          <w:tcPr>
            <w:tcW w:w="2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2,594</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33,883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($0.47 per share)</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Dividends reinvested in common stock</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w w:val="99"/>
              </w:rPr>
              <w:t>Common stock issued through exercise of incentive stock</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options</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share awards</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issued</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24,132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29,712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227,512</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1,122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20,760</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1,662</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issued for share awards</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450</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24,198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30,904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248,272</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20,760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33,189</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812</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bad debt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905</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Stock based compensation expense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1,430</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tax benefits on stock awards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(3,656)</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on disposal of equipment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Unrealized (gain) loss on investments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from patronage and equity investments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Amortization of long term debt issuance costs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647</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Materials and supplies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14,752</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Increase (decrease) in: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499</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lease payable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506</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Other deferrals and accruals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(2,116)</w:t>
            </w: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40" w:type="dxa"/>
            <w:vAlign w:val="bottom"/>
          </w:tcPr>
          <w:p>
            <w:pPr>
              <w:ind w:left="340"/>
              <w:spacing w:after="0"/>
              <w:rPr>
                <w:sz w:val="20"/>
                <w:szCs w:val="20"/>
                <w:color w:val="auto"/>
              </w:rPr>
            </w:pPr>
            <w:r>
              <w:rPr>
                <w:rFonts w:ascii="Arial" w:cs="Arial" w:eastAsia="Arial" w:hAnsi="Arial"/>
                <w:sz w:val="18"/>
                <w:szCs w:val="18"/>
                <w:b w:val="1"/>
                <w:bCs w:val="1"/>
                <w:color w:val="auto"/>
              </w:rPr>
              <w:t>Net cash provided by operating activities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60,270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of property, plant and equipment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Proceeds from sale of equipment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distributions from investments</w:t>
            </w:r>
          </w:p>
        </w:tc>
        <w:tc>
          <w:tcPr>
            <w:tcW w:w="1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(Continued)</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7560" w:type="dxa"/>
            <w:vAlign w:val="bottom"/>
            <w:gridSpan w:val="3"/>
          </w:tcPr>
          <w:p>
            <w:pPr>
              <w:ind w:left="5680"/>
              <w:spacing w:after="0"/>
              <w:rPr>
                <w:sz w:val="20"/>
                <w:szCs w:val="20"/>
                <w:color w:val="auto"/>
              </w:rPr>
            </w:pPr>
            <w:r>
              <w:rPr>
                <w:rFonts w:ascii="Arial" w:cs="Arial" w:eastAsia="Arial" w:hAnsi="Arial"/>
                <w:sz w:val="14"/>
                <w:szCs w:val="14"/>
                <w:color w:val="auto"/>
              </w:rPr>
              <w:t>7</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Excess tax benefits on stock awards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450</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Repurchases of stock</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Proceeds from issuances of stock</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530</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ind w:left="18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(11,970)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b w:val="1"/>
                <w:bCs w:val="1"/>
                <w:color w:val="auto"/>
              </w:rPr>
              <w:t>Net increase in 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23,220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Beginning</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68,917</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Ending</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92,137</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payments for: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3,782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 (refunded)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color w:val="auto"/>
        </w:rPr>
        <w:t>At June 30, 2015, accounts payable included approximately $1.2 million associated with capital expenditures. Cash flows for accounts payable and acquisition of property, plant and equipment exclude this activity.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5080"/>
        <w:spacing w:after="0" w:line="282" w:lineRule="auto"/>
        <w:rPr>
          <w:sz w:val="20"/>
          <w:szCs w:val="20"/>
          <w:color w:val="auto"/>
        </w:rPr>
      </w:pPr>
      <w:r>
        <w:rPr>
          <w:rFonts w:ascii="Arial" w:cs="Arial" w:eastAsia="Arial" w:hAnsi="Arial"/>
          <w:sz w:val="18"/>
          <w:szCs w:val="18"/>
          <w:b w:val="1"/>
          <w:bCs w:val="1"/>
          <w:color w:val="auto"/>
        </w:rPr>
        <w:t>SHENANDOAH TELECOMMUNICATIONS COMPANY AND SUBSIDIARIES NOTES TO UNAUDITED CONSOLIDATED FINANCIAL STATEMENTS</w:t>
      </w:r>
    </w:p>
    <w:p>
      <w:pPr>
        <w:spacing w:after="0" w:line="19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interim consolidated financial statements of Shenandoah Telecommunications Company and Subsidiaries (collectively, the “Company”) are unaudited. In the opinion of management, all adjustments necessary for a fair presentation of the interim results have been reflected therein. All such adjustments were of a normal and recurring nature. These statements should be read in conjunction with the audited consolidated financial statements and related notes in the Company’s Annual Report on Form 10-K for the year ended December 31, 2014. The balance sheet information at December 31, 2014 was derived from the audited December 31, 2014 consolidated balance sheet. Operating revenues and income from operations for any interim period are not necessarily indicative of results that may be expected for the entire year.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2.  Property, Plant and Equipment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66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 (in thousands):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June 30,</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December 31,</w:t>
            </w: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Plant in service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675,321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Plant under construction</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22,550</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18,078</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714,588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693,399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311,711</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287,492</w:t>
            </w: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402,877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405,907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3.</w:t>
        <w:tab/>
        <w:t>Earnings per share</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Basic net income per share was computed on the weighted average number of shares outstanding. Diluted net income per share was computed under the treasury stock method, assuming the conversion as of the beginning of the period, for all dilutive stock options. Of the 696 thousand and 694 thousand shares and options outstanding at June 30, 2015 and 2014, respectively, 79 thousand and zero were anti-dilutive, respectively. These shares and options have been excluded from the computations of diluted earnings per share for their respective period. There were no adjustments to net income for either period.</w:t>
      </w:r>
    </w:p>
    <w:p>
      <w:pPr>
        <w:spacing w:after="0" w:line="18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Investments Carried at Fair Value</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Investments include $2.8 million and $2.7 million of investments carried at fair value as of June 30, 2015 and December 31, 2014, respectively, consisting of equity, bond and money market mutual funds. These investments were acquired under a rabbi trust arrangement related to the Company’s nonqualified Supplemental Executive Retirement Plan (the “SERP”). The Company purchases investments in the trust to mirror the investment elections of participants in the SERP; gains and losses on the investments in the trust are reflected as increases or decreases in the liability owed to the participants. During the six months ended June 30, 2015, the Company recognized $37 thousand in dividend and interest income from investments, and recorded net unrealized gains of $54 thousand on these investments. Fair values for these investments held under the rabbi trust were determined by Level 1 quoted market prices for the underlying mutual funds.</w:t>
      </w:r>
    </w:p>
    <w:p>
      <w:pPr>
        <w:spacing w:after="0" w:line="21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Instruments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Financial instruments on the consolidated balance sheets that approximate fair value include: cash and cash equivalents, receivables, investments carried at fair value, payables, accrued liabilities, interest rate swaps and variable rate long-term debt.</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Derivative Instruments, Hedging Activities and Accumulated Other Comprehensive Income</w:t>
      </w:r>
    </w:p>
    <w:p>
      <w:pPr>
        <w:spacing w:after="0" w:line="25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objectives in using interest rate derivatives are to add stability to cash flows and to manage its exposure to interest rate movements. To accomplish this objective,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entered into a pay-fixed, receive-variable interest rate swap of $174.6 million of notional principal in September 2012. This interest rate swap was designated as a cash flow hedge. The total outstanding notional amount of the cash flow hedge was $161.5 million as of June 30, 2015. The outstanding notional amount decreases as the Company makes scheduled principal payments on the debt.</w:t>
      </w:r>
    </w:p>
    <w:p>
      <w:pPr>
        <w:spacing w:after="0" w:line="20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Amounts reported in accumulated other comprehensive income related to the interest rate swap designated and that qualifies as a cash flow hedge are reclassified to interest expense as interest payments are made on the Company’s variable-rate debt. As of June 30, 2015, the Company estimates that $1.2 million will be reclassified as an increase to interest expense during the next twelve months due to the interest rate swap since the hedge interest rate exceeds the variable interest rate on the debt.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fair value of the Company’s derivative financial instrument as well as its classification on the consolidated balance sheet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December 31, 2014 (in thousands):</w:t>
      </w:r>
    </w:p>
    <w:p>
      <w:pPr>
        <w:spacing w:after="0" w:line="23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Derivatives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8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320" w:type="dxa"/>
            <w:vAlign w:val="bottom"/>
            <w:tcBorders>
              <w:top w:val="single" w:sz="8" w:color="auto"/>
              <w:bottom w:val="single" w:sz="8" w:color="auto"/>
            </w:tcBorders>
            <w:gridSpan w:val="5"/>
          </w:tcPr>
          <w:p>
            <w:pPr>
              <w:jc w:val="right"/>
              <w:ind w:right="590"/>
              <w:spacing w:after="0"/>
              <w:rPr>
                <w:sz w:val="20"/>
                <w:szCs w:val="20"/>
                <w:color w:val="auto"/>
              </w:rPr>
            </w:pPr>
            <w:r>
              <w:rPr>
                <w:rFonts w:ascii="Arial" w:cs="Arial" w:eastAsia="Arial" w:hAnsi="Arial"/>
                <w:sz w:val="18"/>
                <w:szCs w:val="18"/>
                <w:color w:val="auto"/>
              </w:rPr>
              <w:t>Fair Value as of</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98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Balance Sheet</w:t>
            </w:r>
          </w:p>
        </w:tc>
        <w:tc>
          <w:tcPr>
            <w:tcW w:w="180" w:type="dxa"/>
            <w:vAlign w:val="bottom"/>
          </w:tcPr>
          <w:p>
            <w:pPr>
              <w:spacing w:after="0"/>
              <w:rPr>
                <w:sz w:val="17"/>
                <w:szCs w:val="17"/>
                <w:color w:val="auto"/>
              </w:rPr>
            </w:pPr>
          </w:p>
        </w:tc>
        <w:tc>
          <w:tcPr>
            <w:tcW w:w="110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w w:val="98"/>
              </w:rPr>
              <w:t>June 30,</w:t>
            </w:r>
          </w:p>
        </w:tc>
        <w:tc>
          <w:tcPr>
            <w:tcW w:w="8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432"/>
        </w:trPr>
        <w:tc>
          <w:tcPr>
            <w:tcW w:w="8820" w:type="dxa"/>
            <w:vAlign w:val="bottom"/>
            <w:gridSpan w:val="4"/>
          </w:tcPr>
          <w:p>
            <w:pPr>
              <w:spacing w:after="0"/>
              <w:rPr>
                <w:sz w:val="20"/>
                <w:szCs w:val="20"/>
                <w:color w:val="auto"/>
              </w:rPr>
            </w:pPr>
            <w:r>
              <w:rPr>
                <w:rFonts w:ascii="Arial" w:cs="Arial" w:eastAsia="Arial" w:hAnsi="Arial"/>
                <w:sz w:val="18"/>
                <w:szCs w:val="18"/>
                <w:color w:val="auto"/>
              </w:rPr>
              <w:t>Derivatives designated as hedging instruments: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Accrued liabilities and other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(1,167)</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w:t>
            </w:r>
          </w:p>
        </w:tc>
      </w:tr>
      <w:tr>
        <w:trPr>
          <w:trHeight w:val="223"/>
        </w:trPr>
        <w:tc>
          <w:tcPr>
            <w:tcW w:w="20" w:type="dxa"/>
            <w:vAlign w:val="bottom"/>
          </w:tcPr>
          <w:p>
            <w:pPr>
              <w:spacing w:after="0"/>
              <w:rPr>
                <w:sz w:val="19"/>
                <w:szCs w:val="19"/>
                <w:color w:val="auto"/>
              </w:rPr>
            </w:pPr>
          </w:p>
        </w:tc>
        <w:tc>
          <w:tcPr>
            <w:tcW w:w="8800" w:type="dxa"/>
            <w:vAlign w:val="bottom"/>
            <w:gridSpan w:val="3"/>
          </w:tcPr>
          <w:p>
            <w:pPr>
              <w:ind w:left="320"/>
              <w:spacing w:after="0"/>
              <w:rPr>
                <w:sz w:val="20"/>
                <w:szCs w:val="20"/>
                <w:color w:val="auto"/>
              </w:rPr>
            </w:pPr>
            <w:r>
              <w:rPr>
                <w:rFonts w:ascii="Arial" w:cs="Arial" w:eastAsia="Arial" w:hAnsi="Arial"/>
                <w:sz w:val="18"/>
                <w:szCs w:val="18"/>
                <w:color w:val="auto"/>
              </w:rPr>
              <w:t>Deferred charges and other assets, net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3,180</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swaps is determined using a pricing model with inputs that are observable in the market (level 2 fair value inputs).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change in accumulated other comprehensive income by component for the six months ended June 30, 2015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(Losses) on</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Income Tax</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Cash Flow</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(Expense)</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Comprehensive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Hedges</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Benefit</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 (to interest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7.</w:t>
        <w:tab/>
        <w:t>Segment Information</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makers.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Wireless segment provides digital wireless service to a portion of a four-state area covering the region from Harrisburg, York and Altoona, Pennsylvania, to Harrisonburg, Virginia, as a Sprint PCS Affiliate. This segment also owns cell site towers built on leased land, and leases space on these towers to both affiliates and non-affiliated service providers.</w:t>
      </w:r>
    </w:p>
    <w:p>
      <w:pPr>
        <w:spacing w:after="0" w:line="20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Cable segment provides video, internet and voice services in Virginia, West Virginia and Maryland, and leases fiber optic facilities throughout southern Virginia and West Virginia. It does not include video, internet and voice services provided to customers in Shenandoah County, Virginia.</w:t>
      </w:r>
    </w:p>
    <w:p>
      <w:pPr>
        <w:spacing w:after="0" w:line="1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Three months ended June 30, 2015</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3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48,749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22,117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2,848</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1,850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51,597</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23,967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10,137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1,105</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186</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6,326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(7,617)</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52,702</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24,153</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16,463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15,903</w:t>
            </w: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13,635</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7,677</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(6,919)</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exclusive of depreciation and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8,917</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5,084</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1,736</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3,969</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8,612</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5,859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33,432</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24,578</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12,496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19,270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3,967</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71"/>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40" w:type="dxa"/>
            <w:vAlign w:val="bottom"/>
            <w:gridSpan w:val="3"/>
          </w:tcPr>
          <w:p>
            <w:pPr>
              <w:spacing w:after="0"/>
              <w:rPr>
                <w:sz w:val="20"/>
                <w:szCs w:val="20"/>
                <w:color w:val="auto"/>
              </w:rPr>
            </w:pPr>
            <w:r>
              <w:rPr>
                <w:rFonts w:ascii="Arial" w:cs="Arial" w:eastAsia="Arial" w:hAnsi="Arial"/>
                <w:sz w:val="18"/>
                <w:szCs w:val="18"/>
                <w:color w:val="auto"/>
              </w:rPr>
              <w:t>Three months ended June 30, 2014</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280" w:type="dxa"/>
            <w:vAlign w:val="bottom"/>
          </w:tcPr>
          <w:p>
            <w:pPr>
              <w:spacing w:after="0"/>
              <w:rPr>
                <w:sz w:val="20"/>
                <w:szCs w:val="20"/>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color w:val="auto"/>
                <w:w w:val="91"/>
              </w:rPr>
              <w:t>Cable (1)</w:t>
            </w:r>
          </w:p>
        </w:tc>
        <w:tc>
          <w:tcPr>
            <w:tcW w:w="2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Wireline (1)</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47,868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2,813</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1,823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50,681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20,804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9,931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1,094</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5,713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51,775</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20,837</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15,644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18,476</w:t>
            </w:r>
          </w:p>
        </w:tc>
        <w:tc>
          <w:tcPr>
            <w:tcW w:w="2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12,421</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7,737</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(6,231)</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exclusive of depreciation and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7,657</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4,735</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3,349</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8,071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5,766</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34,204</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22,922</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11,883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3,454</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17,571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3"/>
            <w:vMerge w:val="restart"/>
          </w:tcPr>
          <w:p>
            <w:pPr>
              <w:spacing w:after="0"/>
              <w:rPr>
                <w:sz w:val="20"/>
                <w:szCs w:val="20"/>
                <w:color w:val="auto"/>
              </w:rPr>
            </w:pPr>
            <w:r>
              <w:rPr>
                <w:rFonts w:ascii="Arial" w:cs="Arial" w:eastAsia="Arial" w:hAnsi="Arial"/>
                <w:sz w:val="18"/>
                <w:szCs w:val="18"/>
                <w:color w:val="auto"/>
              </w:rPr>
              <w:t>Six months ended June 30, 2015</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280" w:type="dxa"/>
            <w:vAlign w:val="bottom"/>
          </w:tcPr>
          <w:p>
            <w:pPr>
              <w:spacing w:after="0"/>
              <w:rPr>
                <w:sz w:val="20"/>
                <w:szCs w:val="20"/>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color w:val="auto"/>
                <w:w w:val="89"/>
              </w:rPr>
              <w:t>Cable</w:t>
            </w:r>
          </w:p>
        </w:tc>
        <w:tc>
          <w:tcPr>
            <w:tcW w:w="20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5"/>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97,124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43,518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5,878</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3,613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10,217</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103,002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47,131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19,856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2,209</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334</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12,192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(14,735)</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105,211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47,465</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32,048</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32,090</w:t>
            </w:r>
          </w:p>
        </w:tc>
        <w:tc>
          <w:tcPr>
            <w:tcW w:w="2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27,253</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15,011</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(13,384)</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17,969</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9,976</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3,234</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7,914</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16,444</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11,338</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6,007</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66,503</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48,567</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24,252</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8,126</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38,708</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7,796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(8,126)</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3"/>
            <w:vMerge w:val="restart"/>
          </w:tcPr>
          <w:p>
            <w:pPr>
              <w:spacing w:after="0"/>
              <w:rPr>
                <w:sz w:val="20"/>
                <w:szCs w:val="20"/>
                <w:color w:val="auto"/>
              </w:rPr>
            </w:pPr>
            <w:r>
              <w:rPr>
                <w:rFonts w:ascii="Arial" w:cs="Arial" w:eastAsia="Arial" w:hAnsi="Arial"/>
                <w:sz w:val="18"/>
                <w:szCs w:val="18"/>
                <w:color w:val="auto"/>
              </w:rPr>
              <w:t>Six months ended June 30, 2014</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280" w:type="dxa"/>
            <w:vAlign w:val="bottom"/>
          </w:tcPr>
          <w:p>
            <w:pPr>
              <w:spacing w:after="0"/>
              <w:rPr>
                <w:sz w:val="20"/>
                <w:szCs w:val="20"/>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color w:val="auto"/>
                <w:w w:val="91"/>
              </w:rPr>
              <w:t>Cable (1)</w:t>
            </w:r>
          </w:p>
        </w:tc>
        <w:tc>
          <w:tcPr>
            <w:tcW w:w="2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Wireline (1)</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95,100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5,569</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3,403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10,426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100,669</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41,258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19,941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2,184</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11,478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(13,721)</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102,853</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41,317</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31,419</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37,132</w:t>
            </w:r>
          </w:p>
        </w:tc>
        <w:tc>
          <w:tcPr>
            <w:tcW w:w="2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24,811</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15,219</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(12,523)</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16,089</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9,381</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2,737</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6,764</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15,268</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11,170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5,350</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68,489</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45,362</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23,306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6,959</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34,364</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8,113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0" w:gutter="0" w:footer="0" w:header="0"/>
        </w:sectPr>
      </w:pPr>
    </w:p>
    <w:bookmarkStart w:id="12" w:name="page13"/>
    <w:bookmarkEnd w:id="12"/>
    <w:p>
      <w:pPr>
        <w:ind w:left="328"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 year service and other revenue amounts have been recast to conform to the current year presentation of video and internet equipment revenues being included in service revenue rather than other revenue.</w:t>
      </w:r>
    </w:p>
    <w:p>
      <w:pPr>
        <w:spacing w:after="0" w:line="369" w:lineRule="exact"/>
        <w:rPr>
          <w:sz w:val="20"/>
          <w:szCs w:val="20"/>
          <w:color w:val="auto"/>
        </w:rPr>
      </w:pPr>
    </w:p>
    <w:p>
      <w:pPr>
        <w:jc w:val="center"/>
        <w:ind w:right="192"/>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8"/>
          </w:cols>
          <w:pgMar w:left="572" w:top="368" w:right="35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total of the reportable segments’ operating income to consolidated income before taxes is as follows:</w:t>
      </w:r>
    </w:p>
    <w:p>
      <w:pPr>
        <w:sectPr>
          <w:pgSz w:w="11900" w:h="16838" w:orient="portrait"/>
          <w:cols w:equalWidth="0" w:num="1">
            <w:col w:w="11260"/>
          </w:cols>
          <w:pgMar w:left="24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consolidated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Non-operating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Total consolidated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Non-operating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The Company’s assets by segment are as follows: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22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2240"/>
        <w:spacing w:after="0"/>
        <w:rPr>
          <w:sz w:val="20"/>
          <w:szCs w:val="20"/>
          <w:color w:val="auto"/>
        </w:rPr>
      </w:pPr>
      <w:r>
        <w:rPr>
          <w:rFonts w:ascii="Arial" w:cs="Arial" w:eastAsia="Arial" w:hAnsi="Arial"/>
          <w:sz w:val="18"/>
          <w:szCs w:val="18"/>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18,750</w:t>
            </w:r>
          </w:p>
        </w:tc>
        <w:tc>
          <w:tcPr>
            <w:tcW w:w="3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15,793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(1,940)</w:t>
            </w:r>
          </w:p>
        </w:tc>
        <w:tc>
          <w:tcPr>
            <w:tcW w:w="3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(2,065)</w:t>
            </w: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540</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17,350</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8"/>
                <w:szCs w:val="18"/>
                <w:color w:val="auto"/>
              </w:rPr>
              <w:t>Six Months Ended</w:t>
            </w: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37,276</w:t>
            </w:r>
          </w:p>
        </w:tc>
        <w:tc>
          <w:tcPr>
            <w:tcW w:w="3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31,473</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(3,855)</w:t>
            </w:r>
          </w:p>
        </w:tc>
        <w:tc>
          <w:tcPr>
            <w:tcW w:w="3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(4,112)</w:t>
            </w: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1,074</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34,495</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28,543</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12" w:lineRule="exact"/>
        <w:rPr>
          <w:sz w:val="20"/>
          <w:szCs w:val="20"/>
          <w:color w:val="auto"/>
        </w:rPr>
      </w:pPr>
    </w:p>
    <w:p>
      <w:pPr>
        <w:sectPr>
          <w:pgSz w:w="11900" w:h="16838" w:orient="portrait"/>
          <w:cols w:equalWidth="0" w:num="2">
            <w:col w:w="5820" w:space="720"/>
            <w:col w:w="4720"/>
          </w:cols>
          <w:pgMar w:left="240" w:top="122" w:right="399" w:bottom="1440"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June 30,</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December 31,</w:t>
            </w:r>
          </w:p>
        </w:tc>
      </w:tr>
      <w:tr>
        <w:trPr>
          <w:trHeight w:val="237"/>
        </w:trPr>
        <w:tc>
          <w:tcPr>
            <w:tcW w:w="65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227,089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218,887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Cable</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208,584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201,232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Wireline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98,003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98,081</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445,039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446,028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Combined totals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978,715</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964,228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(356,458)</w:t>
            </w:r>
          </w:p>
        </w:tc>
        <w:tc>
          <w:tcPr>
            <w:tcW w:w="3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(344,986)</w:t>
            </w:r>
          </w:p>
        </w:tc>
      </w:tr>
      <w:tr>
        <w:trPr>
          <w:trHeight w:val="257"/>
        </w:trPr>
        <w:tc>
          <w:tcPr>
            <w:tcW w:w="20" w:type="dxa"/>
            <w:vAlign w:val="bottom"/>
          </w:tcPr>
          <w:p>
            <w:pPr>
              <w:spacing w:after="0"/>
              <w:rPr>
                <w:sz w:val="22"/>
                <w:szCs w:val="22"/>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totals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622,257</w:t>
            </w: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619,242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8.</w:t>
        <w:tab/>
        <w:t>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Company files U.S. federal income tax returns and various state and local income tax returns. Years prior to 2011 are no longer subject to examination.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subject to any state or federal income tax audits as of June 30, 2015.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2" w:right="39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2014. The following management’s discussion and analysis should be read in conjunction with the Company’s Annual Report on Form 10-K for its fiscal year ended December 31, 2014, including the financial statements and related notes included therein.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Shenandoah Telecommunications Company is a diversified telecommunications company providing both regulated and unregulated</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telecommunications services through its wholly-owned subsidiaries. These subsidiaries provide wireless personal communications services (as a Sprint PCS Affiliate), local exchange telephone services, video, internet and data services, long distance services, fiber optics facilities, and leased tower facilities. The Company has three reportable segments, which it operates and manages as strategic business units organized by lines of business:</w:t>
      </w:r>
    </w:p>
    <w:p>
      <w:pPr>
        <w:spacing w:after="0" w:line="181" w:lineRule="exact"/>
        <w:rPr>
          <w:sz w:val="20"/>
          <w:szCs w:val="20"/>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Wireless segment provides digital wireless service as a Sprint PCS Affiliate to a portion of a four-state area covering the region from Harrisburg, York and Altoona, Pennsylvania, to Harrisonburg, Virginia. In this area, the Company is the exclusive provider of wireless mobility communications network products and services on the 800 and 1900 MHz bands under the Sprint brand. This segment also owns cell site towers built on leased land, and leases space on these towers to both affiliates and non-affiliated service providers.</w:t>
      </w:r>
    </w:p>
    <w:p>
      <w:pPr>
        <w:spacing w:after="0" w:line="198" w:lineRule="exact"/>
        <w:rPr>
          <w:rFonts w:ascii="Arial" w:cs="Arial" w:eastAsia="Arial" w:hAnsi="Arial"/>
          <w:sz w:val="17"/>
          <w:szCs w:val="17"/>
          <w:color w:val="auto"/>
        </w:rPr>
      </w:pPr>
    </w:p>
    <w:p>
      <w:pPr>
        <w:ind w:left="660" w:right="2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208" w:lineRule="exact"/>
        <w:rPr>
          <w:rFonts w:ascii="Arial" w:cs="Arial" w:eastAsia="Arial" w:hAnsi="Arial"/>
          <w:sz w:val="18"/>
          <w:szCs w:val="18"/>
          <w:color w:val="auto"/>
        </w:rPr>
      </w:pPr>
    </w:p>
    <w:p>
      <w:pPr>
        <w:ind w:left="660" w:right="280" w:hanging="328"/>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fourth segment, Other, primarily includes Shenandoah Telecommunications Company,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2015 Compared with the Three Months Ended June 30,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for the second quarter of 2015 and 2014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85,701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81,416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4,285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66,951</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65,623</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1,328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18,750</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15,793</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2,957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540</w:t>
            </w:r>
          </w:p>
        </w:tc>
        <w:tc>
          <w:tcPr>
            <w:tcW w:w="3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573</w:t>
            </w:r>
          </w:p>
        </w:tc>
        <w:tc>
          <w:tcPr>
            <w:tcW w:w="38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(33)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17,350</w:t>
            </w: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14,301</w:t>
            </w:r>
          </w:p>
        </w:tc>
        <w:tc>
          <w:tcPr>
            <w:tcW w:w="3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3,049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6,876</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5,686</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1,190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10,474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8,615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1,859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For the three months ended June 30, 2015, operating revenues increased $4.3 million, or 5.3%. Cable segment revenue grew $3.3 million on higher internet and voice subscribers, a video price increase in January 2015, and internet customers upgrading to higher-priced plans. Wireless segment revenues increased $0.9 million compared to the second quarter of 2014. Net prepaid service revenue increased $1.2 million, driven by 6.3% subscriber growth, but was partially offset by a $0.4 million decline in net postpaid service revenues that resulted from lower revenue service plans associated with handset financing and leasing plans. Wireline segment revenue increased $0.8 million, primarily due to growth in fiber contracts.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operating expenses were $67.0 million in the second quarter of 2015 compared to $65.6 million in the prior year period. Cost of goods and services sold decreased $2.1 million, primarily due to a $3.1 million decrease in PCS postpaid handset costs, partially offset by a $1.0 million increase in cable programming costs. Selling, general and administrative expenses increased $2.4 million, including increases of $0.6 million to support the wireless prepaid business, $0.6 million to support marketing and selling functions in other areas of the business, $0.6 million for professional services, and $0.4 million related to growth in customer service and bad debt expenses. Depreciation and amortization expense increased $1.1 million, primarily due to ongoing projects to expand and upgrade the wireless, cable and fiber networks.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Company’s effective tax rate decreased from 39.8% for the three months ended June 30, 2014 to 39.6% for the three months ended June 30, 2015. For the remainder of 2015, the Company expects that its effective tax rate, without unanticipated adjustments, will be approximately 40.0%.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three months ended June 30, 2015, net income increased $1.9 million, or 21.6%, primarily reflecting growth in Cable and Wireless segment operating results, offset by higher income tax expenses.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2015 Compared with the Six Months Ended June 30,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for the first six months of 2015 and 2014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right"/>
              <w:ind w:right="630"/>
              <w:spacing w:after="0"/>
              <w:rPr>
                <w:sz w:val="20"/>
                <w:szCs w:val="20"/>
                <w:color w:val="auto"/>
              </w:rPr>
            </w:pPr>
            <w:r>
              <w:rPr>
                <w:rFonts w:ascii="Arial" w:cs="Arial" w:eastAsia="Arial" w:hAnsi="Arial"/>
                <w:sz w:val="18"/>
                <w:szCs w:val="18"/>
                <w:color w:val="auto"/>
              </w:rPr>
              <w:t>Six Months Ended</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169,989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161,868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8,121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132,713</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130,395</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2,318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37,276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31,473</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5,803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257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1,074</w:t>
            </w:r>
          </w:p>
        </w:tc>
        <w:tc>
          <w:tcPr>
            <w:tcW w:w="3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1,182</w:t>
            </w:r>
          </w:p>
        </w:tc>
        <w:tc>
          <w:tcPr>
            <w:tcW w:w="38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(108)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34,495</w:t>
            </w: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28,543</w:t>
            </w:r>
          </w:p>
        </w:tc>
        <w:tc>
          <w:tcPr>
            <w:tcW w:w="3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5,952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13,735</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11,312</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2,423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20,760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17,231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3,529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six months ended June 30, 2015, operating revenues increased $8.1 million, or 5.0%. Cable segment service revenue grew $5.7 million as a result of a 6.4% growth in average subscriber counts and an increase in revenue per subscriber. Wireless segment revenues increased $2.3 million compared to the first six months of 2014 primarily due to growth in net prepaid service revenue. Wireline segment revenues increased by $0.6 million due to growth of internet service revenue and fiber revenues.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Total operating expenses were $132.7 million in the six months ended June 30, 2015 compared to $130.4 million in the prior year period. Cost of goods and services sold decreased $3.7 million, primarily due to a $5.8 million decrease in PCS postpaid handset costs, partially offset by a $2.3 million increase in cable programming costs. Selling, general and administrative expenses increased $4.0 million, including increases of $1.5 million to support the wireless prepaid business, $1.1 million for professional services, $0.6 million of property and other operating taxes, and $0.4 million related to growth in bad debt expenses. Depreciation and amortization expense increased $2.0 million, primarily due to ongoing projects to expand and upgrade the wireless, cable and fiber networks.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Company’s effective tax rate increased from 39.6% for the six months ended June 30, 2014 to 39.8% for the six months ended June 30, 2015. For the remainder of 2015, the Company expects that its effective tax rate, without unanticipated adjustments, will be approximately 40.0%.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six months ended June 30, 2015, net income increased $3.5 million, or 20.5%, primarily reflecting growth in subscriber counts in the Wireless and Cable segments, offset by higher depreciation expense and costs associated with prepaid wireless programs.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Wireless segment provides digital wireless service to a portion of a four-state area covering the region from Harrisburg, York and Altoona, Pennsylvania, to Harrisonburg, Virginia, through Shenandoah Personal Communications, LLC (“PCS”), a Sprint PCS Affiliate. This segment also leases land on which it builds Company-owned cell towers, which it leases to affiliated and non-affiliated wireless service providers, throughout the same four-state area described above, through Shenandoah Mobile, LLC (“Mobile”).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PCS receives revenues from Sprint for subscribers that obtain service in PCS’s network coverage area. PCS relies on Sprint to provide timely, accurate and complete information to record the appropriate revenue for each financial period. Postpaid revenues received from Sprint are recorded net of certain fees retained by Sprint. These fees total 22% of net postpaid billed revenue, as defined in the Sprint PCS affiliate agreement.</w:t>
      </w:r>
    </w:p>
    <w:p>
      <w:pPr>
        <w:spacing w:after="0" w:line="19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Company offers prepaid wireless products and services in its PCS network coverage area. Sprint retains a 6% Management Fee on prepaid revenues. Prepaid revenues received from Sprint are reported net of the cost of this fee. Other fees charged on a per unit basis are separately recorded as expenses according to the nature of the expense. The Company pays handset subsidies to Sprint for the difference between the selling price of prepaid handsets and their cost, in aggregate and as a net cost included in cost of goods sold. The revenue and expense components reported to us by Sprint are based on Sprint’s national averages for prepaid services, rather than being specifically determined by customers assigned to our geographic service areas.</w:t>
      </w:r>
    </w:p>
    <w:p>
      <w:pPr>
        <w:spacing w:after="0" w:line="1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April 2014, the Company’s PCS stores began participating in Sprint’s postpaid handset financing programs, whereby Sprint enters into a financing agreement with the subscriber and the subscriber receives a handset from Sprint. The equipment revenue from the subscriber and the handset expense are Sprint’s responsibility and are not recorded by the Company. In the second quarter of 2015, approximately 65% of postpaid handset transactions through Company channels involved a financing plan. All else being equal, the service plans for these subscribers generate less monthly service revenue compared to plans with a subsidized handset.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operating statistics of the Wireless segment as of the dates shown: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June 30,</w:t>
            </w:r>
          </w:p>
        </w:tc>
        <w:tc>
          <w:tcPr>
            <w:tcW w:w="132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December 31,</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June 30,</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2015</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PCS Subscribers – Postpaid</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296,492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287,867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277,673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Retail PCS Subscribers – Prepaid</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145,431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145,162</w:t>
            </w: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138,176</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137,047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PCS Market POPS (000) (1)</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2,421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2,406</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PCS Covered POPS (000) (1)</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2,213</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2,100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CDMA Base Stations (sites)</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546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528</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Towers Owned</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154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154</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Non-affiliate Cell Site Leases (2)</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195</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color w:val="auto"/>
              </w:rPr>
              <w:t>Three Months Ended</w:t>
            </w:r>
          </w:p>
        </w:tc>
        <w:tc>
          <w:tcPr>
            <w:tcW w:w="2600" w:type="dxa"/>
            <w:vAlign w:val="bottom"/>
            <w:gridSpan w:val="4"/>
          </w:tcPr>
          <w:p>
            <w:pPr>
              <w:jc w:val="right"/>
              <w:ind w:right="7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June 30,</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4"/>
          </w:tcPr>
          <w:p>
            <w:pPr>
              <w:jc w:val="right"/>
              <w:ind w:right="114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rPr>
              <w:t>2015</w:t>
            </w: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2015</w:t>
            </w: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PCS Subscriber Additions - Postpaid</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17,734</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34,839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Net PCS Subscriber Additions - Postpaid</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5,414</w:t>
            </w:r>
          </w:p>
        </w:tc>
        <w:tc>
          <w:tcPr>
            <w:tcW w:w="940" w:type="dxa"/>
            <w:vAlign w:val="bottom"/>
          </w:tcPr>
          <w:p>
            <w:pPr>
              <w:jc w:val="right"/>
              <w:spacing w:after="0"/>
              <w:rPr>
                <w:sz w:val="20"/>
                <w:szCs w:val="20"/>
                <w:color w:val="auto"/>
              </w:rPr>
            </w:pPr>
            <w:r>
              <w:rPr>
                <w:rFonts w:ascii="Arial" w:cs="Arial" w:eastAsia="Arial" w:hAnsi="Arial"/>
                <w:sz w:val="18"/>
                <w:szCs w:val="18"/>
                <w:color w:val="auto"/>
              </w:rPr>
              <w:t>2,648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8,625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PCS Subscriber Additions - Prepaid</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19,958</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43,578</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Net PCS Subscriber Additions (Losses) - Prepaid</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(2,352)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269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PCS Average Monthly Retail Churn % - Postpaid (3)</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PCS Average Monthly Retail Churn % - Prepaid (3)</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5.07%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80" w:right="220" w:hanging="324"/>
        <w:spacing w:after="0" w:line="25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POPS refers to the estimated population of a given geographic area and is based on information purchased from third party sources. Market POPS are those within a market area which the Company is authorized to serve under its Sprint PCS affiliate agreements, and Covered POPS are those covered by the Company’s network. Covered POPS increased in 2014 primarily as a result of the Company’s deployment of the 800 megahertz spectrum at existing cell sites.</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decreases during 2014 are primarily a result of termination of Sprint iDEN leases associated with the former Nextel network.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PCS Average Monthly Retail Churn is the average of the monthly subscriber turnover, or churn, calculations for the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47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7540" w:type="dxa"/>
            <w:vAlign w:val="bottom"/>
            <w:gridSpan w:val="8"/>
          </w:tcPr>
          <w:p>
            <w:pPr>
              <w:spacing w:after="0"/>
              <w:rPr>
                <w:sz w:val="20"/>
                <w:szCs w:val="20"/>
                <w:color w:val="auto"/>
              </w:rPr>
            </w:pPr>
            <w:r>
              <w:rPr>
                <w:rFonts w:ascii="Arial" w:cs="Arial" w:eastAsia="Arial" w:hAnsi="Arial"/>
                <w:sz w:val="18"/>
                <w:szCs w:val="18"/>
                <w:b w:val="1"/>
                <w:bCs w:val="1"/>
                <w:color w:val="auto"/>
                <w:w w:val="97"/>
              </w:rPr>
              <w:t>Three Months Ended June 30, 2015 Compared with the Three Months Ended June 30, 2014</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476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Segment operating revenues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Wireless service revenue</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48,749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47,868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881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Tower lease revenue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2,592</w:t>
            </w: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2,466</w:t>
            </w:r>
          </w:p>
        </w:tc>
        <w:tc>
          <w:tcPr>
            <w:tcW w:w="420" w:type="dxa"/>
            <w:vAlign w:val="bottom"/>
          </w:tcPr>
          <w:p>
            <w:pPr>
              <w:spacing w:after="0"/>
              <w:rPr>
                <w:sz w:val="18"/>
                <w:szCs w:val="18"/>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126</w:t>
            </w: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Equipment revenue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1,286</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1,306</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3"/>
        </w:trPr>
        <w:tc>
          <w:tcPr>
            <w:tcW w:w="20" w:type="dxa"/>
            <w:vAlign w:val="bottom"/>
          </w:tcPr>
          <w:p>
            <w:pPr>
              <w:spacing w:after="0"/>
              <w:rPr>
                <w:sz w:val="19"/>
                <w:szCs w:val="19"/>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(60)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revenues</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52,702</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51,775</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927</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operating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Cost of goods and services, exclusive of depreciation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15,903</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18,476</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(2,573)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r>
      <w:tr>
        <w:trPr>
          <w:trHeight w:val="202"/>
        </w:trPr>
        <w:tc>
          <w:tcPr>
            <w:tcW w:w="20" w:type="dxa"/>
            <w:vAlign w:val="bottom"/>
          </w:tcPr>
          <w:p>
            <w:pPr>
              <w:spacing w:after="0"/>
              <w:rPr>
                <w:sz w:val="17"/>
                <w:szCs w:val="17"/>
                <w:color w:val="auto"/>
              </w:rPr>
            </w:pPr>
          </w:p>
        </w:tc>
        <w:tc>
          <w:tcPr>
            <w:tcW w:w="47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exclusive of depreciation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8,917</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7,657</w:t>
            </w:r>
          </w:p>
        </w:tc>
        <w:tc>
          <w:tcPr>
            <w:tcW w:w="42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1,260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8,612</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8,071</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541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Total segment operating expenses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33,432</w:t>
            </w:r>
          </w:p>
        </w:tc>
        <w:tc>
          <w:tcPr>
            <w:tcW w:w="4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34,204</w:t>
            </w:r>
          </w:p>
        </w:tc>
        <w:tc>
          <w:tcPr>
            <w:tcW w:w="42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(772)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19,270</w:t>
            </w:r>
          </w:p>
        </w:tc>
        <w:tc>
          <w:tcPr>
            <w:tcW w:w="4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17,571</w:t>
            </w:r>
          </w:p>
        </w:tc>
        <w:tc>
          <w:tcPr>
            <w:tcW w:w="4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1,699</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Wireless service revenue increased $0.9 million, or 1.8%, for the three months ended June 30, 2015, compared to the comparable 2014 period. Net prepaid service revenues grew $1.2 million, or 11.1%, due to 6.3% growth in average prepaid subscribers over 2014 and improved product mix. Net postpaid service revenues decreased $0.4 million. Average postpaid subscribers increased 6.4% in 2015 over the 2014 period, but was more than offset by a switch to lower revenue service plans associated with handset financing plans. Under these programs, the Company receives less service revenue from the subscriber, while the equipment revenue from the subscriber and the handset expense become Sprint’s responsibility and are not recorded by the Company. The decreases in service revenues are currently more than offset by a decrease in handset expense within cost of goods and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Cost of goods and services decreased $2.6 million, or 13.9%, in 2015 from the second quarter of 2014. Postpaid handset costs decreased $3.1 million, as handset expenses associated with financing and leasing plans are Sprint’s responsibility and are not recorded by the Company. Prepaid handset costs increased $0.3 million due to an increase in gross prepaid subscriber additions. Network costs increased $0.2 million, driven by increases in rent and power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Selling, general and administrative costs increased $1.3 million, or 16.5%, in the second quarter of 2015 from the comparable 2014 period. Advertising expenses grew $0.4 million. Costs to support the prepaid subscriber base grew $0.3 million, driven by subscriber growth, product mix, and higher expense rates. Costs associated with the addition of prepaid subscribers increased $0.3 million, driven by a 30.6% increase in prepaid gross additions over the prior year quarter. Personnel costs and other retail store expenses increased $0.3 million due to the addition of new stores.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increased $0.5 million, or 6.7%, in the second quarter of 2015 over the comparable 2014 period. Depreciation expense grew</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$0.7 million due to ongoing investments in wireless network coverage and capacity. The increase was partially offset by a $0.2 million decline in amortization expense.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47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6640" w:type="dxa"/>
            <w:vAlign w:val="bottom"/>
            <w:gridSpan w:val="7"/>
          </w:tcPr>
          <w:p>
            <w:pPr>
              <w:spacing w:after="0"/>
              <w:rPr>
                <w:sz w:val="20"/>
                <w:szCs w:val="20"/>
                <w:color w:val="auto"/>
              </w:rPr>
            </w:pPr>
            <w:r>
              <w:rPr>
                <w:rFonts w:ascii="Arial" w:cs="Arial" w:eastAsia="Arial" w:hAnsi="Arial"/>
                <w:sz w:val="18"/>
                <w:szCs w:val="18"/>
                <w:b w:val="1"/>
                <w:bCs w:val="1"/>
                <w:color w:val="auto"/>
                <w:w w:val="90"/>
              </w:rPr>
              <w:t>Six Months Ended June 30, 2015 Compared with the Six Months Ended June 30, 2014</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476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right"/>
              <w:ind w:right="590"/>
              <w:spacing w:after="0"/>
              <w:rPr>
                <w:sz w:val="20"/>
                <w:szCs w:val="20"/>
                <w:color w:val="auto"/>
              </w:rPr>
            </w:pPr>
            <w:r>
              <w:rPr>
                <w:rFonts w:ascii="Arial" w:cs="Arial" w:eastAsia="Arial" w:hAnsi="Arial"/>
                <w:sz w:val="18"/>
                <w:szCs w:val="18"/>
                <w:color w:val="auto"/>
              </w:rPr>
              <w:t>Six Months Ended</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2014</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432"/>
        </w:trPr>
        <w:tc>
          <w:tcPr>
            <w:tcW w:w="4760" w:type="dxa"/>
            <w:vAlign w:val="bottom"/>
            <w:gridSpan w:val="3"/>
          </w:tcPr>
          <w:p>
            <w:pPr>
              <w:spacing w:after="0"/>
              <w:rPr>
                <w:sz w:val="20"/>
                <w:szCs w:val="20"/>
                <w:color w:val="auto"/>
              </w:rPr>
            </w:pPr>
            <w:r>
              <w:rPr>
                <w:rFonts w:ascii="Arial" w:cs="Arial" w:eastAsia="Arial" w:hAnsi="Arial"/>
                <w:sz w:val="18"/>
                <w:szCs w:val="18"/>
                <w:color w:val="auto"/>
              </w:rPr>
              <w:t>Segment operating revenues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Wireless service revenue</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97,124</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95,100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2,024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Tower lease revenue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5,162</w:t>
            </w: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5,030</w:t>
            </w:r>
          </w:p>
        </w:tc>
        <w:tc>
          <w:tcPr>
            <w:tcW w:w="420" w:type="dxa"/>
            <w:vAlign w:val="bottom"/>
          </w:tcPr>
          <w:p>
            <w:pPr>
              <w:spacing w:after="0"/>
              <w:rPr>
                <w:sz w:val="18"/>
                <w:szCs w:val="18"/>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132</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Equipment revenue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2,767</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2,503</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264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4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42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(62)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revenues</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105,211</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102,853</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2,358</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operating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Cost of goods and services, exclusive of depreciation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32,090</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37,132</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(5,042)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r>
      <w:tr>
        <w:trPr>
          <w:trHeight w:val="202"/>
        </w:trPr>
        <w:tc>
          <w:tcPr>
            <w:tcW w:w="20" w:type="dxa"/>
            <w:vAlign w:val="bottom"/>
          </w:tcPr>
          <w:p>
            <w:pPr>
              <w:spacing w:after="0"/>
              <w:rPr>
                <w:sz w:val="17"/>
                <w:szCs w:val="17"/>
                <w:color w:val="auto"/>
              </w:rPr>
            </w:pPr>
          </w:p>
        </w:tc>
        <w:tc>
          <w:tcPr>
            <w:tcW w:w="47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exclusive of depreciation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17,969</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16,089</w:t>
            </w:r>
          </w:p>
        </w:tc>
        <w:tc>
          <w:tcPr>
            <w:tcW w:w="42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1,880</w:t>
            </w: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16,444</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15,268</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1,176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Total segment operating expenses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66,503</w:t>
            </w:r>
          </w:p>
        </w:tc>
        <w:tc>
          <w:tcPr>
            <w:tcW w:w="4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68,489</w:t>
            </w:r>
          </w:p>
        </w:tc>
        <w:tc>
          <w:tcPr>
            <w:tcW w:w="42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(1,986)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38,708</w:t>
            </w:r>
          </w:p>
        </w:tc>
        <w:tc>
          <w:tcPr>
            <w:tcW w:w="4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34,364</w:t>
            </w:r>
          </w:p>
        </w:tc>
        <w:tc>
          <w:tcPr>
            <w:tcW w:w="4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4,344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Wireless service revenue increased $2.0 million, or 2.1%, for the six months ended June 30, 2015, compared to the comparable 2014 period. Net prepaid service revenues grew $2.2 million, or 9.9%, due primarily to 6.3% growth in average prepaid subscribers over 2014. Net postpaid service revenues decreased $0.1 million. Average postpaid subscribers increased 5.9% in 2015 over the 2014 period, but was largely offset by a switch to lower revenue service plans associated with handset financing plans. Under these programs, the Company receives less service revenue from the subscriber, while the equipment revenue from the subscriber and the handset expense become Sprint’s responsibility and are not recorded by the Company. The decreases in service revenues are currently more than offset by a decrease in handset expense within cost of goods and services.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Equipment revenue increased due primarily to lower discounts on subsidized handset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56"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Cost of goods and services decreased $5.0 million, or 13.6%, in 2015 from the first half of 2014. Postpaid handset costs decreased $5.8 million, as handset expenses associated with financing and leasing plans are Sprint’s responsibility and are not recorded by the Company. Prepaid handset costs increased $0.3 million due to an increase in gross prepaid subscriber additions. The prior year period included a one-time $0.4 million gain on disposal of 3G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Selling, general and administrative costs increased $1.9 million, or 11.7%, in the first six months of 2015 from the comparable 2014 period. Costs to support the prepaid subscriber base grew $1.5 million, driven by subscriber growth, product mix, and higher expense rates. Advertising expenses increased $0.6 million. Personnel costs increased $0.3 million due to the addition of new retail stores. The increases were partially offset by a $0.8 million decline in third party commissions expense due to lower volume of commissionable handsets activated through dealer channels.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Depreciation and amortization increased $1.2 million, or 7.7%, in the first six months of 2015 over the comparable 2014 period. Depreciation expense grew $1.6 million due to ongoing investments in wireless network coverage and capacity. The increase was partially offset by a $0.4 million decline in amortization expense.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256" w:lineRule="exact"/>
        <w:rPr>
          <w:sz w:val="20"/>
          <w:szCs w:val="20"/>
          <w:color w:val="auto"/>
        </w:rPr>
      </w:pPr>
    </w:p>
    <w:p>
      <w:pPr>
        <w:jc w:val="both"/>
        <w:ind w:right="880"/>
        <w:spacing w:after="0" w:line="264" w:lineRule="auto"/>
        <w:rPr>
          <w:sz w:val="20"/>
          <w:szCs w:val="20"/>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June 30,</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w w:val="95"/>
              </w:rPr>
              <w:t>December 31,</w:t>
            </w: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June 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December 31,</w:t>
            </w: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2014</w:t>
            </w: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2014</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Homes Passed (1)</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172,144</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171,589</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171,147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Customer Relationships (2)</w:t>
            </w: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Video customers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48,659</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49,247</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50,159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51,197</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Non-video customers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22,810</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22,051</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19,730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18,341</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customer relationships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71,469</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71,298</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69,889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69,538</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Video</w:t>
            </w: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Customers (3)</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50,892</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52,095</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51,699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53,076</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Penetration (4)</w:t>
            </w:r>
          </w:p>
        </w:tc>
        <w:tc>
          <w:tcPr>
            <w:tcW w:w="1380" w:type="dxa"/>
            <w:vAlign w:val="bottom"/>
          </w:tcPr>
          <w:p>
            <w:pPr>
              <w:jc w:val="right"/>
              <w:spacing w:after="0"/>
              <w:rPr>
                <w:sz w:val="20"/>
                <w:szCs w:val="20"/>
                <w:color w:val="auto"/>
              </w:rPr>
            </w:pPr>
            <w:r>
              <w:rPr>
                <w:rFonts w:ascii="Arial" w:cs="Arial" w:eastAsia="Arial" w:hAnsi="Arial"/>
                <w:sz w:val="18"/>
                <w:szCs w:val="18"/>
                <w:color w:val="auto"/>
              </w:rPr>
              <w:t>29.6%</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30.4%</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Digital video penetration (5)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65.9%</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High-speed Internet</w:t>
            </w: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 Homes (6)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172,144</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171,589</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168,923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168,255</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Customers (3)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53,097</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51,359</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48,096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45,776</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Penetration (4)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29.9%</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Voice</w:t>
            </w: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 Homes (6)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169,407</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168,852</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166,186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163,282</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Customers (3)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19,401</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18,262</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16,426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14,988</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Penetration (4)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10.8%</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Revenue Generating Units (7)</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123,390</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121,716</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116,221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113,840</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2,839</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2,834</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2,463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2,636</w:t>
            </w: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Fiber Miles (8)</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73,735</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72,694</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70,772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69,296</w:t>
            </w:r>
          </w:p>
        </w:tc>
      </w:tr>
    </w:tbl>
    <w:p>
      <w:pPr>
        <w:spacing w:after="0" w:line="214" w:lineRule="exact"/>
        <w:rPr>
          <w:sz w:val="20"/>
          <w:szCs w:val="20"/>
          <w:color w:val="auto"/>
        </w:rPr>
      </w:pPr>
    </w:p>
    <w:p>
      <w:pPr>
        <w:ind w:left="660" w:right="4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relationships represent the number of customers who receive at least one of our services.</w:t>
      </w:r>
    </w:p>
    <w:p>
      <w:pPr>
        <w:spacing w:after="0" w:line="9"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Penetration is calculated by dividing the number of customers by the number of homes passed or available homes, as appropriate.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or digital adapters counts as one digital video customer.</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Homes and businesses are considered available (“available homes”) if we can connect them to our distribution system without further extending the transmission lines and if we offer the service in that area.</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generating units are the sum of video, voice and high-speed internet customers.</w:t>
      </w:r>
    </w:p>
    <w:p>
      <w:pPr>
        <w:spacing w:after="0" w:line="9"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580" w:type="dxa"/>
            <w:vAlign w:val="bottom"/>
            <w:gridSpan w:val="7"/>
          </w:tcPr>
          <w:p>
            <w:pPr>
              <w:spacing w:after="0"/>
              <w:rPr>
                <w:sz w:val="20"/>
                <w:szCs w:val="20"/>
                <w:color w:val="auto"/>
              </w:rPr>
            </w:pPr>
            <w:r>
              <w:rPr>
                <w:rFonts w:ascii="Arial" w:cs="Arial" w:eastAsia="Arial" w:hAnsi="Arial"/>
                <w:sz w:val="18"/>
                <w:szCs w:val="18"/>
                <w:b w:val="1"/>
                <w:bCs w:val="1"/>
                <w:color w:val="auto"/>
                <w:w w:val="97"/>
              </w:rPr>
              <w:t>Three Months Ended June 30, 2015 Compared with the Three Months Ended June 30, 2014</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4"/>
                <w:szCs w:val="24"/>
                <w:color w:val="auto"/>
              </w:rPr>
            </w:pPr>
          </w:p>
        </w:tc>
        <w:tc>
          <w:tcPr>
            <w:tcW w:w="240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3"/>
          </w:tcPr>
          <w:p>
            <w:pPr>
              <w:spacing w:after="0"/>
              <w:rPr>
                <w:sz w:val="20"/>
                <w:szCs w:val="20"/>
                <w:color w:val="auto"/>
              </w:rPr>
            </w:pPr>
            <w:r>
              <w:rPr>
                <w:rFonts w:ascii="Arial" w:cs="Arial" w:eastAsia="Arial" w:hAnsi="Arial"/>
                <w:sz w:val="18"/>
                <w:szCs w:val="18"/>
                <w:color w:val="auto"/>
              </w:rPr>
              <w:t>Segment operating revenues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revenue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22,117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18,981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3,136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Other revenue (1)</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2,036</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1,856</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180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revenues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24,153</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20,837</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3,316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Cost of goods and services, exclusive of depreciation and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ind w:left="280"/>
              <w:spacing w:after="0"/>
              <w:rPr>
                <w:sz w:val="20"/>
                <w:szCs w:val="20"/>
                <w:color w:val="auto"/>
              </w:rPr>
            </w:pPr>
            <w:r>
              <w:rPr>
                <w:rFonts w:ascii="Arial" w:cs="Arial" w:eastAsia="Arial" w:hAnsi="Arial"/>
                <w:sz w:val="18"/>
                <w:szCs w:val="18"/>
                <w:color w:val="auto"/>
              </w:rPr>
              <w:t>amortization shown separately below</w:t>
            </w: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13,635</w:t>
            </w:r>
          </w:p>
        </w:tc>
        <w:tc>
          <w:tcPr>
            <w:tcW w:w="3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12,421</w:t>
            </w:r>
          </w:p>
        </w:tc>
        <w:tc>
          <w:tcPr>
            <w:tcW w:w="38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1,214</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Selling, general, and administrative, exclusive of depreciation</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5,084</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4,735</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349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5,859</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5,766</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93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expenses</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24,578</w:t>
            </w: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22,922</w:t>
            </w:r>
          </w:p>
        </w:tc>
        <w:tc>
          <w:tcPr>
            <w:tcW w:w="3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1,656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loss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1,660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year service and other revenue amounts have been recast to conform to the current year presentation of video and internet equipment revenues being included in service revenue rather than other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Cable segment service revenue increased $3.1 million, or 16.5%. Internet service revenue increased $2.1 million, or 31.1%, due to a 10.4% increase in average internet subscribers, along with an improved product mix as customers upgrade to higher-speed plans. Video revenue, including retransmission consent fee surcharges, increased $1.1 million, driven by video rate increases in January 2015 and new customers selecting higher-priced digital TV services. Voice revenue increased $0.4 million due to 19.5% growth in average voice revenue generating units. These increases were partially offset by a $0.7 million increase in bundle discounts.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$0.2 million, primarily due to new fiber contracts.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Cable segment cost of goods and services increased $1.2 million, or 9.8%, in the second quarter of 2015 over the comparable 2014 period. Video programming costs, including retransmission consent fees, increased $1.0 million as the impact of rising rates per subscriber outpaced declining video subscriber counts.</w:t>
      </w:r>
    </w:p>
    <w:p>
      <w:pPr>
        <w:spacing w:after="0" w:line="20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Selling, general and administrative expenses grew $0.3 million against the prior year quarter as growth in bad debt expense, administrative expenses and operating taxes was partially offset by a decline in marketing and selling costs.</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40" w:type="dxa"/>
            <w:vAlign w:val="bottom"/>
            <w:gridSpan w:val="6"/>
          </w:tcPr>
          <w:p>
            <w:pPr>
              <w:spacing w:after="0"/>
              <w:rPr>
                <w:sz w:val="20"/>
                <w:szCs w:val="20"/>
                <w:color w:val="auto"/>
              </w:rPr>
            </w:pPr>
            <w:r>
              <w:rPr>
                <w:rFonts w:ascii="Arial" w:cs="Arial" w:eastAsia="Arial" w:hAnsi="Arial"/>
                <w:sz w:val="18"/>
                <w:szCs w:val="18"/>
                <w:b w:val="1"/>
                <w:bCs w:val="1"/>
                <w:color w:val="auto"/>
                <w:w w:val="90"/>
              </w:rPr>
              <w:t>Six Months Ended June 30, 2015 Compared with the Six Months Ended June 30, 2014</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3"/>
          </w:tcPr>
          <w:p>
            <w:pPr>
              <w:jc w:val="right"/>
              <w:ind w:right="630"/>
              <w:spacing w:after="0"/>
              <w:rPr>
                <w:sz w:val="20"/>
                <w:szCs w:val="20"/>
                <w:color w:val="auto"/>
              </w:rPr>
            </w:pPr>
            <w:r>
              <w:rPr>
                <w:rFonts w:ascii="Arial" w:cs="Arial" w:eastAsia="Arial" w:hAnsi="Arial"/>
                <w:sz w:val="18"/>
                <w:szCs w:val="18"/>
                <w:color w:val="auto"/>
              </w:rPr>
              <w:t>Six Months Ended</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June 30,</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2014</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3"/>
          </w:tcPr>
          <w:p>
            <w:pPr>
              <w:spacing w:after="0"/>
              <w:rPr>
                <w:sz w:val="20"/>
                <w:szCs w:val="20"/>
                <w:color w:val="auto"/>
              </w:rPr>
            </w:pPr>
            <w:r>
              <w:rPr>
                <w:rFonts w:ascii="Arial" w:cs="Arial" w:eastAsia="Arial" w:hAnsi="Arial"/>
                <w:sz w:val="18"/>
                <w:szCs w:val="18"/>
                <w:color w:val="auto"/>
              </w:rPr>
              <w:t>Segment operating revenues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revenue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43,518</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37,855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5,663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Other revenue (1)</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3,947</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3,462</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485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revenues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47,465</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41,317</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6,148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Cost of goods and services, exclusive of depreciation and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ind w:left="280"/>
              <w:spacing w:after="0"/>
              <w:rPr>
                <w:sz w:val="20"/>
                <w:szCs w:val="20"/>
                <w:color w:val="auto"/>
              </w:rPr>
            </w:pPr>
            <w:r>
              <w:rPr>
                <w:rFonts w:ascii="Arial" w:cs="Arial" w:eastAsia="Arial" w:hAnsi="Arial"/>
                <w:sz w:val="18"/>
                <w:szCs w:val="18"/>
                <w:color w:val="auto"/>
              </w:rPr>
              <w:t>amortization shown separately below</w:t>
            </w: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27,253</w:t>
            </w:r>
          </w:p>
        </w:tc>
        <w:tc>
          <w:tcPr>
            <w:tcW w:w="44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24,811</w:t>
            </w:r>
          </w:p>
        </w:tc>
        <w:tc>
          <w:tcPr>
            <w:tcW w:w="38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2,442</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Selling, general and administrative, exclusive of depreciation</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9,976</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9,381</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595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11,338</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11,170</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168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48,567</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45,362</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3,205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loss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2,943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year service and other revenue amounts have been recast to conform to the current year presentation of video and internet equipment revenues being included in service revenue rather than other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Cable segment service revenue increased $5.7 million, or 15.0%. Internet service revenue increased $4.2 million, or 32.2%, due to a 10.8% increase in average internet subscribers, along with an improved product mix as customers upgrade to higher-speed plans. Video revenue, including retransmission consent fee surcharges, increased $1.9 million driven by video rate increases in January 2015 and new customers selecting higher-priced digital TV services. Voice revenue increased $0.7 million due to 20.6% growth in average voice revenue generating units. These increases were partially offset by a $1.6 million increase in bundle discounts.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$0.5 million, primarily due to new fiber contracts.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Cable segment cost of goods and services increased $2.4 million, or 9.8%, in the six months ended June 30, 2015 over the comparable 2014 period. Video programming costs, including retransmission consent fees, increased $2.3 million as the impact of rising rates per subscriber outpaced declining video subscriber counts.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general and administrative expenses grew $0.6 million against the prior year period as growth in administrative, bad debt and operating tax expenses was partially offset by a decline in customer service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w:t>
      </w:r>
    </w:p>
    <w:p>
      <w:pPr>
        <w:spacing w:after="0" w:line="256" w:lineRule="exact"/>
        <w:rPr>
          <w:sz w:val="20"/>
          <w:szCs w:val="20"/>
          <w:color w:val="auto"/>
        </w:rPr>
      </w:pPr>
    </w:p>
    <w:p>
      <w:pPr>
        <w:ind w:right="820"/>
        <w:spacing w:after="0" w:line="302" w:lineRule="auto"/>
        <w:rPr>
          <w:sz w:val="20"/>
          <w:szCs w:val="20"/>
          <w:color w:val="auto"/>
        </w:rPr>
      </w:pPr>
      <w:r>
        <w:rPr>
          <w:rFonts w:ascii="Arial" w:cs="Arial" w:eastAsia="Arial" w:hAnsi="Arial"/>
          <w:sz w:val="16"/>
          <w:szCs w:val="16"/>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4"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June 30,</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Dec. 31,</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June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 31,</w:t>
            </w:r>
          </w:p>
        </w:tc>
      </w:tr>
      <w:tr>
        <w:trPr>
          <w:trHeight w:val="237"/>
        </w:trPr>
        <w:tc>
          <w:tcPr>
            <w:tcW w:w="4920" w:type="dxa"/>
            <w:vAlign w:val="bottom"/>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2014</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Telephone Access Lines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21,615</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21,612</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21,842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22,106</w:t>
            </w: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Long Distance Subscribers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9,560</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9,571</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9,730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9,851</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Video Customers(1)</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5,473</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5,692</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5,904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DSL Subscribers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12,856</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12,742</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12,707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12,632</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1,590</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1,556</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1,452</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Total Fiber Miles (2)</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102,821</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99,387</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85,348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84,600</w:t>
            </w:r>
          </w:p>
        </w:tc>
      </w:tr>
    </w:tbl>
    <w:p>
      <w:pPr>
        <w:spacing w:after="0" w:line="21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Wireline segment’s video service passes approximately 16,000 homes.</w:t>
      </w:r>
    </w:p>
    <w:p>
      <w:pPr>
        <w:spacing w:after="0" w:line="23" w:lineRule="exact"/>
        <w:rPr>
          <w:rFonts w:ascii="Arial" w:cs="Arial" w:eastAsia="Arial" w:hAnsi="Arial"/>
          <w:sz w:val="18"/>
          <w:szCs w:val="18"/>
          <w:color w:val="auto"/>
        </w:rPr>
      </w:pPr>
    </w:p>
    <w:p>
      <w:pPr>
        <w:jc w:val="both"/>
        <w:ind w:left="660" w:hanging="328"/>
        <w:spacing w:after="0" w:line="32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Fiber miles are measured by taking the number of fiber strands in a cable and multiplying that number by the route distance. For example, a 10 mile route with 144 fiber strands would equal 1,440 fiber miles. Fiber counts were revised following a review of fiber records in the first quarter of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2015 Compared with the Three Months Ended June 30, 2014</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revenue (1)</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229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Carrier access and fiber revenues (1)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10,151</w:t>
            </w: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9,639</w:t>
            </w:r>
          </w:p>
        </w:tc>
        <w:tc>
          <w:tcPr>
            <w:tcW w:w="420" w:type="dxa"/>
            <w:vAlign w:val="bottom"/>
          </w:tcPr>
          <w:p>
            <w:pPr>
              <w:spacing w:after="0"/>
              <w:rPr>
                <w:sz w:val="18"/>
                <w:szCs w:val="18"/>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512</w:t>
            </w: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 (1)</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Total segment operating revenues</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16,463</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15,644</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819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Cost of goods and services, exclusive of depreciation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7,677</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7,737</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exclusive of depreciation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1,736</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1,493</w:t>
            </w:r>
          </w:p>
        </w:tc>
        <w:tc>
          <w:tcPr>
            <w:tcW w:w="42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243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430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segment operating expenses</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12,496</w:t>
            </w: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11,883</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613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3,967</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206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1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year categories of access revenue, facilities lease revenue and equipment revenue have been combined into the new category of carrier access and fiber revenue to conform to current year presentation. Additionally, set-top box revenues included in other revenue in the prior year are now presented within service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Total operating revenues in the quarter ended June 30, 2015 increased $0.8 million, or 5.2%, against the comparable 2014 period. Carrier access and fiber revenues increased $0.5 million due to growth in both affiliate and non-affiliate fiber contracts. Internet service revenue increased $0.2 million as customers upgrade to higher-speed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Operating expenses overall increased $0.6 million, or 5.2%, in the quarter ended June 30, 2015, compared to the 2014 quarter. Selling, general and administrative expenses increased as a result of growth in sales and customer service support teams. Depreciation expense grew as a result of continued investment in the construction of fiber facilities.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Six Months Ended June 30, 2015 Compared with the Six Months Ended June 30, 2014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590"/>
              <w:spacing w:after="0"/>
              <w:rPr>
                <w:sz w:val="20"/>
                <w:szCs w:val="20"/>
                <w:color w:val="auto"/>
              </w:rPr>
            </w:pPr>
            <w:r>
              <w:rPr>
                <w:rFonts w:ascii="Arial" w:cs="Arial" w:eastAsia="Arial" w:hAnsi="Arial"/>
                <w:sz w:val="18"/>
                <w:szCs w:val="18"/>
                <w:color w:val="auto"/>
              </w:rPr>
              <w:t>Six Months Ended</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revenue (1)</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Carrier access and fiber revenue (1)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19,678</w:t>
            </w: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19,514</w:t>
            </w:r>
          </w:p>
        </w:tc>
        <w:tc>
          <w:tcPr>
            <w:tcW w:w="420" w:type="dxa"/>
            <w:vAlign w:val="bottom"/>
          </w:tcPr>
          <w:p>
            <w:pPr>
              <w:spacing w:after="0"/>
              <w:rPr>
                <w:sz w:val="18"/>
                <w:szCs w:val="18"/>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164</w:t>
            </w: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revenue (1)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segment operating revenues</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32,048</w:t>
            </w: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31,419</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629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Cost of goods and services, exclusive of depreciation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15,011</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15,219</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exclusive of depreciation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3,234</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2,737</w:t>
            </w:r>
          </w:p>
        </w:tc>
        <w:tc>
          <w:tcPr>
            <w:tcW w:w="42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497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6,007</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5,350</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657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segment operating expenses</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24,252</w:t>
            </w: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23,306</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946</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7,796</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8,113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(317)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1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year categories of access revenue, facilities lease revenue and equipment revenue have been combined into the new category of carrier access and fiber revenue to conform to current year presentation. Additionally, set-top box revenues included in other revenue in the prior year are now presented within service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Total operating revenues in the six months ended June 30, 2015 increased $0.6 million, or 2.0%, against the comparable 2014 period. Internet service revenue increased $0.3 million as customers upgrade to higher-speed plans.</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Carrier access and fiber revenues increased $0.2 million as growth in affiliate and non-affiliate fiber contracts were offset by the impact of favorable NECA pool adjustments that were recorded in the first quarter of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expenses overall increased $0.9 million, or 4.1%, in the six months ended June 30, 2015, compared to the 2014 period. The decline in cost of goods and services primarily resulted from additional labor costs being capitalized to fixed asset project costs. Selling, general and administrative expenses increased as a result of growth in sales and customer service support teams. Depreciation expense grew as a result of continued investment in the construction of fiber facilities.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5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managing our business and assessing our financial performance, management supplements the information provided by financial statement measures prepared in accordance with GAAP with adjusted OIBDA, which is considered a “non-GAAP financial measure” under SEC rules.</w:t>
      </w:r>
    </w:p>
    <w:p>
      <w:pPr>
        <w:spacing w:after="0" w:line="17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Adjusted OIBDA is defined by us as operating income (loss) before depreciation and amortization, adjusted to exclude the effects of: certain non-recurring transactions; impairment of assets; gains and losses on asset sales; and share-based compensation expense. Adjusted OIBDA should not be construed as an alternative to operating income as determined in accordance with GAAP as a measure of operating performance.</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 capital-intensive industry such as telecommunications, management believes that adjusted OIBDA and the associated percentage margin calculations are meaningful measures of our operating performance. We use adjusted OIBDA as a supplemental performance measure because management believes it facilitates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facilitates internal comparisons of our historical operating performance, which are used by management for business planning purposes, and also facilitates comparisons of our performance relative to that of our competitors. In addition, we believe that adjusted OIBDA and similar measures are widely used by investors and financial analysts as measures of our financial performance over time, and to compare our financial performance with that of other companies in our industry.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Adjusted OIBDA has limitations as an analytical tool, and should not be considered in isolation or as a substitute for analysis of our results as reported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These limitations include the following:</w:t>
      </w:r>
    </w:p>
    <w:p>
      <w:pPr>
        <w:spacing w:after="0" w:line="23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does not reflect capital expenditures;</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OIBDA does not reflect cash requirements for such replacements;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does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does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does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does not reflect expenses incurred for the payment of income taxes; and</w:t>
      </w:r>
    </w:p>
    <w:p>
      <w:pPr>
        <w:spacing w:after="0" w:line="9" w:lineRule="exact"/>
        <w:rPr>
          <w:rFonts w:ascii="Arial" w:cs="Arial" w:eastAsia="Arial" w:hAnsi="Arial"/>
          <w:sz w:val="18"/>
          <w:szCs w:val="18"/>
          <w:color w:val="auto"/>
        </w:rPr>
      </w:pPr>
    </w:p>
    <w:p>
      <w:pPr>
        <w:ind w:left="660" w:right="94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OIBDA differently than we do, limiting its usefulness as a comparative measure.</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light of these limitations, management considers adjusted OIBDA as a financial performance measure that supplements but does not replace the information reflected in our GAAP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adjusted OIBDA for the three and six months ended June 30, 2015 and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Three Months Ended</w:t>
            </w:r>
          </w:p>
        </w:tc>
        <w:tc>
          <w:tcPr>
            <w:tcW w:w="380" w:type="dxa"/>
            <w:vAlign w:val="bottom"/>
          </w:tcPr>
          <w:p>
            <w:pPr>
              <w:spacing w:after="0"/>
              <w:rPr>
                <w:sz w:val="18"/>
                <w:szCs w:val="18"/>
                <w:color w:val="auto"/>
              </w:rPr>
            </w:pPr>
          </w:p>
        </w:tc>
        <w:tc>
          <w:tcPr>
            <w:tcW w:w="2360" w:type="dxa"/>
            <w:vAlign w:val="bottom"/>
            <w:gridSpan w:val="4"/>
          </w:tcPr>
          <w:p>
            <w:pPr>
              <w:ind w:left="380"/>
              <w:spacing w:after="0"/>
              <w:rPr>
                <w:sz w:val="20"/>
                <w:szCs w:val="20"/>
                <w:color w:val="auto"/>
              </w:rPr>
            </w:pPr>
            <w:r>
              <w:rPr>
                <w:rFonts w:ascii="Arial" w:cs="Arial" w:eastAsia="Arial" w:hAnsi="Arial"/>
                <w:sz w:val="18"/>
                <w:szCs w:val="18"/>
                <w:color w:val="auto"/>
              </w:rPr>
              <w:t>Six Months Ended</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left="554"/>
              <w:spacing w:after="0"/>
              <w:rPr>
                <w:sz w:val="20"/>
                <w:szCs w:val="20"/>
                <w:color w:val="auto"/>
              </w:rPr>
            </w:pPr>
            <w:r>
              <w:rPr>
                <w:rFonts w:ascii="Arial" w:cs="Arial" w:eastAsia="Arial" w:hAnsi="Arial"/>
                <w:sz w:val="18"/>
                <w:szCs w:val="18"/>
                <w:color w:val="auto"/>
                <w:w w:val="86"/>
              </w:rPr>
              <w:t>June 30,</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w w:val="98"/>
              </w:rPr>
              <w:t>June 30,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49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37,239</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33,043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72,934</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64,703</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59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color w:val="auto"/>
              </w:rPr>
              <w:t>25</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adjusted OIBDA to operating income, which we consider to be the most directly comparable GAAP financial measure, for the three and six months ended June 30, 2015 and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Consolidated:</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3"/>
          </w:tcPr>
          <w:p>
            <w:pPr>
              <w:jc w:val="right"/>
              <w:ind w:right="37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4"/>
          </w:tcPr>
          <w:p>
            <w:pPr>
              <w:jc w:val="right"/>
              <w:ind w:right="620"/>
              <w:spacing w:after="0"/>
              <w:rPr>
                <w:sz w:val="20"/>
                <w:szCs w:val="20"/>
                <w:color w:val="auto"/>
              </w:rPr>
            </w:pPr>
            <w:r>
              <w:rPr>
                <w:rFonts w:ascii="Arial" w:cs="Arial" w:eastAsia="Arial" w:hAnsi="Arial"/>
                <w:sz w:val="18"/>
                <w:szCs w:val="18"/>
                <w:color w:val="auto"/>
              </w:rPr>
              <w:t>Six Months Ended</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18,750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37,276</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17,663</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16,595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34,001</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31,983</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2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608</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1,430</w:t>
            </w: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37,239</w:t>
            </w:r>
          </w:p>
        </w:tc>
        <w:tc>
          <w:tcPr>
            <w:tcW w:w="4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33,043</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72,934</w:t>
            </w:r>
          </w:p>
        </w:tc>
        <w:tc>
          <w:tcPr>
            <w:tcW w:w="4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reconcile adjusted OIBDA to operating income by major segment for the three and six months ended June 30, 2015 and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Wireless Segment:</w:t>
            </w: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320" w:type="dxa"/>
            <w:vAlign w:val="bottom"/>
            <w:gridSpan w:val="4"/>
          </w:tcPr>
          <w:p>
            <w:pPr>
              <w:jc w:val="center"/>
              <w:ind w:right="260"/>
              <w:spacing w:after="0"/>
              <w:rPr>
                <w:sz w:val="20"/>
                <w:szCs w:val="20"/>
                <w:color w:val="auto"/>
              </w:rPr>
            </w:pPr>
            <w:r>
              <w:rPr>
                <w:rFonts w:ascii="Arial" w:cs="Arial" w:eastAsia="Arial" w:hAnsi="Arial"/>
                <w:sz w:val="18"/>
                <w:szCs w:val="18"/>
                <w:color w:val="auto"/>
                <w:w w:val="91"/>
              </w:rPr>
              <w:t>Six Months Ended</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left="570"/>
              <w:spacing w:after="0"/>
              <w:rPr>
                <w:sz w:val="20"/>
                <w:szCs w:val="20"/>
                <w:color w:val="auto"/>
              </w:rPr>
            </w:pPr>
            <w:r>
              <w:rPr>
                <w:rFonts w:ascii="Arial" w:cs="Arial" w:eastAsia="Arial" w:hAnsi="Arial"/>
                <w:sz w:val="18"/>
                <w:szCs w:val="18"/>
                <w:color w:val="auto"/>
                <w:w w:val="86"/>
              </w:rPr>
              <w:t>June 30,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left="53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2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19,270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38,708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8,612</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16,444</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15,268</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143</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334</w:t>
            </w:r>
          </w:p>
        </w:tc>
        <w:tc>
          <w:tcPr>
            <w:tcW w:w="4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28,033</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25,813</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55,519</w:t>
            </w:r>
          </w:p>
        </w:tc>
        <w:tc>
          <w:tcPr>
            <w:tcW w:w="4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Cable Segment:</w:t>
            </w: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320" w:type="dxa"/>
            <w:vAlign w:val="bottom"/>
            <w:gridSpan w:val="4"/>
          </w:tcPr>
          <w:p>
            <w:pPr>
              <w:jc w:val="center"/>
              <w:ind w:right="260"/>
              <w:spacing w:after="0"/>
              <w:rPr>
                <w:sz w:val="20"/>
                <w:szCs w:val="20"/>
                <w:color w:val="auto"/>
              </w:rPr>
            </w:pPr>
            <w:r>
              <w:rPr>
                <w:rFonts w:ascii="Arial" w:cs="Arial" w:eastAsia="Arial" w:hAnsi="Arial"/>
                <w:sz w:val="18"/>
                <w:szCs w:val="18"/>
                <w:color w:val="auto"/>
                <w:w w:val="91"/>
              </w:rPr>
              <w:t>Six Months Ended</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left="570"/>
              <w:spacing w:after="0"/>
              <w:rPr>
                <w:sz w:val="20"/>
                <w:szCs w:val="20"/>
                <w:color w:val="auto"/>
              </w:rPr>
            </w:pPr>
            <w:r>
              <w:rPr>
                <w:rFonts w:ascii="Arial" w:cs="Arial" w:eastAsia="Arial" w:hAnsi="Arial"/>
                <w:sz w:val="18"/>
                <w:szCs w:val="18"/>
                <w:color w:val="auto"/>
                <w:w w:val="86"/>
              </w:rPr>
              <w:t>June 30,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left="53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2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5,859</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11,338</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11,170</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Plus loss on asset sales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504</w:t>
            </w:r>
          </w:p>
        </w:tc>
        <w:tc>
          <w:tcPr>
            <w:tcW w:w="4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5,716</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10,792</w:t>
            </w:r>
          </w:p>
        </w:tc>
        <w:tc>
          <w:tcPr>
            <w:tcW w:w="4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Wireline Segment:</w:t>
            </w: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320" w:type="dxa"/>
            <w:vAlign w:val="bottom"/>
            <w:gridSpan w:val="4"/>
          </w:tcPr>
          <w:p>
            <w:pPr>
              <w:jc w:val="center"/>
              <w:ind w:right="260"/>
              <w:spacing w:after="0"/>
              <w:rPr>
                <w:sz w:val="20"/>
                <w:szCs w:val="20"/>
                <w:color w:val="auto"/>
              </w:rPr>
            </w:pPr>
            <w:r>
              <w:rPr>
                <w:rFonts w:ascii="Arial" w:cs="Arial" w:eastAsia="Arial" w:hAnsi="Arial"/>
                <w:sz w:val="18"/>
                <w:szCs w:val="18"/>
                <w:color w:val="auto"/>
                <w:w w:val="91"/>
              </w:rPr>
              <w:t>Six Months Ended</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left="570"/>
              <w:spacing w:after="0"/>
              <w:rPr>
                <w:sz w:val="20"/>
                <w:szCs w:val="20"/>
                <w:color w:val="auto"/>
              </w:rPr>
            </w:pPr>
            <w:r>
              <w:rPr>
                <w:rFonts w:ascii="Arial" w:cs="Arial" w:eastAsia="Arial" w:hAnsi="Arial"/>
                <w:sz w:val="18"/>
                <w:szCs w:val="18"/>
                <w:color w:val="auto"/>
                <w:w w:val="86"/>
              </w:rPr>
              <w:t>June 30,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left="53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2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3,967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7,796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3,083</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6,007</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5,350</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Plus loss on asset sales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246</w:t>
            </w:r>
          </w:p>
        </w:tc>
        <w:tc>
          <w:tcPr>
            <w:tcW w:w="4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7,281</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14,183</w:t>
            </w:r>
          </w:p>
        </w:tc>
        <w:tc>
          <w:tcPr>
            <w:tcW w:w="4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20" w:type="dxa"/>
            <w:vAlign w:val="bottom"/>
          </w:tcPr>
          <w:p>
            <w:pPr>
              <w:jc w:val="right"/>
              <w:ind w:right="228"/>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has four principal sources of funds available to meet the financing needs of its operations, capital projects, debt service, investments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Sources and Uses of Cash</w:t>
      </w:r>
      <w:r>
        <w:rPr>
          <w:rFonts w:ascii="Arial" w:cs="Arial" w:eastAsia="Arial" w:hAnsi="Arial"/>
          <w:sz w:val="18"/>
          <w:szCs w:val="18"/>
          <w:color w:val="auto"/>
        </w:rPr>
        <w:t>. The Company generated $60.3 million of net cash from operations in the first six months of 2015, compared to $66.6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2014. The decrease was driven primarily by federal and state cash income tax payments in 2015, while the first half of 2014 reflected a small net refund of federal and state income taxes.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As of June 30, 2015, the Company’s indebtedness totaled $212.8 million, with an annualized effective interest rate of approximately 3.40%</w:t>
      </w:r>
      <w:r>
        <w:rPr>
          <w:rFonts w:ascii="Arial" w:cs="Arial" w:eastAsia="Arial" w:hAnsi="Arial"/>
          <w:sz w:val="18"/>
          <w:szCs w:val="18"/>
          <w:i w:val="1"/>
          <w:iCs w:val="1"/>
          <w:color w:val="auto"/>
        </w:rPr>
        <w:t xml:space="preserve"> </w:t>
      </w:r>
      <w:r>
        <w:rPr>
          <w:rFonts w:ascii="Arial" w:cs="Arial" w:eastAsia="Arial" w:hAnsi="Arial"/>
          <w:sz w:val="18"/>
          <w:szCs w:val="18"/>
          <w:color w:val="auto"/>
        </w:rPr>
        <w:t>after considering the impact of the interest rate swap contract. The balance consists of the Term Loan Facility at a variable rate (2.69% as of June 30, 2015) that resets monthly based on one month LIBOR plus a base rate of 2.50% currently. The Term Loan Facility requires quarterly principal repayments of $5.75 million, which began on December 31, 2014 and will continue until the remaining expected balance of approximately $120.75 million is due at maturity on September 30, 2019.</w:t>
      </w:r>
    </w:p>
    <w:p>
      <w:pPr>
        <w:spacing w:after="0" w:line="18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is bound by certain financial covenants under its Credit Agreement. Noncompliance with any one or more of the debt covenants may have an adverse effect on our financial condition or liquidity in the event such noncompliance cannot be cured or should we be unable to obtain a waiver from the lenders. As of June 30, 2015, the Company was in compliance with all debt covenants, and ratios at June 30, 2015 were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Covenant Requirement at</w:t>
            </w:r>
          </w:p>
        </w:tc>
      </w:tr>
      <w:tr>
        <w:trPr>
          <w:trHeight w:val="237"/>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Actual</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June 30, 2015</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Leverage Ratio</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1.50</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2.00 or Lower</w:t>
            </w: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4.88</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2.50 or Higher</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to Assets Ratio</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35.0% or Higher</w:t>
            </w:r>
          </w:p>
        </w:tc>
      </w:tr>
    </w:tbl>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accordance with the Credit Agreement, the total leverage and debt service coverage ratios noted above are based on the twelve months ended June 30, 2015. In addition to the covenants above, the Company is required to supply the lender with quarterly financial statements and other reports as defined by the Credit Agreement. The Company was in compliance with all reporting requirements at June 30, 2015.</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no off-balance sheet arrangements (other than operating leases) and has not entered into any transactions involving unconsolidated, limited purpose entities or commodity contracts.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Capital Commitments. </w:t>
      </w:r>
      <w:r>
        <w:rPr>
          <w:rFonts w:ascii="Arial" w:cs="Arial" w:eastAsia="Arial" w:hAnsi="Arial"/>
          <w:sz w:val="18"/>
          <w:szCs w:val="18"/>
          <w:color w:val="auto"/>
        </w:rPr>
        <w:t>Capital expenditures budgeted for 2015 total $74.8 million. The 2015 budget includes $24.3 million on the Wireless segment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capacity and coverage enhancements and new retail stores; $21.8 million for Cable segment extensions and investment in customer premise equipment; $20.9 million on the Wireline segment budget, primarily for on-going spending to expand and upgrade our fiber networks; and $7.8 million for IT and other back office projects in the Other segment.</w:t>
      </w:r>
    </w:p>
    <w:p>
      <w:pPr>
        <w:spacing w:after="0" w:line="2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first six months of 2015, the Company spent $25.1 million on capital projects, compared to $32.8 million in the comparable 2014 period. Spending related to Wireless projects accounted for $6.1 million in the first six months of 2015, primarily for new cell sites and upgrades to the network switch. Cable capital spending of $9.8 million related to network expansion and upgrades to support new customers and services. Wireline capital projects cost $7.3 million, driven primarily by fiber builds. Other projects totaled $1.9 million, largely related to information technology projects.</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believes that cash on hand, cash flow from operations and borrowings expected to be available under the Company’s existing credit facilities will provide sufficient cash to enable the Company to fund planned capital expenditures, make scheduled principal and interest payments, meet its other cash requirements and maintain compliance with the terms of its financing agreements for at least the next twelve months. Thereafter, capital expenditures will likely continue to be required to provide increased capacity to meet the Company’s expected growth in demand for its products and services. The actual amount and timing of the Company’s future capital requirements may differ materially from the Company’s estimate depending on the demand for its products and new market developments and opportunities.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cash flows from operations could be adversely affected by events outside the Company’s control, including, without limitation, changes in overall economic conditions, regulatory requirements, changes in technologies, demand for its products, availability of labor resources and capital, changes in the Company’s relationship with Sprint, and other conditions. The Wireless segment’s operations are dependent upon Sprint’s ability to execute certain functions such as billing, customer care, and collections; the subsidiary’s ability to develop and implement successful marketing programs and new products and services; and the subsidiary’s ability to effectively and economically manage other operating activities under the Company's agreements with Sprint. The Company's ability to attract and maintain a sufficient customer base, particularly in the acquired cable markets, is also critical to its ability to maintain a positive cash flow from operations. The foregoing events individually or collectively could affect the Company’s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28, 2014, the FASB issued Accounting Standards Update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In July 2015, the FASB voted to approve a one-year deferral of the effective date. The new standard is effective for the Company on January 1, 2018. Early application is permitted as of January 1, 2017.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February 2015, the FASB issued ASU No. 2015-2, Consolidation (Topic 820): Amendments to the Consolidation Analysis. The ASU provides a revised consolidation model for all reporting entities to use in evaluating whether they should consolidate certain legal entities. All legal entities will be subject to reevaluation under this revised consolidation model. The revised consolidation model, among other things, (i) modifies the evaluation of whether limited partnerships and similar legal entities are Variable Interest Entities (“VIEs”) or voting interest entities, (ii) eliminates the presumption that a general partner should consolidate a limited partnership, and (iii) modifies the consolidation analysis of reporting entities that are involved with VIEs through fee arrangements and related party relationships. ASU 2015-2 is effective for fiscal years, and interim reporting periods within those fiscal years, beginning after September 1, 2016 (fiscal 2017). The Company does not expect this ASU will have a material effect on the Company’s consolidated financial position, results of operations or cash flows.</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April 2015, the FASB issued Accounting Standards Update ("ASU") 2015-03, Simplifying the Presentation of Debt Issuance Costs, which requires that debt issuance costs related to a recognized debt liability be presented in the balance sheet as a direct deduction from the carrying amount of that debt liability, consistent with debt discounts. This ASU requires retrospective adoption and will be effective for the Company beginning on January 1, 2016. Early adoption is permitted. As of December 31, 2014, the Company had $2.2 million of unamortized debt issuance costs included in the Deferred Charges and Other Assets; upon adoption, this balance would be reclassified to Long Term Debt, Less Current Maturities, reducing that balance. The Company does not expect this adoption to have a material impact on its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market risks relate primarily to changes in interest rates on instruments held for other than trading purposes. The Company’s interest rate risk generally involves three components. The first component is outstanding debt with variable rates. As of June 30, 2015, the Company had $212.8 million of variable rate debt outstanding, bearing interest at a rate of 2.69% as determined on a monthly basis. An increase in market interest rates of 1.00% would add approximately $2.0 million to annual interest expense, excluding the effect of the interest rate swap. In 2012, the Company entered into a swap agreement that covers notional principal equal to approximately 76% of the outstanding variable rate debt through maturity in 2019, requiring the Company to pay a fixed rate of 1.13% and receive a variable rate based on one month LIBOR (0.19% as of June 30, 2015), to manage a portion of its interest rate risk. Changes in the net interest paid or received under the 2012 swap would offset approximately 76% of the change in interest expense on the variable rate debt outstanding. The 2012 swap currently adds approximately $1.2 million to annual interest expense, based on the spread between the fixed rate and the variable rate currently in effect on our debt.</w:t>
      </w:r>
    </w:p>
    <w:p>
      <w:pPr>
        <w:spacing w:after="0" w:line="20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second component of interest rate risk is temporary excess cash, which can be invested in various short-term investment vehicles such as overnight repurchase agreements and Treasury bills with a maturity of less than 90 days. As of June 30, 2015, the cash is invested in a combination of a commercial checking account that has limited interest rate risk, and three money market mutual funds that contain a total investment of $40 million. Management continually evaluates the most beneficial use of these funds.</w:t>
      </w:r>
    </w:p>
    <w:p>
      <w:pPr>
        <w:spacing w:after="0" w:line="21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third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June 30, 2015, the Company has $51.2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2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of June 30, 2015, the Company had $7.8 million of cost and equity method investments. Approximately $2.6 million is invested in privately held companies through investments with portfolio managers. Most of the companies are in an early stage of development and significant increases in interest rates could have an adverse impact on their results, ability to raise capital and viability. The Company’s market risk is limited to the funds previously invested.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and the Vice President - Finance and Chief Financial Officer, who is the principal financial officer, conducted an evaluation of our disclosure controls and procedures, as defined by Rule 13a-15(e) under the Securities Exchange Act of 1934. Based on this evaluation, the Company's principal executive officer and its principal financial officer concluded that the Company's disclosure controls and procedures were effective as of June 30, 2015.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second quarter of 2015, there were no changes in the Company's internal control over financial reporting that have materially affected, or are reasonably likely to materially affect, its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Relating to Internal Control Over Financial Reporting</w:t>
      </w:r>
    </w:p>
    <w:p>
      <w:pPr>
        <w:spacing w:after="0" w:line="25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Under the Company’s agreements with Sprint, Sprint provides the Company with billing, collections, customer care, certain network operations and other back-office services for the PCS operation. As a result, Sprint remits to the Company approximately 57% of the Company’s total operating revenues. Due to this relationship, the Company necessarily relies on Sprint to provide accurate, timely and sufficient data and information to properly record the Company’s revenues and accounts receivable, which underlie a substantial portion of the Company’s periodic financial statements and other financial disclosures.</w:t>
      </w:r>
    </w:p>
    <w:p>
      <w:pPr>
        <w:spacing w:after="0" w:line="18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Information provided by Sprint includes reports regarding the subscriber accounts receivable in the Company’s markets. Sprint provides the Company with monthly accounts receivable, billing and cash receipts information on a market level, rather than a subscriber level. The Company reviews these various reports to identify discrepancies or errors. Under the Company’s agreements with Sprint, the Company is entitled to only a portion of the receipts, net of items such as taxes, government surcharges, certain allocable write-offs and the 22.0% of revenue retained by Sprint. Because of the Company’s reliance on Sprint for financial information, the Company must depend on Sprint to design adequate internal controls with respect to the processes established to provide this data and information to the Company and Sprint’s other Sprint PCS affiliate network partners. To address this issue, Sprint engages an independent registered public accounting firm to perform a periodic evaluation of these controls and to provide a “Report on Controls Placed in Operation and Tests of Operating Effectiveness” under guidance provided in Statements on Standards for Attestation Engagements No. 16 (“SSAE 16”). The report is provided to the Company on an annual basis and covers a nine-month period. The most recent report covered the period from January 1, 2014 to September 30, 2014. The most recent report indicated there were no material issues which would adversely affect the information used to support the recording of the revenues provided by Sprint related to the Company’s relationship with them.</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previously discussed, our actual results could differ materially from our forward-looking statements. There have been no material changes in the risk factors from those described in Part 1, Item 1A of the Company’s Annual Report on Form 10-K for the fiscal year ended December 31, 2014.</w:t>
      </w:r>
    </w:p>
    <w:p>
      <w:pPr>
        <w:spacing w:after="0" w:line="14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conjunction with exercises of stock options and distributions of vested share awards, the Company periodically repurchases shares from recipients to satisfy some of the exercise price of the options being exercised or taxes payable associated with the distribution of shares. The following table provides information about the Company’s repurchases of shares during the three months ended June 30, 2015: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Number of Shares</w:t>
            </w: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Average Price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Paid per Share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April 1 to April 30</w:t>
            </w:r>
          </w:p>
        </w:tc>
        <w:tc>
          <w:tcPr>
            <w:tcW w:w="266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36.79</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May 1 to May 31</w:t>
            </w:r>
          </w:p>
        </w:tc>
        <w:tc>
          <w:tcPr>
            <w:tcW w:w="4300" w:type="dxa"/>
            <w:vAlign w:val="bottom"/>
            <w:gridSpan w:val="3"/>
          </w:tcPr>
          <w:p>
            <w:pPr>
              <w:jc w:val="right"/>
              <w:ind w:right="180"/>
              <w:spacing w:after="0"/>
              <w:rPr>
                <w:sz w:val="20"/>
                <w:szCs w:val="20"/>
                <w:color w:val="auto"/>
              </w:rPr>
            </w:pPr>
            <w:r>
              <w:rPr>
                <w:rFonts w:ascii="Arial" w:cs="Arial" w:eastAsia="Arial" w:hAnsi="Arial"/>
                <w:sz w:val="18"/>
                <w:szCs w:val="18"/>
                <w:color w:val="auto"/>
              </w:rPr>
              <w:t>5,816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32.40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1 to June 30</w:t>
            </w:r>
          </w:p>
        </w:tc>
        <w:tc>
          <w:tcPr>
            <w:tcW w:w="26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34.09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43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430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19,368</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35.42</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480" w:type="dxa"/>
            <w:vAlign w:val="bottom"/>
            <w:tcBorders>
              <w:top w:val="single" w:sz="8" w:color="CCEEFF"/>
            </w:tcBorders>
          </w:tcPr>
          <w:p>
            <w:pPr>
              <w:spacing w:after="0"/>
              <w:rPr>
                <w:sz w:val="24"/>
                <w:szCs w:val="24"/>
                <w:color w:val="auto"/>
              </w:rPr>
            </w:pPr>
          </w:p>
        </w:tc>
        <w:tc>
          <w:tcPr>
            <w:tcW w:w="2660" w:type="dxa"/>
            <w:vAlign w:val="bottom"/>
            <w:tcBorders>
              <w:top w:val="single" w:sz="8" w:color="CCEEFF"/>
            </w:tcBorders>
          </w:tcPr>
          <w:p>
            <w:pPr>
              <w:jc w:val="right"/>
              <w:ind w:right="296"/>
              <w:spacing w:after="0"/>
              <w:rPr>
                <w:sz w:val="20"/>
                <w:szCs w:val="20"/>
                <w:color w:val="auto"/>
              </w:rPr>
            </w:pPr>
            <w:r>
              <w:rPr>
                <w:rFonts w:ascii="Arial" w:cs="Arial" w:eastAsia="Arial" w:hAnsi="Arial"/>
                <w:sz w:val="14"/>
                <w:szCs w:val="14"/>
                <w:color w:val="auto"/>
              </w:rPr>
              <w:t>31</w:t>
            </w:r>
          </w:p>
        </w:tc>
        <w:tc>
          <w:tcPr>
            <w:tcW w:w="14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with this Quarterly Report on Form 10-Q:</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Certifications pursuant to Rule 13a-14(b) under the Securities Exchange Act of 1934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740" w:hanging="73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101.INS</w:t>
            </w:r>
          </w:p>
        </w:tc>
        <w:tc>
          <w:tcPr>
            <w:tcW w:w="9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Instance Document</w:t>
            </w:r>
          </w:p>
        </w:tc>
      </w:tr>
      <w:tr>
        <w:trPr>
          <w:trHeight w:val="216"/>
        </w:trPr>
        <w:tc>
          <w:tcPr>
            <w:tcW w:w="1580" w:type="dxa"/>
            <w:vAlign w:val="bottom"/>
          </w:tcPr>
          <w:p>
            <w:pPr>
              <w:spacing w:after="0"/>
              <w:rPr>
                <w:sz w:val="18"/>
                <w:szCs w:val="18"/>
                <w:color w:val="auto"/>
              </w:rPr>
            </w:pPr>
          </w:p>
        </w:tc>
        <w:tc>
          <w:tcPr>
            <w:tcW w:w="9840" w:type="dxa"/>
            <w:vAlign w:val="bottom"/>
          </w:tcPr>
          <w:p>
            <w:pPr>
              <w:spacing w:after="0"/>
              <w:rPr>
                <w:sz w:val="18"/>
                <w:szCs w:val="18"/>
                <w:color w:val="auto"/>
              </w:rPr>
            </w:pPr>
          </w:p>
        </w:tc>
      </w:tr>
      <w:tr>
        <w:trPr>
          <w:trHeight w:val="216"/>
        </w:trPr>
        <w:tc>
          <w:tcPr>
            <w:tcW w:w="1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101.SCH</w:t>
            </w:r>
          </w:p>
        </w:tc>
        <w:tc>
          <w:tcPr>
            <w:tcW w:w="9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580" w:type="dxa"/>
            <w:vAlign w:val="bottom"/>
          </w:tcPr>
          <w:p>
            <w:pPr>
              <w:spacing w:after="0"/>
              <w:rPr>
                <w:sz w:val="18"/>
                <w:szCs w:val="18"/>
                <w:color w:val="auto"/>
              </w:rPr>
            </w:pPr>
          </w:p>
        </w:tc>
        <w:tc>
          <w:tcPr>
            <w:tcW w:w="9840" w:type="dxa"/>
            <w:vAlign w:val="bottom"/>
          </w:tcPr>
          <w:p>
            <w:pPr>
              <w:spacing w:after="0"/>
              <w:rPr>
                <w:sz w:val="18"/>
                <w:szCs w:val="18"/>
                <w:color w:val="auto"/>
              </w:rPr>
            </w:pPr>
          </w:p>
        </w:tc>
      </w:tr>
      <w:tr>
        <w:trPr>
          <w:trHeight w:val="216"/>
        </w:trPr>
        <w:tc>
          <w:tcPr>
            <w:tcW w:w="1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101.CAL</w:t>
            </w:r>
          </w:p>
        </w:tc>
        <w:tc>
          <w:tcPr>
            <w:tcW w:w="9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580" w:type="dxa"/>
            <w:vAlign w:val="bottom"/>
          </w:tcPr>
          <w:p>
            <w:pPr>
              <w:spacing w:after="0"/>
              <w:rPr>
                <w:sz w:val="18"/>
                <w:szCs w:val="18"/>
                <w:color w:val="auto"/>
              </w:rPr>
            </w:pPr>
          </w:p>
        </w:tc>
        <w:tc>
          <w:tcPr>
            <w:tcW w:w="9840" w:type="dxa"/>
            <w:vAlign w:val="bottom"/>
          </w:tcPr>
          <w:p>
            <w:pPr>
              <w:spacing w:after="0"/>
              <w:rPr>
                <w:sz w:val="18"/>
                <w:szCs w:val="18"/>
                <w:color w:val="auto"/>
              </w:rPr>
            </w:pPr>
          </w:p>
        </w:tc>
      </w:tr>
      <w:tr>
        <w:trPr>
          <w:trHeight w:val="216"/>
        </w:trPr>
        <w:tc>
          <w:tcPr>
            <w:tcW w:w="1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101.DEF</w:t>
            </w:r>
          </w:p>
        </w:tc>
        <w:tc>
          <w:tcPr>
            <w:tcW w:w="9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580" w:type="dxa"/>
            <w:vAlign w:val="bottom"/>
          </w:tcPr>
          <w:p>
            <w:pPr>
              <w:spacing w:after="0"/>
              <w:rPr>
                <w:sz w:val="18"/>
                <w:szCs w:val="18"/>
                <w:color w:val="auto"/>
              </w:rPr>
            </w:pPr>
          </w:p>
        </w:tc>
        <w:tc>
          <w:tcPr>
            <w:tcW w:w="9840" w:type="dxa"/>
            <w:vAlign w:val="bottom"/>
          </w:tcPr>
          <w:p>
            <w:pPr>
              <w:spacing w:after="0"/>
              <w:rPr>
                <w:sz w:val="18"/>
                <w:szCs w:val="18"/>
                <w:color w:val="auto"/>
              </w:rPr>
            </w:pPr>
          </w:p>
        </w:tc>
      </w:tr>
      <w:tr>
        <w:trPr>
          <w:trHeight w:val="216"/>
        </w:trPr>
        <w:tc>
          <w:tcPr>
            <w:tcW w:w="1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101.LAB</w:t>
            </w:r>
          </w:p>
        </w:tc>
        <w:tc>
          <w:tcPr>
            <w:tcW w:w="9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580" w:type="dxa"/>
            <w:vAlign w:val="bottom"/>
          </w:tcPr>
          <w:p>
            <w:pPr>
              <w:spacing w:after="0"/>
              <w:rPr>
                <w:sz w:val="18"/>
                <w:szCs w:val="18"/>
                <w:color w:val="auto"/>
              </w:rPr>
            </w:pPr>
          </w:p>
        </w:tc>
        <w:tc>
          <w:tcPr>
            <w:tcW w:w="9840" w:type="dxa"/>
            <w:vAlign w:val="bottom"/>
          </w:tcPr>
          <w:p>
            <w:pPr>
              <w:spacing w:after="0"/>
              <w:rPr>
                <w:sz w:val="18"/>
                <w:szCs w:val="18"/>
                <w:color w:val="auto"/>
              </w:rPr>
            </w:pPr>
          </w:p>
        </w:tc>
      </w:tr>
      <w:tr>
        <w:trPr>
          <w:trHeight w:val="216"/>
        </w:trPr>
        <w:tc>
          <w:tcPr>
            <w:tcW w:w="1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101.PRE</w:t>
            </w:r>
          </w:p>
        </w:tc>
        <w:tc>
          <w:tcPr>
            <w:tcW w:w="9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69"/>
        </w:trPr>
        <w:tc>
          <w:tcPr>
            <w:tcW w:w="1580" w:type="dxa"/>
            <w:vAlign w:val="bottom"/>
          </w:tcPr>
          <w:p>
            <w:pPr>
              <w:spacing w:after="0"/>
              <w:rPr>
                <w:sz w:val="24"/>
                <w:szCs w:val="24"/>
                <w:color w:val="auto"/>
              </w:rPr>
            </w:pPr>
          </w:p>
        </w:tc>
        <w:tc>
          <w:tcPr>
            <w:tcW w:w="9840" w:type="dxa"/>
            <w:vAlign w:val="bottom"/>
          </w:tcPr>
          <w:p>
            <w:pPr>
              <w:ind w:left="4060"/>
              <w:spacing w:after="0"/>
              <w:rPr>
                <w:sz w:val="20"/>
                <w:szCs w:val="20"/>
                <w:color w:val="auto"/>
              </w:rPr>
            </w:pPr>
            <w:r>
              <w:rPr>
                <w:rFonts w:ascii="Arial" w:cs="Arial" w:eastAsia="Arial" w:hAnsi="Arial"/>
                <w:sz w:val="14"/>
                <w:szCs w:val="14"/>
                <w:color w:val="auto"/>
              </w:rPr>
              <w:t>32</w:t>
            </w:r>
          </w:p>
        </w:tc>
      </w:tr>
      <w:tr>
        <w:trPr>
          <w:trHeight w:val="46"/>
        </w:trPr>
        <w:tc>
          <w:tcPr>
            <w:tcW w:w="158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Vice President - Finance and Chief Financial Officer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 July 31, 2015</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20"/>
          </w:cols>
          <w:pgMar w:left="240" w:top="121" w:right="11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520" w:type="dxa"/>
            <w:vAlign w:val="bottom"/>
            <w:gridSpan w:val="7"/>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520" w:type="dxa"/>
            <w:vAlign w:val="bottom"/>
            <w:gridSpan w:val="7"/>
          </w:tcPr>
          <w:p>
            <w:pPr>
              <w:spacing w:after="0"/>
              <w:rPr>
                <w:sz w:val="20"/>
                <w:szCs w:val="20"/>
                <w:color w:val="auto"/>
              </w:rPr>
            </w:pPr>
            <w:r>
              <w:rPr>
                <w:rFonts w:ascii="Arial" w:cs="Arial" w:eastAsia="Arial" w:hAnsi="Arial"/>
                <w:sz w:val="18"/>
                <w:szCs w:val="18"/>
                <w:color w:val="auto"/>
              </w:rPr>
              <w:t>EXHIBIT INDEX</w:t>
            </w:r>
          </w:p>
        </w:tc>
        <w:tc>
          <w:tcPr>
            <w:tcW w:w="4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3"/>
              </w:rPr>
              <w:t>Exhibit No.</w:t>
            </w:r>
          </w:p>
        </w:tc>
        <w:tc>
          <w:tcPr>
            <w:tcW w:w="9900" w:type="dxa"/>
            <w:vAlign w:val="bottom"/>
            <w:gridSpan w:val="3"/>
          </w:tcPr>
          <w:p>
            <w:pPr>
              <w:ind w:left="476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80" w:type="dxa"/>
            <w:vAlign w:val="bottom"/>
            <w:gridSpan w:val="5"/>
            <w:shd w:val="clear" w:color="auto" w:fill="CCEEFF"/>
          </w:tcPr>
          <w:p>
            <w:pPr>
              <w:jc w:val="center"/>
              <w:ind w:left="310"/>
              <w:spacing w:after="0" w:line="17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2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w w:val="97"/>
              </w:rPr>
              <w:t>Certification of President and Chief Executive Officer pursuant to Rule 13a-14(a) under the Securities Exchange Act of 1934.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gridSpan w:val="5"/>
            <w:shd w:val="clear" w:color="auto" w:fill="CCEEFF"/>
          </w:tcPr>
          <w:p>
            <w:pPr>
              <w:jc w:val="center"/>
              <w:ind w:left="310"/>
              <w:spacing w:after="0" w:line="17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220" w:type="dxa"/>
            <w:vAlign w:val="bottom"/>
            <w:shd w:val="clear" w:color="auto" w:fill="CCEEFF"/>
          </w:tcPr>
          <w:p>
            <w:pPr>
              <w:spacing w:after="0"/>
              <w:rPr>
                <w:sz w:val="15"/>
                <w:szCs w:val="15"/>
                <w:color w:val="auto"/>
              </w:rPr>
            </w:pPr>
          </w:p>
        </w:tc>
        <w:tc>
          <w:tcPr>
            <w:tcW w:w="990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Certification of Vice President - Finance and Chief Financial Officer pursuant to Rule 13a-14(a) under the Securities Exchange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7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1934.</w:t>
            </w:r>
          </w:p>
        </w:tc>
        <w:tc>
          <w:tcPr>
            <w:tcW w:w="580" w:type="dxa"/>
            <w:vAlign w:val="bottom"/>
            <w:tcBorders>
              <w:top w:val="single" w:sz="8" w:color="CCEEFF"/>
            </w:tcBorders>
            <w:shd w:val="clear" w:color="auto" w:fill="CCEEFF"/>
          </w:tcPr>
          <w:p>
            <w:pPr>
              <w:spacing w:after="0"/>
              <w:rPr>
                <w:sz w:val="20"/>
                <w:szCs w:val="20"/>
                <w:color w:val="auto"/>
              </w:rPr>
            </w:pPr>
          </w:p>
        </w:tc>
        <w:tc>
          <w:tcPr>
            <w:tcW w:w="45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20" w:hanging="944"/>
        <w:spacing w:after="0"/>
        <w:tabs>
          <w:tab w:leader="none" w:pos="1720" w:val="left"/>
        </w:tabs>
        <w:numPr>
          <w:ilvl w:val="0"/>
          <w:numId w:val="18"/>
        </w:numPr>
        <w:rPr>
          <w:rFonts w:ascii="Arial" w:cs="Arial" w:eastAsia="Arial" w:hAnsi="Arial"/>
          <w:sz w:val="18"/>
          <w:szCs w:val="18"/>
          <w:u w:val="single" w:color="auto"/>
          <w:color w:val="0000EE"/>
        </w:rPr>
      </w:pPr>
      <w:r>
        <w:rPr>
          <w:rFonts w:ascii="Arial" w:cs="Arial" w:eastAsia="Arial" w:hAnsi="Arial"/>
          <w:sz w:val="18"/>
          <w:szCs w:val="18"/>
          <w:color w:val="auto"/>
        </w:rPr>
        <w:t>Certifications pursuant to Rule 13a-14(b) under the Securities Exchange Act of 1934 and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720" w:hanging="1049"/>
        <w:spacing w:after="0"/>
        <w:tabs>
          <w:tab w:leader="none" w:pos="1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2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101.INS</w:t>
            </w:r>
          </w:p>
        </w:tc>
        <w:tc>
          <w:tcPr>
            <w:tcW w:w="9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XBRL Instance Document</w:t>
            </w:r>
          </w:p>
        </w:tc>
      </w:tr>
      <w:tr>
        <w:trPr>
          <w:trHeight w:val="243"/>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9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2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101.SCH</w:t>
            </w:r>
          </w:p>
        </w:tc>
        <w:tc>
          <w:tcPr>
            <w:tcW w:w="9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9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2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101.CAL</w:t>
            </w:r>
          </w:p>
        </w:tc>
        <w:tc>
          <w:tcPr>
            <w:tcW w:w="9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9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2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101.DEF</w:t>
            </w:r>
          </w:p>
        </w:tc>
        <w:tc>
          <w:tcPr>
            <w:tcW w:w="9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9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2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101.LAB</w:t>
            </w:r>
          </w:p>
        </w:tc>
        <w:tc>
          <w:tcPr>
            <w:tcW w:w="9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9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2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101.PRE</w:t>
            </w:r>
          </w:p>
        </w:tc>
        <w:tc>
          <w:tcPr>
            <w:tcW w:w="9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50"/>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100" w:type="dxa"/>
            <w:vAlign w:val="bottom"/>
          </w:tcPr>
          <w:p>
            <w:pPr>
              <w:ind w:left="3340"/>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9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2280" w:type="dxa"/>
            <w:vAlign w:val="bottom"/>
            <w:tcBorders>
              <w:top w:val="single" w:sz="8" w:color="auto"/>
            </w:tcBorders>
            <w:shd w:val="clear" w:color="auto" w:fill="808080"/>
          </w:tcPr>
          <w:p>
            <w:pPr>
              <w:spacing w:after="0" w:line="20" w:lineRule="exact"/>
              <w:rPr>
                <w:sz w:val="1"/>
                <w:szCs w:val="1"/>
                <w:color w:val="auto"/>
              </w:rPr>
            </w:pPr>
          </w:p>
        </w:tc>
        <w:tc>
          <w:tcPr>
            <w:tcW w:w="910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11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July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Adele M. Skolits, certify that:</w:t>
      </w:r>
    </w:p>
    <w:p>
      <w:pPr>
        <w:spacing w:after="0" w:line="25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July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7" w:name="page38"/>
    <w:bookmarkEnd w:id="37"/>
    <w:p>
      <w:pPr>
        <w:ind w:lef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80" w:right="30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97" w:lineRule="exact"/>
        <w:rPr>
          <w:sz w:val="20"/>
          <w:szCs w:val="20"/>
          <w:color w:val="auto"/>
        </w:rPr>
      </w:pPr>
    </w:p>
    <w:p>
      <w:pPr>
        <w:ind w:left="80" w:right="60" w:firstLine="656"/>
        <w:spacing w:after="0" w:line="342" w:lineRule="auto"/>
        <w:tabs>
          <w:tab w:leader="none" w:pos="12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June 30, 2015 filed on the date hereof with the Securities and Exchange Commission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1220" w:hanging="484"/>
        <w:spacing w:after="0"/>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75" w:lineRule="exact"/>
        <w:rPr>
          <w:sz w:val="20"/>
          <w:szCs w:val="20"/>
          <w:color w:val="auto"/>
        </w:rPr>
      </w:pPr>
    </w:p>
    <w:p>
      <w:pPr>
        <w:ind w:left="6940"/>
        <w:spacing w:after="0"/>
        <w:rPr>
          <w:sz w:val="20"/>
          <w:szCs w:val="20"/>
          <w:color w:val="auto"/>
        </w:rPr>
      </w:pP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Christopher E. French</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July 31, 2015</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July 31, 2015</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323850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40"/>
      </w:cols>
      <w:pgMar w:left="160" w:top="31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01"/>
    </w:lvl>
  </w:abstractNum>
  <w:abstractNum w:abstractNumId="17">
    <w:nsid w:val="62BBD95A"/>
    <w:multiLevelType w:val="hybridMultilevel"/>
    <w:lvl w:ilvl="0">
      <w:lvlJc w:val="left"/>
      <w:lvlText w:val="%1"/>
      <w:numFmt w:val="decimal"/>
      <w:start w:val="32"/>
    </w:lvl>
  </w:abstractNum>
  <w:abstractNum w:abstractNumId="18">
    <w:nsid w:val="436C6125"/>
    <w:multiLevelType w:val="hybridMultilevel"/>
    <w:lvl w:ilvl="0">
      <w:lvlJc w:val="left"/>
      <w:lvlText w:val="(%1)"/>
      <w:numFmt w:val="decimal"/>
      <w:start w:val="10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2019-12-29T15:20:10Z</dcterms:created>
  <dcterms:modified xsi:type="dcterms:W3CDTF">2019-12-29T15:20:10Z</dcterms:modified>
</cp:coreProperties>
</file>