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239"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6"/>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54,572,498</w:t>
            </w:r>
          </w:p>
        </w:tc>
        <w:tc>
          <w:tcPr>
            <w:tcW w:w="0" w:type="dxa"/>
            <w:vAlign w:val="bottom"/>
          </w:tcPr>
          <w:p>
            <w:pPr>
              <w:spacing w:after="0"/>
              <w:rPr>
                <w:sz w:val="1"/>
                <w:szCs w:val="1"/>
                <w:color w:val="auto"/>
              </w:rPr>
            </w:pPr>
          </w:p>
        </w:tc>
      </w:tr>
      <w:tr>
        <w:trPr>
          <w:trHeight w:val="158"/>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line="159"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July 31, 2024)</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194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94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 Income</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Temporary Equity and Shareholders’ Equity</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70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2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0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$1,333 and $886, respectively</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176,071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1,337,252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850,337</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1,656,333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1,214,229</w:t>
            </w:r>
          </w:p>
        </w:tc>
        <w:tc>
          <w:tcPr>
            <w:tcW w:w="0" w:type="dxa"/>
            <w:vAlign w:val="bottom"/>
          </w:tcPr>
          <w:p>
            <w:pPr>
              <w:spacing w:after="0"/>
              <w:rPr>
                <w:sz w:val="1"/>
                <w:szCs w:val="1"/>
                <w:color w:val="auto"/>
              </w:rPr>
            </w:pPr>
          </w:p>
        </w:tc>
      </w:tr>
      <w:tr>
        <w:trPr>
          <w:trHeight w:val="26"/>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SHAREHOLDERS’ EQUITY</w:t>
            </w: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maturities of long-term debt, net of unamortized loan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53,546</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112,089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98,355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292,804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plan obligations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56,696</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243,212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170,400</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Temporary equity:</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no par value, authorized 96,000; 54,572 and 50,272 issued and outstanding at June 30, 2024 and</w:t>
            </w:r>
          </w:p>
        </w:tc>
        <w:tc>
          <w:tcPr>
            <w:tcW w:w="320" w:type="dxa"/>
            <w:vAlign w:val="bottom"/>
          </w:tcPr>
          <w:p>
            <w:pPr>
              <w:spacing w:after="0"/>
              <w:rPr>
                <w:sz w:val="14"/>
                <w:szCs w:val="14"/>
                <w:color w:val="auto"/>
              </w:rPr>
            </w:pPr>
          </w:p>
        </w:tc>
        <w:tc>
          <w:tcPr>
            <w:tcW w:w="1440" w:type="dxa"/>
            <w:vAlign w:val="bottom"/>
            <w:gridSpan w:val="2"/>
          </w:tcPr>
          <w:p>
            <w:pPr>
              <w:jc w:val="right"/>
              <w:ind w:right="2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66,933</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785,893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584,069</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net of taxes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933,082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652,670</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temporary equity and shareholders’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1,656,333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1,214,229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4"/>
                <w:szCs w:val="14"/>
                <w:color w:val="auto"/>
              </w:rPr>
            </w:pPr>
          </w:p>
        </w:tc>
        <w:tc>
          <w:tcPr>
            <w:tcW w:w="2600" w:type="dxa"/>
            <w:vAlign w:val="bottom"/>
            <w:gridSpan w:val="5"/>
          </w:tcPr>
          <w:p>
            <w:pPr>
              <w:ind w:left="34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79"/>
              <w:spacing w:after="0" w:line="16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85,799</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155,047</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50,183</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51,069</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Integration and acquisition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expense</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25,579</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43,022</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30,916</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101,684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173,708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133,620</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the sale of discontinued operations,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216,805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(loss) income from discontinued operations, net of tax</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218,687</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0" w:type="dxa"/>
            <w:vAlign w:val="bottom"/>
          </w:tcPr>
          <w:p>
            <w:pPr>
              <w:spacing w:after="0"/>
              <w:rPr>
                <w:sz w:val="1"/>
                <w:szCs w:val="1"/>
                <w:color w:val="auto"/>
              </w:rPr>
            </w:pPr>
          </w:p>
        </w:tc>
      </w:tr>
      <w:tr>
        <w:trPr>
          <w:trHeight w:val="209"/>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(12,872)</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201,824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interest rate hedge, net of tax</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203,561</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income per share, basic and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3"/>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54,730</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50,366</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52,620</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1160"/>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TEMPORARY EQUITY AND SHAREHOLDERS' EQUITY </w:t>
      </w:r>
      <w:r>
        <w:rPr>
          <w:rFonts w:ascii="Times New Roman" w:cs="Times New Roman" w:eastAsia="Times New Roman" w:hAnsi="Times New Roman"/>
          <w:sz w:val="18"/>
          <w:szCs w:val="18"/>
          <w:i w:val="1"/>
          <w:i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26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2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50,447</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69,616</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798,765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871,643</w:t>
            </w:r>
          </w:p>
        </w:tc>
        <w:tc>
          <w:tcPr>
            <w:tcW w:w="0" w:type="dxa"/>
            <w:vAlign w:val="bottom"/>
          </w:tcPr>
          <w:p>
            <w:pPr>
              <w:spacing w:after="0"/>
              <w:rPr>
                <w:sz w:val="1"/>
                <w:szCs w:val="1"/>
                <w:color w:val="auto"/>
              </w:rPr>
            </w:pPr>
          </w:p>
        </w:tc>
      </w:tr>
      <w:tr>
        <w:trPr>
          <w:trHeight w:val="191"/>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71,845</w:t>
            </w: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interest rate hedge,</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redeemable</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54,572</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143,784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785,893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933,082</w:t>
            </w:r>
          </w:p>
        </w:tc>
        <w:tc>
          <w:tcPr>
            <w:tcW w:w="0" w:type="dxa"/>
            <w:vAlign w:val="bottom"/>
          </w:tcPr>
          <w:p>
            <w:pPr>
              <w:spacing w:after="0"/>
              <w:rPr>
                <w:sz w:val="1"/>
                <w:szCs w:val="1"/>
                <w:color w:val="auto"/>
              </w:rPr>
            </w:pPr>
          </w:p>
        </w:tc>
      </w:tr>
      <w:tr>
        <w:trPr>
          <w:trHeight w:val="260"/>
        </w:trPr>
        <w:tc>
          <w:tcPr>
            <w:tcW w:w="1980" w:type="dxa"/>
            <w:vAlign w:val="bottom"/>
          </w:tcPr>
          <w:p>
            <w:pPr>
              <w:spacing w:after="0"/>
              <w:rPr>
                <w:sz w:val="22"/>
                <w:szCs w:val="22"/>
                <w:color w:val="auto"/>
              </w:rPr>
            </w:pPr>
          </w:p>
        </w:tc>
        <w:tc>
          <w:tcPr>
            <w:tcW w:w="26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80" w:type="dxa"/>
            <w:vAlign w:val="bottom"/>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50,272</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66,933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584,069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652,670</w:t>
            </w:r>
          </w:p>
        </w:tc>
        <w:tc>
          <w:tcPr>
            <w:tcW w:w="0" w:type="dxa"/>
            <w:vAlign w:val="bottom"/>
          </w:tcPr>
          <w:p>
            <w:pPr>
              <w:spacing w:after="0"/>
              <w:rPr>
                <w:sz w:val="1"/>
                <w:szCs w:val="1"/>
                <w:color w:val="auto"/>
              </w:rPr>
            </w:pPr>
          </w:p>
        </w:tc>
      </w:tr>
      <w:tr>
        <w:trPr>
          <w:trHeight w:val="19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201,824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201,824</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71,849</w:t>
            </w: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interest rate hedge,</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redeemable</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54,572</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143,784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785,893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933,082</w:t>
            </w:r>
          </w:p>
        </w:tc>
        <w:tc>
          <w:tcPr>
            <w:tcW w:w="0" w:type="dxa"/>
            <w:vAlign w:val="bottom"/>
          </w:tcPr>
          <w:p>
            <w:pPr>
              <w:spacing w:after="0"/>
              <w:rPr>
                <w:sz w:val="1"/>
                <w:szCs w:val="1"/>
                <w:color w:val="auto"/>
              </w:rPr>
            </w:pPr>
          </w:p>
        </w:tc>
      </w:tr>
      <w:tr>
        <w:trPr>
          <w:trHeight w:val="260"/>
        </w:trPr>
        <w:tc>
          <w:tcPr>
            <w:tcW w:w="1980" w:type="dxa"/>
            <w:vAlign w:val="bottom"/>
          </w:tcPr>
          <w:p>
            <w:pPr>
              <w:spacing w:after="0"/>
              <w:rPr>
                <w:sz w:val="22"/>
                <w:szCs w:val="22"/>
                <w:color w:val="auto"/>
              </w:rPr>
            </w:pPr>
          </w:p>
        </w:tc>
        <w:tc>
          <w:tcPr>
            <w:tcW w:w="26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80" w:type="dxa"/>
            <w:vAlign w:val="bottom"/>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50,247</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60,160</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582,620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642,780</w:t>
            </w:r>
          </w:p>
        </w:tc>
        <w:tc>
          <w:tcPr>
            <w:tcW w:w="0" w:type="dxa"/>
            <w:vAlign w:val="bottom"/>
          </w:tcPr>
          <w:p>
            <w:pPr>
              <w:spacing w:after="0"/>
              <w:rPr>
                <w:sz w:val="1"/>
                <w:szCs w:val="1"/>
                <w:color w:val="auto"/>
              </w:rPr>
            </w:pPr>
          </w:p>
        </w:tc>
      </w:tr>
      <w:tr>
        <w:trPr>
          <w:trHeight w:val="19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interest rate hedge,</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0" w:type="dxa"/>
            <w:vAlign w:val="bottom"/>
          </w:tcPr>
          <w:p>
            <w:pPr>
              <w:spacing w:after="0"/>
              <w:rPr>
                <w:sz w:val="1"/>
                <w:szCs w:val="1"/>
                <w:color w:val="auto"/>
              </w:rPr>
            </w:pPr>
          </w:p>
        </w:tc>
      </w:tr>
      <w:tr>
        <w:trPr>
          <w:trHeight w:val="19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8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50,264</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62,888</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584,410</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26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50,110</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580,554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638,007</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w:t>
            </w:r>
          </w:p>
        </w:tc>
        <w:tc>
          <w:tcPr>
            <w:tcW w:w="0" w:type="dxa"/>
            <w:vAlign w:val="bottom"/>
          </w:tcPr>
          <w:p>
            <w:pPr>
              <w:spacing w:after="0"/>
              <w:rPr>
                <w:sz w:val="1"/>
                <w:szCs w:val="1"/>
                <w:color w:val="auto"/>
              </w:rPr>
            </w:pPr>
          </w:p>
        </w:tc>
      </w:tr>
      <w:tr>
        <w:trPr>
          <w:trHeight w:val="20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188"/>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interest rate hedge,</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0" w:type="dxa"/>
            <w:vAlign w:val="bottom"/>
          </w:tcPr>
          <w:p>
            <w:pPr>
              <w:spacing w:after="0"/>
              <w:rPr>
                <w:sz w:val="1"/>
                <w:szCs w:val="1"/>
                <w:color w:val="auto"/>
              </w:rPr>
            </w:pPr>
          </w:p>
        </w:tc>
      </w:tr>
      <w:tr>
        <w:trPr>
          <w:trHeight w:val="193"/>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9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50,264</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62,888</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584,410</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649,425</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680" w:type="dxa"/>
            <w:vAlign w:val="bottom"/>
            <w:gridSpan w:val="4"/>
          </w:tcPr>
          <w:p>
            <w:pPr>
              <w:jc w:val="right"/>
              <w:ind w:right="779"/>
              <w:spacing w:after="0" w:line="16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201,824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218,687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effects of business acquisition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expense</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63,491</w:t>
            </w: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69,800</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(135,261)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 grants received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disbursed for acquisition, net of cash acquired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0"/>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(134,643)</w:t>
            </w:r>
          </w:p>
        </w:tc>
        <w:tc>
          <w:tcPr>
            <w:tcW w:w="0" w:type="dxa"/>
            <w:vAlign w:val="bottom"/>
          </w:tcPr>
          <w:p>
            <w:pPr>
              <w:spacing w:after="0"/>
              <w:rPr>
                <w:sz w:val="1"/>
                <w:szCs w:val="1"/>
                <w:color w:val="auto"/>
              </w:rPr>
            </w:pP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305,827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(183,130)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(135,650)</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debt amendment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redeemable noncontrolling interest, net of financing fees paid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69,955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48,093</w:t>
            </w:r>
          </w:p>
        </w:tc>
        <w:tc>
          <w:tcPr>
            <w:tcW w:w="0" w:type="dxa"/>
            <w:vAlign w:val="bottom"/>
          </w:tcPr>
          <w:p>
            <w:pPr>
              <w:spacing w:after="0"/>
              <w:rPr>
                <w:sz w:val="1"/>
                <w:szCs w:val="1"/>
                <w:color w:val="auto"/>
              </w:rPr>
            </w:pPr>
          </w:p>
        </w:tc>
      </w:tr>
      <w:tr>
        <w:trPr>
          <w:trHeight w:val="209"/>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44,061</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26,304</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 (paid) refunds received, net</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a fiber network.</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2023.</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Transaction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$305 million in cash consideration to the other Sellers and certain third parties, including Horizon’s existing lenders to discharge debt (collectively, the “Horizon Transaction”). Cash consideration paid also included purchase price adjustments for capital expenditure reimbursements and working capital subject to subsequent adjustments as defined in the merger agreement. The Selling Shareholder agreed to an investor rights agreement with the Company that includes among other provision, a one year lockup period for the shares of Common Stock received.</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Horizon is a leading commercial fiber provider in Ohio and adjacent states serving national wireless providers, carriers, enterprises, and government, education and healthcare customers. The acquisition of Horizon will allow Shentel to advance its fiber expansion strategy by doubling the size of the Company’s commercial fiber business and adding new expansion markets for its Glo Fiber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Acquisition of Horizon,</w:t>
      </w:r>
      <w:r>
        <w:rPr>
          <w:rFonts w:ascii="Times New Roman" w:cs="Times New Roman" w:eastAsia="Times New Roman" w:hAnsi="Times New Roman"/>
          <w:sz w:val="18"/>
          <w:szCs w:val="18"/>
          <w:color w:val="212529"/>
        </w:rPr>
        <w:t xml:space="preserve"> for more information regarding the Horizon Transaction and its impact on the Company’s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on October 24, 2023, Shentel and Shentel Broadband Holding Inc., a wholly-owned subsidiary of Shentel (“Shentel Broadband”),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in certain circumstances for shares of Common Stock at an exchange price of $24.50 per share (as it may be adjusted pursuant to the terms of the Investment Agreement, the “Exchange Price”).</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condition to closing the transactions contemplated by the Investment Agreement and Amendment No. 3 to the Credit Agreement, Shentel completed a corporate reorganization of Shentel’s subsidiaries (the “Reorganization”). As a result of the Reorganization effected on the Closing Date, Shentel Broadband Operations LLC, a wholly-owned subsidiary of Shentel Broadband, holds or has equity interest in substantially all of the operating assets of Shentel and was assigned and assumed the Credit Agreement.</w:t>
      </w:r>
    </w:p>
    <w:p>
      <w:pPr>
        <w:spacing w:after="0" w:line="20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12,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Redeemable Noncontrolling Interest,</w:t>
      </w:r>
      <w:r>
        <w:rPr>
          <w:rFonts w:ascii="Times New Roman" w:cs="Times New Roman" w:eastAsia="Times New Roman" w:hAnsi="Times New Roman"/>
          <w:sz w:val="18"/>
          <w:szCs w:val="18"/>
          <w:color w:val="212529"/>
        </w:rPr>
        <w:t xml:space="preserve"> for more information regarding the Series A Preferred Stock and its impact on the Company’s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to Credit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 for the Lenders (as previously amended by Amendment No. 1 to Credit Agreement, dated as of May 17, 2023, and Consent and Amendment No. 2 to Credit Agreement, dated October 24, 2023, the “Credit Agreement”).</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Third Amendment provides for, among other things, incremental delay draw term loan commitments under the Credit Agreement in an aggregate amount equal to $225 million and an increase in the revolving commitment under the Credit Agreement in an amount equal to $50 million. </w:t>
      </w:r>
      <w:r>
        <w:rPr>
          <w:rFonts w:ascii="Times New Roman" w:cs="Times New Roman" w:eastAsia="Times New Roman" w:hAnsi="Times New Roman"/>
          <w:sz w:val="18"/>
          <w:szCs w:val="18"/>
          <w:color w:val="212529"/>
        </w:rPr>
        <w:t>Refer to</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212529"/>
        </w:rPr>
        <w:t>for more information regarding the Credit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Sale of Shentel’s Tower Portfolio</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for $309.9 million (the “Tower Transaction”). The Company received $305.8 million, net of certain transaction costs at the time of the initial closing. At the initial close, the Company conveyed sites representing approximately 99.5% of the tower portfolio value. The Company expects to convey the remaining tower sites in the portfolio by the end of March 2025. The Tower Transaction was completed pursuant to the terms of a Purchase and Sale Agreement, dated February 29, 2024, as amended by Amendment No. 1 to the Purchase and Sale Agreement, dated March 29, 2024.</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 Tower Transaction (the “disposal group”) are presented as held for sale in our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and operating results and cash flows related to the Tower Portfolio were reflected as a discontinued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operations in our </w:t>
      </w:r>
      <w:r>
        <w:rPr>
          <w:rFonts w:ascii="Times New Roman" w:cs="Times New Roman" w:eastAsia="Times New Roman" w:hAnsi="Times New Roman"/>
          <w:sz w:val="18"/>
          <w:szCs w:val="18"/>
          <w:color w:val="000000"/>
        </w:rPr>
        <w:t>unaudited condensed consolidated statements of comprehensive (loss) income and unaudited condensed consolidated statements of cash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flows</w:t>
      </w:r>
      <w:r>
        <w:rPr>
          <w:rFonts w:ascii="Times New Roman" w:cs="Times New Roman" w:eastAsia="Times New Roman" w:hAnsi="Times New Roman"/>
          <w:sz w:val="18"/>
          <w:szCs w:val="18"/>
          <w:color w:val="212529"/>
        </w:rPr>
        <w:t>. Refer to</w:t>
      </w:r>
      <w:r>
        <w:rPr>
          <w:rFonts w:ascii="Times New Roman" w:cs="Times New Roman" w:eastAsia="Times New Roman" w:hAnsi="Times New Roman"/>
          <w:sz w:val="18"/>
          <w:szCs w:val="18"/>
          <w:color w:val="000000"/>
        </w:rPr>
        <w:t xml:space="preserve"> Note 16, </w:t>
      </w:r>
      <w:r>
        <w:rPr>
          <w:rFonts w:ascii="Times New Roman" w:cs="Times New Roman" w:eastAsia="Times New Roman" w:hAnsi="Times New Roman"/>
          <w:sz w:val="18"/>
          <w:szCs w:val="18"/>
          <w:i w:val="1"/>
          <w:iCs w:val="1"/>
          <w:color w:val="000000"/>
        </w:rPr>
        <w:t>Discontinued Operations,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for more information regarding the presentation of the disposal group in the Company’s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statements.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As a result of the sale of the Tower Portfolio, the Company has one reportable segment. Consequently, segment reporting previously disclosed is no longer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Annual Report on Form 10-K for its fiscal year ended December 31, 2023, that would be expected to impact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 of Horizon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accounted for the Horizon Transaction under the acquisition method of accounting, in accordance with Financial Accounting Standards Board Accounting Standards Codification (“ASC”) 805, “Business Combinations”. Under the acquisition method of accounting, the total purchase price is allocated to the tangible and intangible assets acquired and liabilities assumed in connection with the acquisition based on their estimated fair values. Fair values are determined using the income approach, market approach and/or cost approach depending on the nature of the asset or liability being valued and the reliability of available information. The income approach estimates fair value by discounting associated lifetime expected future cash flows to their present value and relies on significant assumptions regarding future revenues, expenses, working capital levels and discount rates. The market approach estimates fair value by analyzing recent actual market transactions for similar assets or liabilities. The cost approach estimates fair value based on the expected cost to replace or reproduce the asset or liability and relies on assumptions regarding the occurrence and extent of any physical, functional and/or economic obsolescence.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purchase price used to apply the acquisition method was $416.2 million, which consisted of $349.4 million of cash consideration paid and $71.8 million of common stock, representing the fair value of 4,100,375 shares of Shentel’s common stock issued to a selling shareholder of Horizon. The fair value of Shentel’s common stock issued was determined on the basis of the opening market price of the common stock on the acquisition date. The purchase price is subject to adjustment for certain working capital adjustments and post-closing indemnities. The cash consideration paid was primarily financed with proceeds from the sale of Shentel’s Tower Portfolio and cash on-hand.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allocation of the purchase price was based upon management’s preliminary valuation of the fair values of tangible and intangible assets acquired and liabilities assumed in the Horizon Transaction, with the excess recorded as goodwill. The Company expects to finalize the valuation and complete the purchase price allocation as soon as practicable, but no later than one year from the acquisition date. The fair value of acquired identifiable assets and liabilties, including but not limited to, property, plant and equipment, intangible assets, operating lease right-of-use assets, deferred tax liabilities, and non-current operating lease liabilities, and the resulting impact on goodwill recognized, are provisional pending receipt of the final valuations for these balances.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7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3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and other assets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3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386,045</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74,630</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r>
      <w:tr>
        <w:trPr>
          <w:trHeight w:val="23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r>
      <w:tr>
        <w:trPr>
          <w:trHeight w:val="234"/>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3"/>
        </w:trPr>
        <w:tc>
          <w:tcPr>
            <w:tcW w:w="9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493,863</w:t>
            </w:r>
          </w:p>
        </w:tc>
      </w:tr>
      <w:tr>
        <w:trPr>
          <w:trHeight w:val="475"/>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32,218</w:t>
            </w:r>
          </w:p>
        </w:tc>
      </w:tr>
      <w:tr>
        <w:trPr>
          <w:trHeight w:val="23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grant liabilities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34"/>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23"/>
        </w:trPr>
        <w:tc>
          <w:tcPr>
            <w:tcW w:w="9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77,669</w:t>
            </w:r>
          </w:p>
        </w:tc>
      </w:tr>
      <w:tr>
        <w:trPr>
          <w:trHeight w:val="250"/>
        </w:trPr>
        <w:tc>
          <w:tcPr>
            <w:tcW w:w="128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23"/>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416,194</w:t>
            </w:r>
          </w:p>
        </w:tc>
      </w:tr>
      <w:tr>
        <w:trPr>
          <w:trHeight w:val="20"/>
        </w:trPr>
        <w:tc>
          <w:tcPr>
            <w:tcW w:w="12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Finalization of the purchase price allocations is dependent on final review and acceptance of the independent appraiser’s valuation report.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and other assets acquired include $6.1 million of accounts receivable, net of allowance for credit losses of $0.3 million. Intangible assets acquired primarily relate to customer relationships. The customer relationships are valued using the cost approach to determine the cost that would be incurred to replace these assets. These represent finite-lived intangibles which are being amortized over the assets’ useful lives, which is estimated to be ten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included the results of the operations of Horizon for financial reporting purposes for the period subsequent to the date of acquisition.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Shentel incurred acquisition-related costs of $6.7 million and $7.1 million related to banking, legal, accounting, and other similar services for the three and six months ended June 30, 2024, respectively. Shentel also incurred severance costs for employees who will not be retained permanently. These costs are recorded as integration and acquisition expenses in the Company’s unaudited condensed consolidated statements of comprehensive (loss) income.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Horizon’s revenue of $16.7 million and loss before income taxes of $7.4 million for the three months ended June 30, 2024 are included in Shentel’s unaudited condensed consolidated statements of comprehensive (loss) income for both the three and six months ended June 30, 2024. The unaudited pro forma results of the Company, as if the Horizon Transaction had occurred on January 1, 2023, are as follows: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1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vMerge w:val="continue"/>
          </w:tcPr>
          <w:p>
            <w:pPr>
              <w:spacing w:after="0"/>
              <w:rPr>
                <w:sz w:val="18"/>
                <w:szCs w:val="18"/>
                <w:color w:val="auto"/>
              </w:rPr>
            </w:pP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83,164</w:t>
            </w:r>
          </w:p>
        </w:tc>
        <w:tc>
          <w:tcPr>
            <w:tcW w:w="14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170,876</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166,740</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(3,952)</w:t>
            </w: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(26,911)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disclosures shown above are based upon estimated preliminary valuations of the assets acquired and liabilities assumed as well as preliminary estimates of depreciation and amortization charges thereon, that may differ from the final fair values of the acquired assets and assumed liabilities and the resulting depreciation and amortization charges thereon. Other pro forma adjustments include the following: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depreciation expense was adjusted for the fair value adjustment increasing the basis of property, plant and equipment; this decrease was offset by a shorter estimated useful life to conform to the Company’s standard policy and the acceleration of depreciation on certain equipment;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amortization due to the customer-based contract rights associated with acquired customers;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Horizon’s interest expense and amortization of deferred financing fees due to the repayment of the outstanding principal of Horizon’s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by activity type are as follows: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4"/>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5"/>
        </w:trPr>
        <w:tc>
          <w:tcPr>
            <w:tcW w:w="510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Residential &amp; SMB - Incumbent Broadband Markets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44,960</w:t>
            </w:r>
          </w:p>
        </w:tc>
        <w:tc>
          <w:tcPr>
            <w:tcW w:w="14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44,403</w:t>
            </w:r>
          </w:p>
        </w:tc>
        <w:tc>
          <w:tcPr>
            <w:tcW w:w="1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89,330</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89,159</w:t>
            </w:r>
          </w:p>
        </w:tc>
        <w:tc>
          <w:tcPr>
            <w:tcW w:w="0" w:type="dxa"/>
            <w:vAlign w:val="bottom"/>
          </w:tcPr>
          <w:p>
            <w:pPr>
              <w:spacing w:after="0"/>
              <w:rPr>
                <w:sz w:val="1"/>
                <w:szCs w:val="1"/>
                <w:color w:val="auto"/>
              </w:rPr>
            </w:pPr>
          </w:p>
        </w:tc>
      </w:tr>
      <w:tr>
        <w:trPr>
          <w:trHeight w:val="233"/>
        </w:trPr>
        <w:tc>
          <w:tcPr>
            <w:tcW w:w="51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Residential &amp; SMB - Glo Fiber Expansion Markets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Fiber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RLEC &amp; 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0" w:type="dxa"/>
            <w:vAlign w:val="bottom"/>
          </w:tcPr>
          <w:p>
            <w:pPr>
              <w:spacing w:after="0"/>
              <w:rPr>
                <w:sz w:val="1"/>
                <w:szCs w:val="1"/>
                <w:color w:val="auto"/>
              </w:rPr>
            </w:pP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85,799</w:t>
            </w:r>
          </w:p>
        </w:tc>
        <w:tc>
          <w:tcPr>
            <w:tcW w:w="14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66,644</w:t>
            </w:r>
          </w:p>
        </w:tc>
        <w:tc>
          <w:tcPr>
            <w:tcW w:w="14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155,047</w:t>
            </w:r>
          </w:p>
        </w:tc>
        <w:tc>
          <w:tcPr>
            <w:tcW w:w="12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Incumbent Broadband Markets consists of Shentel Incumbent Cable Markets and Horizon Incumbent Telephone Markets with Fiber-To-The-Home (“FTTH”) passings.</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 Fiber Expansion Markets consists of FTTH passings in greenfield expansion markets in the Shentel and former Horizon markets.</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updated the description for revenues previously reported as “Residential &amp; SMB - Cable Markets” to “Residential &amp; SMB - Incumbent Broadband Markets” and updated the description for revenues previously reported as “Residential &amp; SMB - Glo Fiber Markets” to “Residential &amp; SMB - Glo Fiber Expansion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comprehensive (loss)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of current and non-current contract assets: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40" w:type="dxa"/>
            <w:vAlign w:val="bottom"/>
          </w:tcPr>
          <w:p>
            <w:pPr>
              <w:spacing w:after="0"/>
              <w:rPr>
                <w:sz w:val="18"/>
                <w:szCs w:val="18"/>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8,633</w:t>
            </w:r>
          </w:p>
        </w:tc>
        <w:tc>
          <w:tcPr>
            <w:tcW w:w="12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8,646</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Commission payments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2,415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1,684</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amortization</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(1,703)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(1,588)</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8"/>
              </w:rPr>
              <w:t>9,345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8,742</w:t>
            </w:r>
          </w:p>
        </w:tc>
      </w:tr>
      <w:tr>
        <w:trPr>
          <w:trHeight w:val="21"/>
        </w:trPr>
        <w:tc>
          <w:tcPr>
            <w:tcW w:w="5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unaudited condensed consolidated balance sheets and the Company’s non-current contract liabilities are included in other liabilities in its unaudited condensed consolidated balance sheets.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Shentel’s current contract liability balances were $11.7 million and $10.0 million at June 30, 2024 and December 31, 2023, respectively. Shentel’s non-current contract liability balances were $4.2 million and $1.0 million as of June 30, 2024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2023, respectively. Shentel expects its current contract liability balances to be recognized as revenues during the twelve-month periods following the respective balance sheet dates and its non-current contract liability balances to be recognized as revenues after the twelve-month periods following the respective balance sheet dates.</w:t>
      </w:r>
    </w:p>
    <w:p>
      <w:pPr>
        <w:sectPr>
          <w:pgSz w:w="11900" w:h="16838" w:orient="portrait"/>
          <w:cols w:equalWidth="0" w:num="1">
            <w:col w:w="11240"/>
          </w:cols>
          <w:pgMar w:left="320" w:top="119" w:right="33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method investments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30"/>
        </w:trPr>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34"/>
        </w:trPr>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119" w:right="339" w:bottom="1440" w:gutter="0" w:footer="0" w:header="0"/>
          <w:type w:val="continuous"/>
        </w:sectPr>
      </w:pP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fair value of the SERP investments are based on unadjusted quoted prices in active markets and are classified as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of the fair value hierarchy.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Shentel’s investment in CoBank’s Class A common stock, derived from the CoBank patronage program,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Company’s cost method investments with a balance of $11.8 million and $10.1 million at June 30, 2024 and December 31, 2023, respectively. Shentel recognized approximately $0.4 million and $0.2 million of patronage income in other income for the three months ended June 30, 2024 and 2023, respectively, and approximately $0.7 million and $0.3 million during the six months ended June 30, 2024 and 2023, respectively. The Company expects that approximately 88% of the patronage distributions will be collected in cash and 12% in equity in 2024.</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Horizon Transaction, Horizon held a $1.6 million investment in CoBank’s Class A common stock. Consequently, the value of Shentel’s investment in CoBank increased by a corresponding amount as a result of the Horizon Transaction.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520" w:type="dxa"/>
            <w:vAlign w:val="bottom"/>
            <w:vMerge w:val="continue"/>
          </w:tcPr>
          <w:p>
            <w:pPr>
              <w:spacing w:after="0"/>
              <w:rPr>
                <w:sz w:val="20"/>
                <w:szCs w:val="20"/>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10 - 45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12 - 30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799,612</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4 - 12 years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407,291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331,595</w:t>
            </w:r>
          </w:p>
        </w:tc>
        <w:tc>
          <w:tcPr>
            <w:tcW w:w="0" w:type="dxa"/>
            <w:vAlign w:val="bottom"/>
          </w:tcPr>
          <w:p>
            <w:pPr>
              <w:spacing w:after="0"/>
              <w:rPr>
                <w:sz w:val="1"/>
                <w:szCs w:val="1"/>
                <w:color w:val="auto"/>
              </w:rPr>
            </w:pPr>
          </w:p>
        </w:tc>
      </w:tr>
      <w:tr>
        <w:trPr>
          <w:trHeight w:val="218"/>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in service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1,182,197</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213,027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145,623</w:t>
            </w:r>
          </w:p>
        </w:tc>
        <w:tc>
          <w:tcPr>
            <w:tcW w:w="0" w:type="dxa"/>
            <w:vAlign w:val="bottom"/>
          </w:tcPr>
          <w:p>
            <w:pPr>
              <w:spacing w:after="0"/>
              <w:rPr>
                <w:sz w:val="1"/>
                <w:szCs w:val="1"/>
                <w:color w:val="auto"/>
              </w:rPr>
            </w:pPr>
          </w:p>
        </w:tc>
      </w:tr>
      <w:tr>
        <w:trPr>
          <w:trHeight w:val="218"/>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1,327,820</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(477,483)</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increased due primarily to capital expenditures driven by the Company’s Glo Fiber market expansion and assets acquired as a result of the Horizon Transaction. The Company’s accounts payable as of June 30, 2024 and December 31, 2023 included amounts associated with capital expenditures of approximately $54.6 million and $51.1 million, respectively. Depreciation and amortization expense was $25.1 million and $15.6 million during the three months ended June 30, 2024 and 2023, respectively, and $42.4 million and $30.7 million during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5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77,874</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 and other</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0" w:type="dxa"/>
            <w:vAlign w:val="bottom"/>
          </w:tcPr>
          <w:p>
            <w:pPr>
              <w:spacing w:after="0"/>
              <w:rPr>
                <w:sz w:val="1"/>
                <w:szCs w:val="1"/>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197,815</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Shentel recognized $74.6 million of goodwill, $14.0 million of subscriber relationships and $0.2 million of other intangible assets as a result of the Horizon Transaction. The goodwill recognized primarily consists of synergies expected from combining the operations of Horizon and Shentel and intangible assets acquired that do not qualify for separate recognition, including an assembled workforce. None of the goodwill recognized is expected to be deductible for income tax purposes. Amortization expense was $0.5 million and $0.1 million during the three months ended June 30, 2024 and 2023, respectively, and $0.6 million and $0.2 million during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Assets and Accrued Liabilities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10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39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3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9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1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liabilities and other, classified as current liabilities, included the following:</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portion of deferred lease 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Government grant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portion of finance leases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34"/>
        </w:trPr>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230"/>
        </w:trPr>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34"/>
        </w:trPr>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22" w:lineRule="exact"/>
        <w:rPr>
          <w:sz w:val="20"/>
          <w:szCs w:val="20"/>
          <w:color w:val="auto"/>
        </w:rPr>
      </w:pPr>
    </w:p>
    <w:p>
      <w:pPr>
        <w:sectPr>
          <w:pgSz w:w="11900" w:h="16838" w:orient="portrait"/>
          <w:cols w:equalWidth="0" w:num="2">
            <w:col w:w="7360" w:space="720"/>
            <w:col w:w="3160"/>
          </w:cols>
          <w:pgMar w:left="320" w:top="119" w:right="339" w:bottom="1440" w:gutter="0" w:footer="0" w:header="0"/>
        </w:sectPr>
      </w:pPr>
    </w:p>
    <w:p>
      <w:pPr>
        <w:spacing w:after="0" w:line="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various broadband network and telecommunications sites, fiber optic cable routes, warehouses, retail stores and office facilities for use in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1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520" w:type="dxa"/>
            <w:vAlign w:val="bottom"/>
            <w:gridSpan w:val="4"/>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3"/>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2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Finance lease cost</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6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w:t>
      </w:r>
    </w:p>
    <w:p>
      <w:pPr>
        <w:spacing w:after="0" w:line="14"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expense is presented in cost of services or selling, general and administrative expense based on the use of the relevant facility.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as of June 30, 2024: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40" w:type="dxa"/>
            <w:vAlign w:val="bottom"/>
          </w:tcPr>
          <w:p>
            <w:pPr>
              <w:spacing w:after="0"/>
              <w:rPr>
                <w:sz w:val="22"/>
                <w:szCs w:val="22"/>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r>
      <w:tr>
        <w:trPr>
          <w:trHeight w:val="21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21,990</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w:t>
            </w:r>
          </w:p>
        </w:tc>
      </w:tr>
      <w:tr>
        <w:trPr>
          <w:trHeight w:val="20"/>
        </w:trPr>
        <w:tc>
          <w:tcPr>
            <w:tcW w:w="6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77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790"/>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was as follows: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980" w:type="dxa"/>
            <w:vAlign w:val="bottom"/>
            <w:gridSpan w:val="3"/>
          </w:tcPr>
          <w:p>
            <w:pPr>
              <w:ind w:left="8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29"/>
        </w:trPr>
        <w:tc>
          <w:tcPr>
            <w:tcW w:w="8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5.9 %</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8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8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5.3 %</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2"/>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27"/>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180"/>
        </w:trPr>
        <w:tc>
          <w:tcPr>
            <w:tcW w:w="55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new lease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(includes new leases or modification of existing leases)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arrangements which generate lease revenue through operating lease agreements for the use of spare fiber capacity of its fiber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assets. Contract terms for these arrangements can range from 1 to 40 years and are billed monthly. Lease revenue from these arrangements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million and $2.4 million for the three and six months ended June 30, 2024, respectively, and $0.6 million and $1.3 million for the three and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2023, respectively. These amounts are presented in service revenue and other in the Company’s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comprehensive (loss) income. Contractual minimum rental receipts expected under the lease agreements in place as of June 30, 2024 is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9"/>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23,606</w:t>
            </w:r>
          </w:p>
        </w:tc>
      </w:tr>
      <w:tr>
        <w:trPr>
          <w:trHeight w:val="22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41,997</w:t>
            </w:r>
          </w:p>
        </w:tc>
      </w:tr>
      <w:tr>
        <w:trPr>
          <w:trHeight w:val="20"/>
        </w:trPr>
        <w:tc>
          <w:tcPr>
            <w:tcW w:w="9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Shentel Broadband Operations LLC, an indirect wholly owned subsidiary of Shentel, has a credit agreement, dated as of July 1, 2021 (as amended by (i) Amendment No. 1 to Credit Agreement, dated as of May 17, 2023, (ii) Consent and Amendment No. 2 to Credit Agreement, dated as of October 24, 2023, and (iii) Amendment No. 3, dated as of April 1, 2024, the “Credit Agreement”), with various financial institutions party thereto (the “Lenders”) and CoBank, ACB, as administrative agent for the Lenders, which contains (i) a $150 million available revolving credit facility due June 2026 (the “Revolver”), (ii) a $150 million delayed draw amortizing term loan due June 2026 (“Term Loan A-1”), (iii) a $150 million delayed draw amortizing term loan due June 2028 (“Term Loan A-2”), and (iv) a $225 million delayed draw amortizing term loan due June 2028 (“Term Loan A-3” and collectively with Term Loan A-1 and Term Loan A-2, the “Term Loans”). The following loans were outstanding under the Credit Agreement:</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4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149,251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297,296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299,899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Term Loan A-1 and Term Loan A-2 bore interest at one-month LIBOR plus a margin until May 2023 and now bear interest at one-month term SOFR plus a margin. The margin is variable and determined by the Company’s net leverage ratio. At June 30, 2024, Term Loan A-1 had a margin of 1.85% and Term Loan A-2 had a margin of 2.10%. Interest is paid monthly. The interest rate was 7.19% for Term Loan A-1 at June 30, 2024 and 7.44% for Term Loan A-2 at June 30, 2024. The interest rate was 6.95% for both Term Loan A-1 and Term Loan A-2 at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recorded in Shentel’s unaudited condensed consolidated statements of comprehensive (loss) income consists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5"/>
                <w:szCs w:val="15"/>
                <w:color w:val="auto"/>
              </w:rPr>
            </w:pPr>
          </w:p>
        </w:tc>
        <w:tc>
          <w:tcPr>
            <w:tcW w:w="268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6,214</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2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3,567</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8"/>
              </w:rPr>
              <w:t>(2,218)</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(2,270)</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1,297</w:t>
            </w: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various covenants, including total net leverage ratio and debt service coverage ratio financial covenants.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Shentel’s Term Loans require quarterly payments based on a percentage of the outstanding balance. Based on the outstanding balance as of June 30, 2024, Term Loan A-1 required quarterly principal repayments of 0.63% from March 31, 2024 through June 30, 2024; then increasing to 1.25% quarterly from September 30, 2024 through March 31, 2026, with the remaining balance due June 30, 2026. Based on the outstanding balance as of June 30, 2024, Term Loan A-2 requires quarterly principal repayments of 0.25% from March 31, 2024 through March 31, 2028, with the remaining balance due June 30, 2028.</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has not made any borrowings under its Revolver or Term Loan A-3 as of June 30, 2024. In the event borrowings are made in the future, the entire outstanding principal amount borrowed against the Revolver is due June 30, 2026 and the entire outstanding principal amount borrowed against Term Loan A-3 is due July 1, 2028.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expected payments of Shentel’s outstanding borrowings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7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31"/>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138,827</w:t>
            </w: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144,112</w:t>
            </w:r>
          </w:p>
        </w:tc>
      </w:tr>
      <w:tr>
        <w:trPr>
          <w:trHeight w:val="223"/>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297,382</w:t>
            </w:r>
          </w:p>
        </w:tc>
      </w:tr>
      <w:tr>
        <w:trPr>
          <w:trHeight w:val="21"/>
        </w:trPr>
        <w:tc>
          <w:tcPr>
            <w:tcW w:w="12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Although no borrowings have been executed under the Revolver, Shentel has executed letter of credit arrangements totaling $7.0 million that reduce the available balance of the Revolver. The letter of credit arrangements were executed primarily pursuant to the requirements of the National Telecommunications and Information (“NTIA”) government grant program, discussed further in Note 14,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These amounts are not considered borrowed, as no cash has been disbursed to Shentel or other parties.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Derivatives and Hedging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Shentel entered into pay fixed (2.90%), receive variable (one-month term SOFR)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outstanding debt under Term Loan A-1 and Term Loan A-2. The Company uses the Swaps to manage its exposure to interest rate risk for its long-term variable-rate Term Loans.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Swaps were determined to be highly effective hedges and therefore all change in the fair value of the Swaps was recognized in other comprehensive income.</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Layout w:type="fixed"/>
        <w:tblInd w:w="20" w:type="dxa"/>
        <w:tblCellMar>
          <w:top w:w="0" w:type="dxa"/>
          <w:left w:w="0" w:type="dxa"/>
          <w:bottom w:w="0" w:type="dxa"/>
          <w:right w:w="0" w:type="dxa"/>
        </w:tblCellMar>
      </w:tblPr>
      <w:tr>
        <w:trPr>
          <w:trHeight w:val="19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6"/>
                <w:szCs w:val="16"/>
                <w:color w:val="auto"/>
              </w:rPr>
            </w:pPr>
          </w:p>
        </w:tc>
        <w:tc>
          <w:tcPr>
            <w:tcW w:w="136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6"/>
                <w:szCs w:val="16"/>
                <w:color w:val="auto"/>
              </w:rPr>
            </w:pPr>
          </w:p>
        </w:tc>
        <w:tc>
          <w:tcPr>
            <w:tcW w:w="1360" w:type="dxa"/>
            <w:vAlign w:val="bottom"/>
          </w:tcPr>
          <w:p>
            <w:pPr>
              <w:jc w:val="right"/>
              <w:ind w:right="150"/>
              <w:spacing w:after="0" w:line="19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8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sheet line item of derivative financial instruments: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4"/>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by component:</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4"/>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6"/>
                <w:szCs w:val="16"/>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6"/>
                <w:szCs w:val="16"/>
                <w:color w:val="auto"/>
              </w:rPr>
            </w:pPr>
          </w:p>
        </w:tc>
        <w:tc>
          <w:tcPr>
            <w:tcW w:w="15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5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30"/>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to interest expense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5"/>
                <w:szCs w:val="15"/>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5"/>
                <w:szCs w:val="15"/>
                <w:color w:val="auto"/>
              </w:rPr>
            </w:pPr>
          </w:p>
        </w:tc>
        <w:tc>
          <w:tcPr>
            <w:tcW w:w="15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8"/>
        </w:trPr>
        <w:tc>
          <w:tcPr>
            <w:tcW w:w="5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30"/>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reclassified to interest expense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76"/>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5"/>
                <w:szCs w:val="15"/>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00" w:type="dxa"/>
            <w:vAlign w:val="bottom"/>
          </w:tcPr>
          <w:p>
            <w:pPr>
              <w:spacing w:after="0"/>
              <w:rPr>
                <w:sz w:val="15"/>
                <w:szCs w:val="15"/>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5"/>
                <w:szCs w:val="15"/>
                <w:color w:val="auto"/>
              </w:rPr>
            </w:pPr>
          </w:p>
        </w:tc>
        <w:tc>
          <w:tcPr>
            <w:tcW w:w="15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43"/>
        </w:trPr>
        <w:tc>
          <w:tcPr>
            <w:tcW w:w="5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4"/>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6"/>
                <w:szCs w:val="16"/>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00" w:type="dxa"/>
            <w:vAlign w:val="bottom"/>
          </w:tcPr>
          <w:p>
            <w:pPr>
              <w:spacing w:after="0"/>
              <w:rPr>
                <w:sz w:val="16"/>
                <w:szCs w:val="16"/>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6"/>
                <w:szCs w:val="16"/>
                <w:color w:val="auto"/>
              </w:rPr>
            </w:pPr>
          </w:p>
        </w:tc>
        <w:tc>
          <w:tcPr>
            <w:tcW w:w="15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currently involved in one state income tax audit and no federal income tax audits as of June 30, 2024. The Company’s income tax returns are generally open to examination from 2020 forward and the net operating losses acquired in the acquisition of nTelos are open to examination from 2004 forward.</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and six months ended June 30, 2024 and 2023, differ from the statutory U.S. federal income tax rate of 21% primarily due to the state income taxes, excess tax benefits and other discrete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tax (benefit) expense at federal statutory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(benefit) expense, net of federal tax effect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80"/>
        </w:trPr>
        <w:tc>
          <w:tcPr>
            <w:tcW w:w="5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Excess tax deficiency from share-based compensation and other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1"/>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made $7.3 million in payments and received $0.2 million in refunds for income taxes for the six months ended June 30, 2024. The Company received $25.6 million in cash refunds for income taxes for the six months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Noncontrolling Interest</w:t>
      </w:r>
    </w:p>
    <w:p>
      <w:pPr>
        <w:spacing w:after="0" w:line="25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Shentel Broadband, a subsidiary of Shentel, issued 81,000 shares of Shentel Broadband’s Series A Preferred Stock in exchange for $81 million in cash. The Series A Preferred Stock has a par value of $0.01 per share. As of June 30, 2024, 100,000 shares of the Series A Preferred Stock were authorized for issuance and 81,000 shares of the Series A Preferred Stock were outstanding.</w:t>
      </w:r>
    </w:p>
    <w:p>
      <w:pPr>
        <w:spacing w:after="0" w:line="162"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Shentel has applied the guidance in ASC 480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S99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3A, “SEC Staff Announcement: Classification and Measurement of Redeemable Securities”, and has therefore classified the Series A Preferred Stock outside of shareholders’ equity on the Company’s unaudited condensed consolidated balance sheets because the shares contain liquidation features that are not solely within the Company's control. The Series A Preferred Stock was recorded at its fair value on the date of issuance, net of $1.6 million of issuance costs. The Company does not adjust the carrying value of the Series A Preferred Stock to the liquidation preference of such shares because of the uncertainty of whether or when a liquidation event would occur. Subsequent adjustments to increase the carrying value to the liquidation preferences will be made only when it becomes probable that such a liquidation event will occur. Furthermore, the Company classifies the Series A Preferred Stock as redeemable noncontrolling interest due to the fact that the Series A Preferred Stock is issued by its subsidiary, Shentel Broadband.</w:t>
      </w:r>
    </w:p>
    <w:p>
      <w:pPr>
        <w:spacing w:after="0" w:line="223"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the Company must pay either a cash or PIK Dividend related to the Series A Preferred Stock on a quarterly basis. The first dividend was issued as a PIK Dividend on July 15, 2024. The PIK Dividend resulted in a $1.4 million increase in the liquidation preference of the Series A Preferred Stock.</w:t>
      </w:r>
    </w:p>
    <w:p>
      <w:pPr>
        <w:spacing w:after="0" w:line="20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the Series A Preferred Stock is exchangeable at the option of the Investor or Shentel in certain circumstances for shares of Common Stock at an exchange price of $24.50 per share. As of June 30, 2024, the Series A Preferred Stock was exchangeable for 3,306,122 shares of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Compensation and Earnings (Loss) per Share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Activity related to the Company’s restricted stock units (“RSUs”), which includes the Company’s RSUs and performance stock units (“PSUs”), was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804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December 31, 2023</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PSU performance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June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vested was $5.5 million during the six months ended June 30, 2024.</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Relative Total Shareholder Return RSUs (“RTSRs”) was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8040" w:type="dxa"/>
            <w:vAlign w:val="bottom"/>
            <w:vMerge w:val="continue"/>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December 31, 2023</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awards, June 30, 2024</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 expense,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1"/>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was $12.0 million of total unrecognized compensation cost related to non-vested RSUs and RTSRs which is expected to be recognized over weighted average period of 2.5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(loss) per share: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4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5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(loss) income per share: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(loss) income from discontinued operations, net of tax</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218,687</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201,824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46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50,330</w:t>
            </w:r>
          </w:p>
        </w:tc>
        <w:tc>
          <w:tcPr>
            <w:tcW w:w="0" w:type="dxa"/>
            <w:vAlign w:val="bottom"/>
          </w:tcPr>
          <w:p>
            <w:pPr>
              <w:spacing w:after="0"/>
              <w:rPr>
                <w:sz w:val="1"/>
                <w:szCs w:val="1"/>
                <w:color w:val="auto"/>
              </w:rPr>
            </w:pPr>
          </w:p>
        </w:tc>
      </w:tr>
      <w:tr>
        <w:trPr>
          <w:trHeight w:val="481"/>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Loss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(Loss) 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dilutive instruments outstanding:</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50,330</w:t>
            </w:r>
          </w:p>
        </w:tc>
        <w:tc>
          <w:tcPr>
            <w:tcW w:w="0" w:type="dxa"/>
            <w:vAlign w:val="bottom"/>
          </w:tcPr>
          <w:p>
            <w:pPr>
              <w:spacing w:after="0"/>
              <w:rPr>
                <w:sz w:val="1"/>
                <w:szCs w:val="1"/>
                <w:color w:val="auto"/>
              </w:rPr>
            </w:pP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50,330</w:t>
            </w:r>
          </w:p>
        </w:tc>
        <w:tc>
          <w:tcPr>
            <w:tcW w:w="0" w:type="dxa"/>
            <w:vAlign w:val="bottom"/>
          </w:tcPr>
          <w:p>
            <w:pPr>
              <w:spacing w:after="0"/>
              <w:rPr>
                <w:sz w:val="1"/>
                <w:szCs w:val="1"/>
                <w:color w:val="auto"/>
              </w:rPr>
            </w:pPr>
          </w:p>
        </w:tc>
      </w:tr>
      <w:tr>
        <w:trPr>
          <w:trHeight w:val="461"/>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Loss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(Loss) 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12, </w:t>
      </w:r>
      <w:r>
        <w:rPr>
          <w:rFonts w:ascii="Times New Roman" w:cs="Times New Roman" w:eastAsia="Times New Roman" w:hAnsi="Times New Roman"/>
          <w:sz w:val="18"/>
          <w:szCs w:val="18"/>
          <w:i w:val="1"/>
          <w:iCs w:val="1"/>
          <w:color w:val="auto"/>
        </w:rPr>
        <w:t>Redeemable Noncontrolling Interest</w:t>
      </w:r>
      <w:r>
        <w:rPr>
          <w:rFonts w:ascii="Times New Roman" w:cs="Times New Roman" w:eastAsia="Times New Roman" w:hAnsi="Times New Roman"/>
          <w:sz w:val="18"/>
          <w:szCs w:val="18"/>
          <w:color w:val="auto"/>
        </w:rPr>
        <w:t>, no PIK Dividends were declared or paid during the three and six months ended June 30, 2024 and 2023; therefore, no income has been attributed to redeemable noncontrolling interest for purposes of calculating basic net income per share.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the dilutive impact of equity awards and the Series A Preferred Stock (on an as-converted basis) by applying the treasury stock method and the if-converted method, respectively. There were approximately 392,000 and 444,000 potentially dilutive equity awards during the three and six months ended June 30, 2024, respectively; however, these shares were excluded from the calculation of diluted weighted average shares outstanding due to the fact that they were anti-dilutive as a result of the Company's loss from continuing operations for the periods. There were also approximately 3,306,000 potentially dilutive shares related to the Series A Preferred Stock (on an as-converted basis) during both the three and six months ended June 30, 2024; however, these shares were excluded from the calculation of diluted weighted average shares outstanding due to the fact that they were anti-dilutive as a result of the Company's loss from continuing operations for the periods. There were approximately 327,000 and 239,000 potentially dilutive equity awards during the three and six months ended June 30, 2023, respectively; however, these shares were excluded from the calculation of diluted weighted average shares outstanding due to the fact that they were anti-dilutive as a result of the Company's loss from continuing operations for the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Government Grants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Shentel was awarded an additional grant of $0.6 million to strategically expand the Company’s broadband network in order to provide broadband services to unserved residences.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As a result of these programs, the Company received $5.0 million and $7.7 million in cash reimbursements during the three and six months ended June 30, 2024 and had approximately $2.8 million and $1.9 million in accounts receivable as of June 30, 2024 and December 31, 2023, respectively. The Company did not recognize any material amounts under these programs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Prior to the Horizon Transaction, Horizon entered into agreements with the Department of Development in Ohio under the state’s Ohio Residential Broadband Expansion program. As part of these agreements, Horizon committed to expand its broadband network resulting in total project costs of $57.4 million, with government matching grants totaling $30.1 million. Approximately $18.0 million of the grant was paid to Horizon up-front, while the remainder will be paid upon the achievement of specified milestones. Shentel assumed these agreements as a result of the Horizon Transaction and is therefore obligated under these programs to continue the build-out of this network. If Shentel fails to complete the build-out, Shentel may be required to repay a portion or all of the grant that Horizon received prior to the acquisition. Consequently, the portion of the up-front grant payment associated with unfulfilled obligations is recorded in other liabilities in the C</w:t>
      </w:r>
      <w:r>
        <w:rPr>
          <w:rFonts w:ascii="Times New Roman" w:cs="Times New Roman" w:eastAsia="Times New Roman" w:hAnsi="Times New Roman"/>
          <w:sz w:val="18"/>
          <w:szCs w:val="18"/>
          <w:color w:val="212529"/>
        </w:rPr>
        <w:t>ompany’s</w:t>
      </w:r>
      <w:r>
        <w:rPr>
          <w:rFonts w:ascii="Times New Roman" w:cs="Times New Roman" w:eastAsia="Times New Roman" w:hAnsi="Times New Roman"/>
          <w:sz w:val="18"/>
          <w:szCs w:val="18"/>
          <w:color w:val="auto"/>
        </w:rPr>
        <w:t xml:space="preserve"> unaudited condensed consolidated balance sheets. Consistent with Shentel’s existing policy for accounting for government grants, the Company reclassifies amounts from other liabilities to reduce the related property, plant and equipment as the Company fulfills its obligations under this grant program. As of June 30, 2024, $14.8 million of this liability remained in other liabilities. Horizon was also granted $27.5 million by the NTIA under its Middle Mile Grant Program. This grant was awarded post-acquisition during the three months ended June 30,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2027.</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Company’s financial position, results of operations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Discontinued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As discussed in </w:t>
      </w:r>
      <w:r>
        <w:rPr>
          <w:rFonts w:ascii="Times New Roman" w:cs="Times New Roman" w:eastAsia="Times New Roman" w:hAnsi="Times New Roman"/>
          <w:sz w:val="18"/>
          <w:szCs w:val="18"/>
          <w:color w:val="000000"/>
        </w:rPr>
        <w:t>Note 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Basis of Presentation and Other Information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above, t</w:t>
      </w:r>
      <w:r>
        <w:rPr>
          <w:rFonts w:ascii="Times New Roman" w:cs="Times New Roman" w:eastAsia="Times New Roman" w:hAnsi="Times New Roman"/>
          <w:sz w:val="18"/>
          <w:szCs w:val="18"/>
          <w:color w:val="212529"/>
        </w:rPr>
        <w:t xml:space="preserve">he Tower Transaction represented a strategic shift in the Company’s business and the Tower Portfolio has been reclassified as a discontinued operation. As a result, for all periods presented, the assets and liabilities that transferred in the Tower Transaction disposal group are presented as held for sale in the Company’s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xml:space="preserve">, and operating results and cash flows related to the Tower Portfolio were reflected as a discontinued operations in our </w:t>
      </w:r>
      <w:r>
        <w:rPr>
          <w:rFonts w:ascii="Times New Roman" w:cs="Times New Roman" w:eastAsia="Times New Roman" w:hAnsi="Times New Roman"/>
          <w:sz w:val="18"/>
          <w:szCs w:val="18"/>
          <w:color w:val="000000"/>
        </w:rPr>
        <w:t>unaudited condensed consolidated statements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comprehensive (loss) income and unaudited condensed consolidated statements of cash flows</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classified as held for sale in the unaudited condensed consolidated balance sheets, were as follows:</w:t>
      </w:r>
    </w:p>
    <w:tbl>
      <w:tblPr>
        <w:tblLayout w:type="fixed"/>
        <w:tblInd w:w="20" w:type="dxa"/>
        <w:tblCellMar>
          <w:top w:w="0" w:type="dxa"/>
          <w:left w:w="0" w:type="dxa"/>
          <w:bottom w:w="0" w:type="dxa"/>
          <w:right w:w="0" w:type="dxa"/>
        </w:tblCellMar>
      </w:tblPr>
      <w:tr>
        <w:trPr>
          <w:trHeight w:val="185"/>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28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97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97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68,915</w:t>
            </w:r>
          </w:p>
        </w:tc>
        <w:tc>
          <w:tcPr>
            <w:tcW w:w="0" w:type="dxa"/>
            <w:vAlign w:val="bottom"/>
          </w:tcPr>
          <w:p>
            <w:pPr>
              <w:spacing w:after="0"/>
              <w:rPr>
                <w:sz w:val="1"/>
                <w:szCs w:val="1"/>
                <w:color w:val="auto"/>
              </w:rPr>
            </w:pPr>
          </w:p>
        </w:tc>
      </w:tr>
      <w:tr>
        <w:trPr>
          <w:trHeight w:val="21"/>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9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56,696</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(Loss) income from discontinued operations, net of tax in the unaudited condensed consolidated statements of comprehensive (loss) income consist of the following for the periods:</w:t>
      </w:r>
    </w:p>
    <w:tbl>
      <w:tblPr>
        <w:tblLayout w:type="fixed"/>
        <w:tblInd w:w="20" w:type="dxa"/>
        <w:tblCellMar>
          <w:top w:w="0" w:type="dxa"/>
          <w:left w:w="0" w:type="dxa"/>
          <w:bottom w:w="0" w:type="dxa"/>
          <w:right w:w="0" w:type="dxa"/>
        </w:tblCellMar>
      </w:tblPr>
      <w:tr>
        <w:trPr>
          <w:trHeight w:val="185"/>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40" w:type="dxa"/>
            <w:vAlign w:val="bottom"/>
            <w:gridSpan w:val="4"/>
          </w:tcPr>
          <w:p>
            <w:pPr>
              <w:jc w:val="right"/>
              <w:ind w:right="50"/>
              <w:spacing w:after="0" w:line="185"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90"/>
              <w:spacing w:after="0" w:line="185"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140" w:type="dxa"/>
            <w:vAlign w:val="bottom"/>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4"/>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0"/>
                <w:szCs w:val="20"/>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disposition of Tower Portfolio</w:t>
            </w:r>
          </w:p>
        </w:tc>
        <w:tc>
          <w:tcPr>
            <w:tcW w:w="94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296,810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218,687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Consummation of the sale triggered the recognition of approximately $4.4 million of incremental transaction costs during the </w:t>
      </w:r>
      <w:r>
        <w:rPr>
          <w:rFonts w:ascii="Times New Roman" w:cs="Times New Roman" w:eastAsia="Times New Roman" w:hAnsi="Times New Roman"/>
          <w:sz w:val="18"/>
          <w:szCs w:val="18"/>
          <w:color w:val="000000"/>
        </w:rPr>
        <w:t>six months ended June 30,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12529"/>
        </w:rPr>
        <w:t>, for contingent deal advisory fees and legal expenses, which are netted against the gain on sale of disposition of Tower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2023 (“2023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2023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in seven contiguous states in the eastern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Transaction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$305 million in cash consideration to the other Sellers and certain third parties, including Horizon’s existing lenders to discharge debt (collectively, the “Horizon Transaction”). Cash consideration paid also included purchase price adjustments for capital expenditure reimbursements and working capital subject to subsequent adjustments as defined in the merger agreement. Cash consideration paid remains subject to subsequent working capital and other adjustments. The Selling Shareholder agreed to an investor rights agreement with the Company that includes among other provision, a one year lockup period for the shares of Common Stock received.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Acquisition of Horizon,</w:t>
      </w:r>
      <w:r>
        <w:rPr>
          <w:rFonts w:ascii="Times New Roman" w:cs="Times New Roman" w:eastAsia="Times New Roman" w:hAnsi="Times New Roman"/>
          <w:sz w:val="18"/>
          <w:szCs w:val="18"/>
          <w:color w:val="212529"/>
        </w:rPr>
        <w:t xml:space="preserve"> for more information regarding the Horizon Transaction and its impact on the Company’s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execution of the Merger Agreement, on October 24, 2023,, Shentel and Shentel Broadband Holding Inc., a wholly-owned subsidiary of Shentel (“Shentel Broadband”),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in certain circumstances for shares of Common Stock at an exchange price of $24.50 per share (as it may be adjusted pursuant to the terms of the Investment Agreement, the “Exchange Price”).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condition to closing the transactions contemplated by the Investment Agreement and Amendment No. 3 to the Credit Agreement, Shentel completed a corporate reorganization of Shentel’s subsidiaries (the “Reorganization”). As a result of the Reorganization effected on the Closing Date, Shentel Broadband Operations LLC, a wholly-owned subsidiary of Shentel Broadband, holds or has equity interest in substantially all of the operating assets of Shentel and was assigned and assumed the Credit Agreement.</w:t>
      </w:r>
    </w:p>
    <w:p>
      <w:pPr>
        <w:spacing w:after="0" w:line="20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12529"/>
        </w:rPr>
        <w:t xml:space="preserve">Refer to </w:t>
      </w:r>
      <w:r>
        <w:rPr>
          <w:rFonts w:ascii="Times New Roman" w:cs="Times New Roman" w:eastAsia="Times New Roman" w:hAnsi="Times New Roman"/>
          <w:sz w:val="18"/>
          <w:szCs w:val="18"/>
          <w:color w:val="000000"/>
        </w:rPr>
        <w:t>Note 12,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Redeemable Noncontrolling Interest,</w:t>
      </w:r>
      <w:r>
        <w:rPr>
          <w:rFonts w:ascii="Times New Roman" w:cs="Times New Roman" w:eastAsia="Times New Roman" w:hAnsi="Times New Roman"/>
          <w:sz w:val="18"/>
          <w:szCs w:val="18"/>
          <w:color w:val="212529"/>
        </w:rPr>
        <w:t xml:space="preserve"> for more information regarding the Series A Preferred Stock and its impact on the Company’s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to Credit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 for the Lenders (as previously amended by Amendment No. 1 to Credit Agreement, dated as of May 17, 2023, and Consent and Amendment No. 2 to Credit Agreement, dated October 24, 2023, the “Credit Agreement”).</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Third Amendment provides for, among other things, incremental delay draw term loan commitments under the Credit Agreement in an aggregate amount equal to $225 million and an increase in the revolving commitment under the Credit Agreement in an amount equal to $50 million. </w:t>
      </w:r>
      <w:r>
        <w:rPr>
          <w:rFonts w:ascii="Times New Roman" w:cs="Times New Roman" w:eastAsia="Times New Roman" w:hAnsi="Times New Roman"/>
          <w:sz w:val="18"/>
          <w:szCs w:val="18"/>
          <w:color w:val="212529"/>
        </w:rPr>
        <w:t>Refer to</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212529"/>
        </w:rPr>
        <w:t>for more information regarding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with the Three Months Ended June 30,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3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44,960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72.6 %</w:t>
            </w:r>
          </w:p>
        </w:tc>
      </w:tr>
      <w:tr>
        <w:trPr>
          <w:trHeight w:val="23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94.3 %</w:t>
            </w:r>
          </w:p>
        </w:tc>
      </w:tr>
      <w:tr>
        <w:trPr>
          <w:trHeight w:val="234"/>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85,799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34,541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0"/>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Integration and acquisition</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25,579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101,684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r>
      <w:tr>
        <w:trPr>
          <w:trHeight w:val="223"/>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164"/>
        </w:trPr>
        <w:tc>
          <w:tcPr>
            <w:tcW w:w="426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(Loss) income from continuing operations before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3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18"/>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189"/>
        </w:trPr>
        <w:tc>
          <w:tcPr>
            <w:tcW w:w="4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(Loss) income from discontinued operations, net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23"/>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updated the description for revenues previously reported as “Residential &amp; SMB - Cable Markets” to “Residential &amp; SMB - Incumbent Broadband Markets” and updated the description for revenues previously reported as “Residential &amp; SMB - Glo Fiber Markets” to “Residential &amp; SMB - Glo Fiber Expansion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Residential &amp; SMB - Incumbent Broadband Markets revenue for the three months ended June 30, 2024 increased approximately $0.6 million, or 1.3%, compared with the three months ended June 30, 2023, primarily driven by $1.8 million of revenue from Horizon, partially offset by a 17.0% year-over-year decline in video RGUs.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Glo Fiber Expansion Markets revenue for the three months ended June 30, 2024 increased approximately $5.9 million, or 72.6%, compared with the three months ended June 30, 2023, primarily driven by $0.5 million of revenue from Horizon and a 56.3% year-over-year growth in data RGUs driven by the Company’s expansion of Glo Fiber and a 8.8% increase in data ARPU.</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Commercial Fiber revenue for the three months ended June 30, 2024 increased approximately $9.7 million, or 94.3%, compared with the three months ended June 30, 2023, primarily driven by $10.9 million of revenue from Horizon, partially offset by the expected decline in T-Mobile revenue from prior period backhaul circuit disconnects as part of the previously disclosed decommissioning of the former Sprint network.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RLEC &amp; Other revenue for the three months ended June 30, 2024 increased approximately $3.0 million, or 78.5%, compared with the three months ended June 30, 2023, primarily driven by $3.6 million of revenue from Horizon, partially offset by a 28% year-over-year decline in RLEC data RGUs as customers migrate to cable and fiber based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for the three months ended June 30, 2024, increased approximately $9.8 million, or 39.5%, compared with the three months ended June 30, 2023, primarily driven by $8.9 million of cost of services from Horizon and higher inventory and maintenance costs resulting as the Company continues to expand the Glo Fiber network and a non-recurring charge related to exiting a planned Glo Fiber expansion market due to further analysis of projected market economics.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June 30, 2024, increased $5.2 million, or 20.8%, compared with the three months ended June 30, 2023, primarily driven by $4.1 million of recurring selling, general and administrative costs from Horizon, and $0.6 million primarily attributable to higher advertising and sales headcount to support the Glo Fiber expansion.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and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Integration and amortization expense for the three months ended June 30, 2024, increased $11.0 million compared with the three months ended June 30, 2023, primarily driven by non-recurring acquisition-related costs related to the Horizon Transaction and integration of Horizon and Shentel’s operating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and amortization increased $9.7 million, or 61.6%, compared with the three months ended June 30, 2023, primarily driven by $8.3 million of depreciation and amortization related to acquired tangible and intangible assets from Horizon and the Company’s expansion of its Glo Fiber network.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Other expense, net was $2.1 million for the three months ended June 30, 2024 compared with other income, net of $0.2 million for the three months ended June 30, 2023, primarily driven by an increase in interest expense due to a higher outstanding debt balance during the three months ended June 30, 2024 compared to the three months ended June 30, 2023, partially offset by patronage income recorded as a result of patronage distributions received during the three months ended June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$5.2 million of income tax benefit for the three months ended June 30, 2024, compared with $1.5 million of income tax expense for the three months ended June 30, 2023. The $6.7 million increase in income tax benefit was driven by higher pre-tax loss from continuing operations during the three months ended June 30, 2024.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with the Six Months Ended June 30, 2023</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89,330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29,298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34"/>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10,208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155,047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 and acquisition</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43,022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173,708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05"/>
        </w:trPr>
        <w:tc>
          <w:tcPr>
            <w:tcW w:w="4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156"/>
        </w:trPr>
        <w:tc>
          <w:tcPr>
            <w:tcW w:w="42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before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8"/>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3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18"/>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34"/>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218,687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23"/>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NMF</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Incumbent Broadband Markets revenue for the six months ended June 30, 2024 increased approximately $0.2 million, or 0.2%, compared with the six months ended June 30, 2023, primarily driven by $1.8 million of revenue from Horizon, partially offset by a 15.4% year-over-year decline in video RGUs.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Glo Fiber Expansion Markets revenue for the six months ended June 30, 2024 increased approximately $11.0 million, or 72.8%, compared with the six months ended June 30, 2023, primarily driven by $0.5 million of revenue from Horizon and 56.3% year-over-year growth in data RGUs driven by the Company’s expansion of Glo Fiber and a 9.2% increase in data ARPU.</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Commercial Fiber revenue for the six months ended June 30, 2024 increased approximately $7.3 million, or 33.5%, compared with the six months ended June 30, 2023, primarily driven by $10.9 million of revenue from Horizon, partially offset by the expected decline in T-Mobile revenue from prior period backhaul circuit disconnects as part of the previously disclosed decommissioning of the former Sprint network.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RLEC &amp; Other revenue for the six months ended June 30, 2024 increased approximately $2.7 million, or 35.5%, compared with the six months ended June 30, 2023, primarily driven by $3.6 million of revenue from Horizon, partially offset by a 28% year-over-year decline in RLEC data RGUs as customers migrate to cable and fiber based products.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for the six months ended June 30, 2024, increased approximately $10.3 million, or 20.6%, compared with the six months ended June 30, 2023, primarily driven by $8.9 million of cost of services from Horizon and higher inventory and maintenance costs resulting as the Company continues to expand the Glo Fiber network and a non-recurring charge related to exiting a planned Glo Fiber expansion market due to competitive broadband overbuild activity.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Selling, general and administrative expense for the six months ended June 30, 2024, increased $7.1 million, or 14.0%, compared with the six months ended June 30, 2023, primarily driven by $4.1 million of recurring selling, general and administrative costs acquired from Horizon, higher advertising costs and sales headcount associated with the Company’s expansion of Glo Fiber.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and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Integration and amortization expense for the three months ended June 30, 2024, increased $11.5 million compared with the three months ended June 30, 2023, primarily driven by non-recurring Horizon acquisition-related costs related to banking, legal, accounting, and other similar services and severance costs for employees who will not be retained permanently.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and amortization increased $12.1 million, or 39.2%, compared with the six months ended June 30, 2023, primarily driven by $8.3 million of depreciation and amortization related to acquired tangible and intangible assets from Horizon and the Company’s expansion of its Glo Fiber network.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Other expense, net was $4.4 million for the six months ended June 30, 2024 compared with other income, net of $1.3 million for the six months ended June 30, 2023, primarily driven by an increase in interest expense due to a higher outstanding debt balance during the six months ended June 30, 2024 compared to the six months ended June 30, 2023, partially offset by patronage income recorded as a result of patronage distributions received during the six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$6.2 million of income tax benefit for the six months ended June 30, 2024, compared with $2.1 million of income tax expense for the six months ended June 30, 2023. The $8.4 million increase in income tax benefit was driven by higher pre-tax loss from continuing operations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16,000 route miles of fiber.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7"/>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 and businesses passed (1)</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530,076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396,035</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232,531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213,188</w:t>
            </w:r>
          </w:p>
        </w:tc>
      </w:tr>
      <w:tr>
        <w:trPr>
          <w:trHeight w:val="234"/>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297,545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182,847</w:t>
            </w:r>
          </w:p>
        </w:tc>
      </w:tr>
      <w:tr>
        <w:trPr>
          <w:trHeight w:val="3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Small and Medium Business ("SMB") Revenue Generating Units ("RGUs"):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164,566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142,247</w:t>
            </w: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111,256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109,404</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53,310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32,843</w:t>
            </w: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44,800</w:t>
            </w: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44,126</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40,313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&amp; SMB RGUs (excludes RLEC)</w:t>
            </w: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250,771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227,360</w:t>
            </w:r>
          </w:p>
        </w:tc>
      </w:tr>
      <w:tr>
        <w:trPr>
          <w:trHeight w:val="3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Penetration (2)</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3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Average Revenue per User ("ARPU") (6)</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83.70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81.03</w:t>
            </w: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Incumbent Broadband Markets (4)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84.53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82.55</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 Expansion Markets (5)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81.86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75.63</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117.12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106.21</w:t>
            </w: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25.35</w:t>
            </w:r>
          </w:p>
        </w:tc>
      </w:tr>
      <w:tr>
        <w:trPr>
          <w:trHeight w:val="3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route miles</w:t>
            </w:r>
          </w:p>
        </w:tc>
        <w:tc>
          <w:tcPr>
            <w:tcW w:w="30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16,029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9,082</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fiber miles (3)</w:t>
            </w: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1,798,211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767,173</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right="20" w:hanging="328"/>
        <w:spacing w:after="0" w:line="259"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60" w:hanging="328"/>
        <w:spacing w:after="0" w:line="261"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ind w:left="640" w:hanging="308"/>
        <w:spacing w:after="0" w:line="238"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ncumbent Broadband Markets consists of Shentel Incumbent Cable Markets and Horizon Incumbent Telephone Markets with Fiber-To-The-Home (“FTTH”) passings.</w:t>
      </w: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 Fiber Expansion Markets consists of FTTH passings in greenfield expansion markets in the Shentel and former Horizon markets.</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RGU calculation = (Residential &amp; SMB Revenue) / average RGUs / 3 months.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The Company’s principal sources of liquidity are our cash and cash equivalents, cash generated from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Agreement, dated July 1, 2021 (as amended by (i) Amendment No. 1 to Credit Agreement, dated as of May 17, 2023, (ii) Consent and Amendment No. 2 to Credit Agreement, dated as of October 24, 2023, and Amendment No. 3, dated as of April 1, 2024, the “Credit Agreement”). The Credit Agreement contains (i) a $150 million, available revolving credit facility due June 2026 (the “Revolver”), (ii) a $150 million delayed draw amortizing term loan due June 2026 (“Term Loan A-1”), (iii) a $150 million delayed draw amortizing term loan due June 2028 (“Term Loan A-2”), and (iv) a $225 million delayed draw amortizing term loan due June 2028 (“Term Loan A-3” and collectively with Term Loan A-1 and Term Loan A-2, the “Term Loans”).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Congress passed the American Rescue Plan Act to subsidize the deployment of high-speed broadband internet access in unserved areas. We have been awarded approximately $86.3 million in grants to serve approximately 25,000 unserved homes in the states of Virginia, West Virginia and Maryland. The grants will be paid to the Company as certain milestones are completed. The Company expects to fulfill its obligations under these programs by 2026.</w:t>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Prior to the Horizon Transaction, Horizon entered into agreements with the Department of Development in Ohio under the state’s Ohio Residential Broadband Expansion program. As part of these agreements, Horizon committed to expand its broadband network resulting in total project costs of $57.4 million, with government matching grants totaling $30.1 million. Approximately $18.0 million of the grant was paid to Horizon up-front, while the remainder will be paid upon the achievement of specified milestones. Shentel assumed these agreements as a result of the Horizon Transaction and is therefore obligated under these programs to continue the build-out of this network. If Shentel fails to complete the build-out, Shentel may be required to repay a portion or all of the grant that Horizon received prior to the acquisition. Horizon was also granted $27.5 million by the National Telecommunications and Information Administration under its Middle Mile Grant Program.</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As of June 30, 2024, our cash and cash equivalents totaled $44 million and the availability under our Revolver and Term Loan A-3 was $368 million, for total available liquidity of approximately $412 million. </w:t>
      </w:r>
      <w:r>
        <w:rPr>
          <w:rFonts w:ascii="Times New Roman" w:cs="Times New Roman" w:eastAsia="Times New Roman" w:hAnsi="Times New Roman"/>
          <w:sz w:val="18"/>
          <w:szCs w:val="18"/>
          <w:color w:val="212529"/>
        </w:rPr>
        <w:t>As discussed in</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Basis of Presentation and Other Information</w:t>
      </w:r>
      <w:r>
        <w:rPr>
          <w:rFonts w:ascii="Times New Roman" w:cs="Times New Roman" w:eastAsia="Times New Roman" w:hAnsi="Times New Roman"/>
          <w:sz w:val="18"/>
          <w:szCs w:val="18"/>
          <w:color w:val="auto"/>
        </w:rPr>
        <w:t xml:space="preserve"> in Part I, Item 1 of this quarterly report on Form 10-Q, </w:t>
      </w:r>
      <w:r>
        <w:rPr>
          <w:rFonts w:ascii="Times New Roman" w:cs="Times New Roman" w:eastAsia="Times New Roman" w:hAnsi="Times New Roman"/>
          <w:sz w:val="18"/>
          <w:szCs w:val="18"/>
          <w:color w:val="212529"/>
        </w:rPr>
        <w:t>Shentel entered into various agreements on April 1, 2024, which affected the Company’s liquidity. The Company utilized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approximately </w:t>
      </w:r>
      <w:r>
        <w:rPr>
          <w:rFonts w:ascii="Times New Roman" w:cs="Times New Roman" w:eastAsia="Times New Roman" w:hAnsi="Times New Roman"/>
          <w:sz w:val="18"/>
          <w:szCs w:val="18"/>
          <w:color w:val="000000"/>
        </w:rPr>
        <w:t>$349 million</w:t>
      </w:r>
      <w:r>
        <w:rPr>
          <w:rFonts w:ascii="Times New Roman" w:cs="Times New Roman" w:eastAsia="Times New Roman" w:hAnsi="Times New Roman"/>
          <w:sz w:val="18"/>
          <w:szCs w:val="18"/>
          <w:color w:val="212529"/>
        </w:rPr>
        <w:t xml:space="preserve"> to fund the Horizon Transaction, including payment of certain capital expenditures and payments for various transaction costs. Furthermore, the Company received </w:t>
      </w:r>
      <w:r>
        <w:rPr>
          <w:rFonts w:ascii="Times New Roman" w:cs="Times New Roman" w:eastAsia="Times New Roman" w:hAnsi="Times New Roman"/>
          <w:sz w:val="18"/>
          <w:szCs w:val="18"/>
          <w:color w:val="000000"/>
        </w:rPr>
        <w:t>$81 million</w:t>
      </w:r>
      <w:r>
        <w:rPr>
          <w:rFonts w:ascii="Times New Roman" w:cs="Times New Roman" w:eastAsia="Times New Roman" w:hAnsi="Times New Roman"/>
          <w:sz w:val="18"/>
          <w:szCs w:val="18"/>
          <w:color w:val="212529"/>
        </w:rPr>
        <w:t xml:space="preserve"> in exchange for the issuance of Series A Preferred Stock. Finally, the Company amended its Credit Agreement, resulting in </w:t>
      </w:r>
      <w:r>
        <w:rPr>
          <w:rFonts w:ascii="Times New Roman" w:cs="Times New Roman" w:eastAsia="Times New Roman" w:hAnsi="Times New Roman"/>
          <w:sz w:val="18"/>
          <w:szCs w:val="18"/>
          <w:color w:val="000000"/>
        </w:rPr>
        <w:t>incremental delay draw term loan commitments under the Credit Agreement in an aggregate amount equal to $225 million and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increase in the revolving commitment under the Credit Agreement of $50 million.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above, Shentel sold its Tower Portfolio for </w:t>
      </w:r>
      <w:r>
        <w:rPr>
          <w:rFonts w:ascii="Times New Roman" w:cs="Times New Roman" w:eastAsia="Times New Roman" w:hAnsi="Times New Roman"/>
          <w:sz w:val="18"/>
          <w:szCs w:val="18"/>
          <w:color w:val="212529"/>
        </w:rPr>
        <w:t>$309.9 million in cash during the</w:t>
      </w:r>
      <w:r>
        <w:rPr>
          <w:rFonts w:ascii="Times New Roman" w:cs="Times New Roman" w:eastAsia="Times New Roman" w:hAnsi="Times New Roman"/>
          <w:sz w:val="18"/>
          <w:szCs w:val="18"/>
          <w:color w:val="auto"/>
        </w:rPr>
        <w:t xml:space="preserve"> six months ended June 30, 2024. The majority of these cash proceeds was used to fund Shentel’s purchase of Horizon Telcom on April 1,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approximately $23.2 million during the six months ended June 30, 2024, representing a decrease of $40.3 million compared with the prior year period, primarily driven by lower current tax refunds received during the six months ended June 30, 2024 and changes in working capital.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approximately $489.0 million during the six months ended June 30, 2024, representing an increase of $354.3 million compared with the prior year period, primarily driven by the payment of $349.4 million to acquire Horizon and to cover transaction costs related to the acquisition, a $15.7 million increase in capital expenditures driven by expansion of Glo Fiber and government-subsidized markets, partially offset by $7.7 million of grants received related to government funded infrastructure expansion programs.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approximately $70.0 million during the six months ended June 30, 2024, representing an increase of $21.9 million compared with the prior year period, primarily driven by the issuance of $81 million in Shentel’s Series A Preferred Stock, partially offset by $50 million in lower borrowings against Shentel’s Credit Agreement, $4.1 million in higher cash outflows for debt amendment costs, $2.6 million in cash outflows for principal payments on outstanding debt and $1.6 million in cash outflows for financing costs related to the issuance of the Company’s Series A Preferred Stock.</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To date, Shentel has borrowed $150 million under each of Term Loans A-1 and A-2 available under the Credit Agreement for a total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$300 million. As of June 30, 2024, the Company’s indebtedness totaled approximately $297.3 million, net of unamortized loan fees of $0.1 million. The borrowed amounts bear interest at a variable rate determined by one-month term SOFR, plus a margin based on net leverage. At June 30, 2024 Term Loan A-1 had a margin of 1.85% and Term Loan A-2 had a margin of 2.10%. The interest rate was 7.19% for Term Loan A-1 at June 30, 2024 and 7.44% for Term Loan A-2 at June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Shentel’s Term Loans require quarterly principal repayments based on a percentage of the outstanding balance. Term Loan A-1 requires quarterly repayments of 0.63% from March 31, 2024 through June 30, 2024, then increasing to 1.25% quarterly from September 30, 2024 through March 31, 2026, with the remaining balance due June 30, 2026. Term Loan A-2 requires quarterly principal repayments of 0.25% from March 31, 2024 through March 31, 2028, with the remaining balance due June 30, 2028.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Company’s unaudited condensed consolidated financial statements for more information about the Credit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was in compliance with the financial covenants in our Credit Agreement.</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2024, our capital expenditures of $150.9 million exceeded our net cash provided by operating activities of continuing operations by $127.7 million, and we expect our capital expenditures to exceed the cash flows provided from continuing operations through 2026, as we expand our Glo Fiber broadband network.</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is critical to our ability to maintain positive cash flows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2023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borrowed a total of $300 million pursuant to the variable rate delayed draw Term Loans available under the Credit Agreement. As of December 31, 2023, Shentel has borrowed the full amount available under our Term Loans A-1 and A-2.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$297.4 million of gross variable rate debt outstanding, bearing interest at 7.19% and 7.44% for Term Loan A-1 and Term Loan A-2, respectively. An increase in market interest rates of 1.00% would add approximately $2.9 million to annual interest expense.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May 2023, Shentel entered into pay fixed, receive variable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expected outstanding debt. The Company uses the Swaps to manage its exposure to interest rate risk for a portion of its long-term variable-rate Term Loans through interest rate swaps. When the Swaps’ payments term began, Shentel effectively pays a fixed weighted-average interest rate of 2.90%, prior to interest rate margin provided under our credit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June 30, 2024. Our certifying officers concluded that our disclosure controls and procedures were effective as of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June 30, 2024, the Company has not identified any needed updates to the risk factors included in our most recent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$305 million in cash consideration to the other Sellers and certain third parties, including Horizon’s existing lenders to discharge debt. Cash consideration paid also included purchase price adjustments for capital expenditure reimbursements and working capital subject to subsequent adjustments as defined in the merger agreement. The Selling Shareholder agreed to an investor rights agreement with the Company that includes among other provision, a one year lockup period for the 4,100,375 shares of Common Stock received. The sale of these securities was exempt from registration pursuant to Section 4(a)(2) of the Securities Act of 1933, as amended, based upon representations made to us by the Selling Shareholder.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June 30, 2024, to settle employee tax withholding obligations related to the vesting of stock awards.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to April 30</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to May 31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to June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r>
      <w:tr>
        <w:trPr>
          <w:trHeight w:val="241"/>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r>
      <w:tr>
        <w:trPr>
          <w:trHeight w:val="22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$18.37</w:t>
            </w:r>
          </w:p>
        </w:tc>
      </w:tr>
      <w:tr>
        <w:trPr>
          <w:trHeight w:val="223"/>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40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97" w:lineRule="exact"/>
        <w:rPr>
          <w:sz w:val="20"/>
          <w:szCs w:val="20"/>
          <w:color w:val="auto"/>
        </w:rPr>
      </w:pPr>
    </w:p>
    <w:p>
      <w:pPr>
        <w:ind w:left="1220" w:right="400" w:hanging="858"/>
        <w:spacing w:after="0" w:line="237" w:lineRule="auto"/>
        <w:tabs>
          <w:tab w:leader="none" w:pos="1200" w:val="left"/>
        </w:tabs>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Purchase and Sale Agreement, dated February 29, 2024, by and among Shenandoah Mobile, LLC and Vertical Bridge Holdco, LLC (incorporated by reference to Exhibit 10.1 to Shentel’s Current Report on Form 8-K filed March 1, 2024).</w:t>
      </w:r>
    </w:p>
    <w:p>
      <w:pPr>
        <w:spacing w:after="0" w:line="280" w:lineRule="exact"/>
        <w:rPr>
          <w:sz w:val="20"/>
          <w:szCs w:val="20"/>
          <w:color w:val="auto"/>
        </w:rPr>
      </w:pPr>
    </w:p>
    <w:p>
      <w:pPr>
        <w:ind w:left="1220" w:right="20" w:hanging="858"/>
        <w:spacing w:after="0" w:line="237" w:lineRule="auto"/>
        <w:tabs>
          <w:tab w:leader="none" w:pos="120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Amendment No. 1 to Purchase and Sale Agreement, dated March 29, 2024, by and among Shenandoah Mobile, LLC and Vertical Bridge Holdco, LLC (incorporated by reference to Exhibit 2.2 to Shentel’s Current Report on Form 8-K filed March 29, 2024).</w:t>
      </w:r>
    </w:p>
    <w:p>
      <w:pPr>
        <w:spacing w:after="0" w:line="280" w:lineRule="exact"/>
        <w:rPr>
          <w:sz w:val="20"/>
          <w:szCs w:val="20"/>
          <w:color w:val="auto"/>
        </w:rPr>
      </w:pPr>
    </w:p>
    <w:p>
      <w:pPr>
        <w:jc w:val="both"/>
        <w:ind w:left="1220" w:right="60" w:hanging="858"/>
        <w:spacing w:after="0" w:line="226" w:lineRule="auto"/>
        <w:tabs>
          <w:tab w:leader="none" w:pos="120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First Amendment to Agreement and Plan of Merger, dated April 1, 2024, by and among Shenandoah Telecommunications Company and Novacap TMT V, L.P., as Seller Representative (incorporated by reference to Exhibit 2.2 to Shentel’s Current Report on Form 8-K filed April 1, 2024).</w:t>
      </w:r>
    </w:p>
    <w:p>
      <w:pPr>
        <w:spacing w:after="0" w:line="279" w:lineRule="exact"/>
        <w:rPr>
          <w:sz w:val="20"/>
          <w:szCs w:val="20"/>
          <w:color w:val="auto"/>
        </w:rPr>
      </w:pPr>
    </w:p>
    <w:p>
      <w:pPr>
        <w:ind w:left="1220" w:right="80" w:hanging="903"/>
        <w:spacing w:after="0" w:line="237" w:lineRule="auto"/>
        <w:tabs>
          <w:tab w:leader="none" w:pos="1200" w:val="left"/>
        </w:tabs>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Investor Rights Agreement, dated April 1, 2024, between Shenandoah Telecommunications Company and LIF Vista, LLC (incorporated by reference to Exhibit 10.2 to Shentel’s Current Report on Form 8-K filed April 1, 2024).</w:t>
      </w:r>
    </w:p>
    <w:p>
      <w:pPr>
        <w:spacing w:after="0" w:line="280" w:lineRule="exact"/>
        <w:rPr>
          <w:sz w:val="20"/>
          <w:szCs w:val="20"/>
          <w:color w:val="auto"/>
        </w:rPr>
      </w:pPr>
    </w:p>
    <w:p>
      <w:pPr>
        <w:ind w:left="1220" w:hanging="903"/>
        <w:spacing w:after="0" w:line="226" w:lineRule="auto"/>
        <w:tabs>
          <w:tab w:leader="none" w:pos="1200" w:val="left"/>
        </w:tabs>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Registration Rights Agreement, dated April 1, 2024, by and among Shenandoah Telecommunications Company, ECP Fiber Holdings, LP and, solely for the limited purposes specified therein, Hill City Holdings, LP (incorporated by reference to Exhibit 10.3 to Shentel’s Current Report on Form 8-K filed April 1, 2024).</w:t>
      </w:r>
    </w:p>
    <w:p>
      <w:pPr>
        <w:spacing w:after="0" w:line="279" w:lineRule="exact"/>
        <w:rPr>
          <w:sz w:val="20"/>
          <w:szCs w:val="20"/>
          <w:color w:val="auto"/>
        </w:rPr>
      </w:pPr>
    </w:p>
    <w:p>
      <w:pPr>
        <w:ind w:left="1220" w:right="100" w:hanging="903"/>
        <w:spacing w:after="0" w:line="226" w:lineRule="auto"/>
        <w:tabs>
          <w:tab w:leader="none" w:pos="1200" w:val="left"/>
        </w:tabs>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Amendment No. 3 to Credit Agreement, dated April 1, 2024, by and among Shenandoah Telecommunications Company, certain of its subsidiaries, CoBank ACB, as administrative agent, and the lenders party thereto (incorporated by reference to Exhibit 10.4 to Shentel’s Current Report on Form 8-K filed April 1, 2024).</w:t>
      </w:r>
    </w:p>
    <w:p>
      <w:pPr>
        <w:spacing w:after="0" w:line="279"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22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0"/>
        <w:spacing w:after="0"/>
        <w:tabs>
          <w:tab w:leader="none" w:pos="252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293" w:lineRule="exact"/>
        <w:rPr>
          <w:sz w:val="20"/>
          <w:szCs w:val="20"/>
          <w:color w:val="auto"/>
        </w:rPr>
      </w:pPr>
    </w:p>
    <w:p>
      <w:pPr>
        <w:ind w:right="4240" w:firstLine="467"/>
        <w:spacing w:after="0" w:line="641" w:lineRule="auto"/>
        <w:tabs>
          <w:tab w:leader="none" w:pos="12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4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Shentel agrees to furnish supplementally to the SEC a copy of any omitted schedule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-1299845</wp:posOffset>
            </wp:positionV>
            <wp:extent cx="54864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9"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/S/DENNIS ROMPS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360" w:firstLine="656"/>
        <w:spacing w:after="0" w:line="266" w:lineRule="auto"/>
        <w:tabs>
          <w:tab w:leader="none" w:pos="1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and six months ended June 30, 2024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August 7, 2024</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August 7, 2024</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01"/>
    </w:lvl>
  </w:abstractNum>
  <w:abstractNum w:abstractNumId="7">
    <w:nsid w:val="1F16E9E8"/>
    <w:multiLevelType w:val="hybridMultilevel"/>
    <w:lvl w:ilvl="0">
      <w:lvlJc w:val="left"/>
      <w:lvlText w:val="*"/>
      <w:numFmt w:val="bullet"/>
      <w:start w:val="1"/>
    </w:lvl>
    <w:lvl w:ilvl="1">
      <w:lvlJc w:val="left"/>
      <w:lvlText w:val="%2"/>
      <w:numFmt w:val="decimal"/>
      <w:start w:val="104"/>
    </w:lvl>
  </w:abstractNum>
  <w:abstractNum w:abstractNumId="8">
    <w:nsid w:val="1190CDE7"/>
    <w:multiLevelType w:val="hybridMultilevel"/>
    <w:lvl w:ilvl="0">
      <w:lvlJc w:val="left"/>
      <w:lvlText w:val="**"/>
      <w:numFmt w:val="bullet"/>
      <w:start w:val="1"/>
    </w:lvl>
    <w:lvl w:ilvl="1">
      <w:lvlJc w:val="left"/>
      <w:lvlText w:val="%2"/>
      <w:numFmt w:val="decimal"/>
      <w:start w:val="1"/>
    </w:lvl>
  </w:abstractNum>
  <w:abstractNum w:abstractNumId="9">
    <w:nsid w:val="66EF438D"/>
    <w:multiLevelType w:val="hybridMultilevel"/>
    <w:lvl w:ilvl="0">
      <w:lvlJc w:val="left"/>
      <w:lvlText w:val="***"/>
      <w:numFmt w:val="bullet"/>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2">
    <w:nsid w:val="109CF92E"/>
    <w:multiLevelType w:val="hybridMultilevel"/>
    <w:lvl w:ilvl="0">
      <w:lvlJc w:val="left"/>
      <w:lvlText w:val="%1."/>
      <w:numFmt w:val="decimal"/>
      <w:start w:val="1"/>
    </w:lvl>
    <w:lvl w:ilvl="1">
      <w:lvlJc w:val="left"/>
      <w:lvlText w:val="(%2)"/>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51" Type="http://schemas.openxmlformats.org/officeDocument/2006/relationships/hyperlink" Target="https://www.sec.gov/Archives/edgar/data/354963/000117184324001118/exh_101.htm" TargetMode="External"/><Relationship Id="rId52" Type="http://schemas.openxmlformats.org/officeDocument/2006/relationships/hyperlink" Target="https://www.sec.gov/Archives/edgar/data/354963/000117184324001718/exh_22.htm" TargetMode="External"/><Relationship Id="rId53" Type="http://schemas.openxmlformats.org/officeDocument/2006/relationships/hyperlink" Target="https://www.sec.gov/Archives/edgar/data/354963/000117184324001743/exh_22.htm" TargetMode="External"/><Relationship Id="rId54" Type="http://schemas.openxmlformats.org/officeDocument/2006/relationships/hyperlink" Target="https://www.sec.gov/Archives/edgar/data/354963/000117184324001743/exh_102.htm" TargetMode="External"/><Relationship Id="rId55" Type="http://schemas.openxmlformats.org/officeDocument/2006/relationships/hyperlink" Target="https://www.sec.gov/Archives/edgar/data/354963/000117184324001743/exh_103.htm" TargetMode="External"/><Relationship Id="rId56" Type="http://schemas.openxmlformats.org/officeDocument/2006/relationships/hyperlink" Target="https://www.sec.gov/Archives/edgar/data/354963/000117184324001743/exh_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2024-08-07T07:10:46Z</dcterms:created>
  <dcterms:modified xsi:type="dcterms:W3CDTF">2024-08-07T07:10:46Z</dcterms:modified>
</cp:coreProperties>
</file>