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6"/>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145415</wp:posOffset>
            </wp:positionH>
            <wp:positionV relativeFrom="page">
              <wp:posOffset>108585</wp:posOffset>
            </wp:positionV>
            <wp:extent cx="7270750"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0" cy="34925"/>
                    </a:xfrm>
                    <a:prstGeom prst="rect">
                      <a:avLst/>
                    </a:prstGeom>
                    <a:noFill/>
                  </pic:spPr>
                </pic:pic>
              </a:graphicData>
            </a:graphic>
          </wp:anchor>
        </w:drawing>
        <w:t>UNITED STATES</w:t>
      </w:r>
    </w:p>
    <w:p>
      <w:pPr>
        <w:spacing w:after="0" w:line="24" w:lineRule="exact"/>
        <w:rPr>
          <w:sz w:val="24"/>
          <w:szCs w:val="24"/>
          <w:color w:val="auto"/>
        </w:rPr>
      </w:pPr>
    </w:p>
    <w:p>
      <w:pPr>
        <w:jc w:val="center"/>
        <w:ind w:right="-146"/>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46"/>
        <w:spacing w:after="0"/>
        <w:rPr>
          <w:sz w:val="20"/>
          <w:szCs w:val="20"/>
          <w:color w:val="auto"/>
        </w:rPr>
      </w:pPr>
      <w:r>
        <w:rPr>
          <w:rFonts w:ascii="Arial" w:cs="Arial" w:eastAsia="Arial" w:hAnsi="Arial"/>
          <w:sz w:val="19"/>
          <w:szCs w:val="19"/>
          <w:b w:val="1"/>
          <w:bCs w:val="1"/>
          <w:color w:val="auto"/>
        </w:rPr>
        <w:t>Washington, D.C. 20549</w:t>
      </w:r>
    </w:p>
    <w:p>
      <w:pPr>
        <w:spacing w:after="0" w:line="168" w:lineRule="exact"/>
        <w:rPr>
          <w:sz w:val="24"/>
          <w:szCs w:val="24"/>
          <w:color w:val="auto"/>
        </w:rPr>
      </w:pPr>
    </w:p>
    <w:p>
      <w:pPr>
        <w:jc w:val="center"/>
        <w:ind w:right="-146"/>
        <w:spacing w:after="0"/>
        <w:rPr>
          <w:sz w:val="20"/>
          <w:szCs w:val="20"/>
          <w:color w:val="auto"/>
        </w:rPr>
      </w:pPr>
      <w:r>
        <w:rPr>
          <w:rFonts w:ascii="Arial" w:cs="Arial" w:eastAsia="Arial" w:hAnsi="Arial"/>
          <w:sz w:val="28"/>
          <w:szCs w:val="28"/>
          <w:b w:val="1"/>
          <w:bCs w:val="1"/>
          <w:color w:val="auto"/>
        </w:rPr>
        <w:t>FORM 8-K</w:t>
      </w:r>
    </w:p>
    <w:p>
      <w:pPr>
        <w:spacing w:after="0" w:line="199" w:lineRule="exact"/>
        <w:rPr>
          <w:sz w:val="24"/>
          <w:szCs w:val="24"/>
          <w:color w:val="auto"/>
        </w:rPr>
      </w:pPr>
    </w:p>
    <w:p>
      <w:pPr>
        <w:jc w:val="center"/>
        <w:ind w:right="-146"/>
        <w:spacing w:after="0"/>
        <w:rPr>
          <w:sz w:val="20"/>
          <w:szCs w:val="20"/>
          <w:color w:val="auto"/>
        </w:rPr>
      </w:pPr>
      <w:r>
        <w:rPr>
          <w:rFonts w:ascii="Arial" w:cs="Arial" w:eastAsia="Arial" w:hAnsi="Arial"/>
          <w:sz w:val="16"/>
          <w:szCs w:val="16"/>
          <w:b w:val="1"/>
          <w:bCs w:val="1"/>
          <w:color w:val="auto"/>
        </w:rPr>
        <w:t>CURRENT REPORT</w:t>
      </w:r>
    </w:p>
    <w:p>
      <w:pPr>
        <w:spacing w:after="0" w:line="19" w:lineRule="exact"/>
        <w:rPr>
          <w:sz w:val="24"/>
          <w:szCs w:val="24"/>
          <w:color w:val="auto"/>
        </w:rPr>
      </w:pPr>
    </w:p>
    <w:p>
      <w:pPr>
        <w:jc w:val="center"/>
        <w:ind w:right="-146"/>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3" w:lineRule="exact"/>
        <w:rPr>
          <w:sz w:val="24"/>
          <w:szCs w:val="24"/>
          <w:color w:val="auto"/>
        </w:rPr>
      </w:pPr>
    </w:p>
    <w:p>
      <w:pPr>
        <w:jc w:val="center"/>
        <w:ind w:right="-146"/>
        <w:spacing w:after="0"/>
        <w:rPr>
          <w:sz w:val="20"/>
          <w:szCs w:val="20"/>
          <w:color w:val="auto"/>
        </w:rPr>
      </w:pPr>
      <w:r>
        <w:rPr>
          <w:rFonts w:ascii="Arial" w:cs="Arial" w:eastAsia="Arial" w:hAnsi="Arial"/>
          <w:sz w:val="16"/>
          <w:szCs w:val="16"/>
          <w:color w:val="auto"/>
        </w:rPr>
        <w:t>Date of Report (Date of earliest event reported): May 12, 2010</w:t>
      </w:r>
    </w:p>
    <w:p>
      <w:pPr>
        <w:spacing w:after="0" w:line="13" w:lineRule="exact"/>
        <w:rPr>
          <w:sz w:val="24"/>
          <w:szCs w:val="24"/>
          <w:color w:val="auto"/>
        </w:rPr>
      </w:pPr>
    </w:p>
    <w:p>
      <w:pPr>
        <w:ind w:left="4987"/>
        <w:spacing w:after="0"/>
        <w:rPr>
          <w:sz w:val="20"/>
          <w:szCs w:val="20"/>
          <w:color w:val="auto"/>
        </w:rPr>
      </w:pPr>
      <w:r>
        <w:rPr>
          <w:rFonts w:ascii="Arial" w:cs="Arial" w:eastAsia="Arial" w:hAnsi="Arial"/>
          <w:sz w:val="16"/>
          <w:szCs w:val="16"/>
          <w:b w:val="1"/>
          <w:bCs w:val="1"/>
          <w:color w:val="auto"/>
        </w:rPr>
        <w:t>___________________</w:t>
      </w:r>
    </w:p>
    <w:p>
      <w:pPr>
        <w:spacing w:after="0" w:line="187" w:lineRule="exact"/>
        <w:rPr>
          <w:sz w:val="24"/>
          <w:szCs w:val="24"/>
          <w:color w:val="auto"/>
        </w:rPr>
      </w:pPr>
    </w:p>
    <w:p>
      <w:pPr>
        <w:jc w:val="center"/>
        <w:ind w:right="-146"/>
        <w:spacing w:after="0"/>
        <w:rPr>
          <w:sz w:val="20"/>
          <w:szCs w:val="20"/>
          <w:color w:val="auto"/>
        </w:rPr>
      </w:pPr>
      <w:r>
        <w:rPr>
          <w:rFonts w:ascii="Arial" w:cs="Arial" w:eastAsia="Arial" w:hAnsi="Arial"/>
          <w:sz w:val="33"/>
          <w:szCs w:val="33"/>
          <w:color w:val="auto"/>
        </w:rPr>
        <w:t>Shenandoah Telecommunications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903605</wp:posOffset>
            </wp:positionH>
            <wp:positionV relativeFrom="paragraph">
              <wp:posOffset>109220</wp:posOffset>
            </wp:positionV>
            <wp:extent cx="54584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8460" cy="7620"/>
                    </a:xfrm>
                    <a:prstGeom prst="rect">
                      <a:avLst/>
                    </a:prstGeom>
                    <a:noFill/>
                  </pic:spPr>
                </pic:pic>
              </a:graphicData>
            </a:graphic>
          </wp:anchor>
        </w:drawing>
      </w:r>
    </w:p>
    <w:p>
      <w:pPr>
        <w:spacing w:after="0" w:line="240" w:lineRule="exact"/>
        <w:rPr>
          <w:sz w:val="24"/>
          <w:szCs w:val="24"/>
          <w:color w:val="auto"/>
        </w:rPr>
      </w:pPr>
    </w:p>
    <w:p>
      <w:pPr>
        <w:jc w:val="center"/>
        <w:ind w:right="-146"/>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9" w:lineRule="exact"/>
        <w:rPr>
          <w:sz w:val="24"/>
          <w:szCs w:val="24"/>
          <w:color w:val="auto"/>
        </w:rPr>
      </w:pPr>
    </w:p>
    <w:p>
      <w:pPr>
        <w:ind w:left="5027"/>
        <w:spacing w:after="0"/>
        <w:rPr>
          <w:sz w:val="20"/>
          <w:szCs w:val="20"/>
          <w:color w:val="auto"/>
        </w:rPr>
      </w:pPr>
      <w:r>
        <w:rPr>
          <w:rFonts w:ascii="Arial" w:cs="Arial" w:eastAsia="Arial" w:hAnsi="Arial"/>
          <w:sz w:val="16"/>
          <w:szCs w:val="16"/>
          <w:b w:val="1"/>
          <w:bCs w:val="1"/>
          <w:color w:val="auto"/>
        </w:rPr>
        <w:t>__________________</w:t>
      </w:r>
    </w:p>
    <w:p>
      <w:pPr>
        <w:sectPr>
          <w:pgSz w:w="11900" w:h="16838" w:orient="portrait"/>
          <w:cols w:equalWidth="0" w:num="1">
            <w:col w:w="11307"/>
          </w:cols>
          <w:pgMar w:left="233" w:top="283" w:right="359" w:bottom="1440" w:gutter="0" w:footer="0" w:header="0"/>
        </w:sectPr>
      </w:pPr>
    </w:p>
    <w:p>
      <w:pPr>
        <w:spacing w:after="0" w:line="197" w:lineRule="exact"/>
        <w:rPr>
          <w:sz w:val="24"/>
          <w:szCs w:val="24"/>
          <w:color w:val="auto"/>
        </w:rPr>
      </w:pPr>
    </w:p>
    <w:p>
      <w:pPr>
        <w:jc w:val="center"/>
        <w:ind w:right="373"/>
        <w:spacing w:after="0"/>
        <w:rPr>
          <w:sz w:val="20"/>
          <w:szCs w:val="20"/>
          <w:color w:val="auto"/>
        </w:rPr>
      </w:pPr>
      <w:r>
        <w:rPr>
          <w:rFonts w:ascii="Arial" w:cs="Arial" w:eastAsia="Arial" w:hAnsi="Arial"/>
          <w:sz w:val="16"/>
          <w:szCs w:val="16"/>
          <w:b w:val="1"/>
          <w:bCs w:val="1"/>
          <w:color w:val="auto"/>
        </w:rPr>
        <w:t>Virginia</w:t>
      </w:r>
    </w:p>
    <w:p>
      <w:pPr>
        <w:spacing w:after="0" w:line="19" w:lineRule="exact"/>
        <w:rPr>
          <w:sz w:val="24"/>
          <w:szCs w:val="24"/>
          <w:color w:val="auto"/>
        </w:rPr>
      </w:pPr>
    </w:p>
    <w:p>
      <w:pPr>
        <w:jc w:val="center"/>
        <w:ind w:right="373"/>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1180"/>
        <w:spacing w:after="0"/>
        <w:rPr>
          <w:sz w:val="20"/>
          <w:szCs w:val="20"/>
          <w:color w:val="auto"/>
        </w:rPr>
      </w:pPr>
      <w:r>
        <w:rPr>
          <w:rFonts w:ascii="Arial" w:cs="Arial" w:eastAsia="Arial" w:hAnsi="Arial"/>
          <w:sz w:val="16"/>
          <w:szCs w:val="16"/>
          <w:b w:val="1"/>
          <w:bCs w:val="1"/>
          <w:color w:val="auto"/>
        </w:rPr>
        <w:t>0-9881</w:t>
      </w:r>
    </w:p>
    <w:p>
      <w:pPr>
        <w:spacing w:after="0" w:line="19" w:lineRule="exact"/>
        <w:rPr>
          <w:sz w:val="24"/>
          <w:szCs w:val="24"/>
          <w:color w:val="auto"/>
        </w:rPr>
      </w:pPr>
    </w:p>
    <w:p>
      <w:pPr>
        <w:jc w:val="center"/>
        <w:ind w:right="118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54-1162807</w:t>
      </w:r>
    </w:p>
    <w:p>
      <w:pPr>
        <w:spacing w:after="0" w:line="19"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47" w:space="720"/>
            <w:col w:w="2900" w:space="720"/>
            <w:col w:w="2820"/>
          </w:cols>
          <w:pgMar w:left="233" w:top="283" w:right="359" w:bottom="1440" w:gutter="0" w:footer="0" w:header="0"/>
          <w:type w:val="continuous"/>
        </w:sectPr>
      </w:pPr>
    </w:p>
    <w:p>
      <w:pPr>
        <w:spacing w:after="0" w:line="230" w:lineRule="exact"/>
        <w:rPr>
          <w:sz w:val="24"/>
          <w:szCs w:val="24"/>
          <w:color w:val="auto"/>
        </w:rPr>
      </w:pPr>
    </w:p>
    <w:p>
      <w:pPr>
        <w:jc w:val="center"/>
        <w:ind w:right="1813"/>
        <w:spacing w:after="0"/>
        <w:rPr>
          <w:sz w:val="20"/>
          <w:szCs w:val="20"/>
          <w:color w:val="auto"/>
        </w:rPr>
      </w:pPr>
      <w:r>
        <w:rPr>
          <w:rFonts w:ascii="Arial" w:cs="Arial" w:eastAsia="Arial" w:hAnsi="Arial"/>
          <w:sz w:val="16"/>
          <w:szCs w:val="16"/>
          <w:b w:val="1"/>
          <w:bCs w:val="1"/>
          <w:color w:val="auto"/>
        </w:rPr>
        <w:t>500 Shentel Way</w:t>
      </w:r>
    </w:p>
    <w:p>
      <w:pPr>
        <w:spacing w:after="0" w:line="19" w:lineRule="exact"/>
        <w:rPr>
          <w:sz w:val="24"/>
          <w:szCs w:val="24"/>
          <w:color w:val="auto"/>
        </w:rPr>
      </w:pPr>
    </w:p>
    <w:p>
      <w:pPr>
        <w:jc w:val="center"/>
        <w:ind w:right="1813"/>
        <w:spacing w:after="0"/>
        <w:rPr>
          <w:sz w:val="20"/>
          <w:szCs w:val="20"/>
          <w:color w:val="auto"/>
        </w:rPr>
      </w:pPr>
      <w:r>
        <w:rPr>
          <w:rFonts w:ascii="Arial" w:cs="Arial" w:eastAsia="Arial" w:hAnsi="Arial"/>
          <w:sz w:val="16"/>
          <w:szCs w:val="16"/>
          <w:b w:val="1"/>
          <w:bCs w:val="1"/>
          <w:color w:val="auto"/>
        </w:rPr>
        <w:t>P.O. Box 459</w:t>
      </w:r>
    </w:p>
    <w:p>
      <w:pPr>
        <w:spacing w:after="0" w:line="3" w:lineRule="exact"/>
        <w:rPr>
          <w:sz w:val="24"/>
          <w:szCs w:val="24"/>
          <w:color w:val="auto"/>
        </w:rPr>
      </w:pPr>
    </w:p>
    <w:p>
      <w:pPr>
        <w:jc w:val="center"/>
        <w:ind w:right="1813"/>
        <w:spacing w:after="0"/>
        <w:rPr>
          <w:sz w:val="20"/>
          <w:szCs w:val="20"/>
          <w:color w:val="auto"/>
        </w:rPr>
      </w:pPr>
      <w:r>
        <w:rPr>
          <w:rFonts w:ascii="Arial" w:cs="Arial" w:eastAsia="Arial" w:hAnsi="Arial"/>
          <w:sz w:val="16"/>
          <w:szCs w:val="16"/>
          <w:b w:val="1"/>
          <w:bCs w:val="1"/>
          <w:color w:val="auto"/>
        </w:rPr>
        <w:t>Edinburg, VA</w:t>
      </w:r>
    </w:p>
    <w:p>
      <w:pPr>
        <w:spacing w:after="0" w:line="3" w:lineRule="exact"/>
        <w:rPr>
          <w:sz w:val="24"/>
          <w:szCs w:val="24"/>
          <w:color w:val="auto"/>
        </w:rPr>
      </w:pPr>
    </w:p>
    <w:p>
      <w:pPr>
        <w:jc w:val="center"/>
        <w:ind w:right="1813"/>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22824</w:t>
      </w:r>
    </w:p>
    <w:p>
      <w:pPr>
        <w:spacing w:after="0" w:line="19" w:lineRule="exact"/>
        <w:rPr>
          <w:sz w:val="24"/>
          <w:szCs w:val="24"/>
          <w:color w:val="auto"/>
        </w:rPr>
      </w:pPr>
    </w:p>
    <w:p>
      <w:pPr>
        <w:jc w:val="center"/>
        <w:ind w:right="238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527" w:space="720"/>
            <w:col w:w="3060"/>
          </w:cols>
          <w:pgMar w:left="233" w:top="283" w:right="359" w:bottom="1440" w:gutter="0" w:footer="0" w:header="0"/>
          <w:type w:val="continuous"/>
        </w:sectPr>
      </w:pPr>
    </w:p>
    <w:p>
      <w:pPr>
        <w:spacing w:after="0" w:line="20" w:lineRule="exact"/>
        <w:rPr>
          <w:sz w:val="24"/>
          <w:szCs w:val="24"/>
          <w:color w:val="auto"/>
        </w:rPr>
      </w:pPr>
    </w:p>
    <w:p>
      <w:pPr>
        <w:ind w:left="7"/>
        <w:spacing w:after="0"/>
        <w:rPr>
          <w:sz w:val="20"/>
          <w:szCs w:val="20"/>
          <w:color w:val="auto"/>
        </w:rPr>
      </w:pPr>
      <w:r>
        <w:rPr>
          <w:rFonts w:ascii="Arial" w:cs="Arial" w:eastAsia="Arial" w:hAnsi="Arial"/>
          <w:sz w:val="14"/>
          <w:szCs w:val="14"/>
          <w:b w:val="1"/>
          <w:bCs w:val="1"/>
          <w:color w:val="auto"/>
        </w:rPr>
        <w:t>Registrant’s telephone number, including area code: (540) 984-4141</w:t>
      </w:r>
    </w:p>
    <w:p>
      <w:pPr>
        <w:sectPr>
          <w:pgSz w:w="11900" w:h="16838" w:orient="portrait"/>
          <w:cols w:equalWidth="0" w:num="1">
            <w:col w:w="11307"/>
          </w:cols>
          <w:pgMar w:left="233" w:top="283" w:right="359" w:bottom="1440" w:gutter="0" w:footer="0" w:header="0"/>
          <w:type w:val="continuous"/>
        </w:sectPr>
      </w:pPr>
    </w:p>
    <w:p>
      <w:pPr>
        <w:spacing w:after="0" w:line="200" w:lineRule="exact"/>
        <w:rPr>
          <w:sz w:val="24"/>
          <w:szCs w:val="24"/>
          <w:color w:val="auto"/>
        </w:rPr>
      </w:pPr>
    </w:p>
    <w:p>
      <w:pPr>
        <w:spacing w:after="0" w:line="245" w:lineRule="exact"/>
        <w:rPr>
          <w:sz w:val="24"/>
          <w:szCs w:val="24"/>
          <w:color w:val="auto"/>
        </w:rPr>
      </w:pPr>
    </w:p>
    <w:p>
      <w:pPr>
        <w:jc w:val="center"/>
        <w:ind w:right="-146"/>
        <w:spacing w:after="0"/>
        <w:rPr>
          <w:sz w:val="20"/>
          <w:szCs w:val="20"/>
          <w:color w:val="auto"/>
        </w:rPr>
      </w:pPr>
      <w:r>
        <w:rPr>
          <w:rFonts w:ascii="Arial" w:cs="Arial" w:eastAsia="Arial" w:hAnsi="Arial"/>
          <w:sz w:val="16"/>
          <w:szCs w:val="16"/>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2717800</wp:posOffset>
            </wp:positionH>
            <wp:positionV relativeFrom="paragraph">
              <wp:posOffset>71120</wp:posOffset>
            </wp:positionV>
            <wp:extent cx="1829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9435" cy="7620"/>
                    </a:xfrm>
                    <a:prstGeom prst="rect">
                      <a:avLst/>
                    </a:prstGeom>
                    <a:noFill/>
                  </pic:spPr>
                </pic:pic>
              </a:graphicData>
            </a:graphic>
          </wp:anchor>
        </w:drawing>
      </w:r>
    </w:p>
    <w:p>
      <w:pPr>
        <w:spacing w:after="0" w:line="181" w:lineRule="exact"/>
        <w:rPr>
          <w:sz w:val="24"/>
          <w:szCs w:val="24"/>
          <w:color w:val="auto"/>
        </w:rPr>
      </w:pPr>
    </w:p>
    <w:p>
      <w:pPr>
        <w:jc w:val="center"/>
        <w:ind w:right="-146"/>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19" w:lineRule="exact"/>
        <w:rPr>
          <w:sz w:val="24"/>
          <w:szCs w:val="24"/>
          <w:color w:val="auto"/>
        </w:rPr>
      </w:pPr>
    </w:p>
    <w:p>
      <w:pPr>
        <w:ind w:left="7" w:firstLine="39"/>
        <w:spacing w:after="0" w:line="259"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287" w:hanging="287"/>
        <w:spacing w:after="0"/>
        <w:tabs>
          <w:tab w:leader="none" w:pos="287"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89" w:lineRule="exact"/>
        <w:rPr>
          <w:rFonts w:ascii="Arial" w:cs="Arial" w:eastAsia="Arial" w:hAnsi="Arial"/>
          <w:sz w:val="16"/>
          <w:szCs w:val="16"/>
          <w:color w:val="auto"/>
        </w:rPr>
      </w:pPr>
    </w:p>
    <w:p>
      <w:pPr>
        <w:ind w:left="287" w:hanging="287"/>
        <w:spacing w:after="0"/>
        <w:tabs>
          <w:tab w:leader="none" w:pos="287"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89" w:lineRule="exact"/>
        <w:rPr>
          <w:rFonts w:ascii="Arial" w:cs="Arial" w:eastAsia="Arial" w:hAnsi="Arial"/>
          <w:sz w:val="16"/>
          <w:szCs w:val="16"/>
          <w:color w:val="auto"/>
        </w:rPr>
      </w:pPr>
    </w:p>
    <w:p>
      <w:pPr>
        <w:ind w:left="287" w:hanging="287"/>
        <w:spacing w:after="0"/>
        <w:tabs>
          <w:tab w:leader="none" w:pos="287"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89" w:lineRule="exact"/>
        <w:rPr>
          <w:rFonts w:ascii="Arial" w:cs="Arial" w:eastAsia="Arial" w:hAnsi="Arial"/>
          <w:sz w:val="16"/>
          <w:szCs w:val="16"/>
          <w:color w:val="auto"/>
        </w:rPr>
      </w:pPr>
    </w:p>
    <w:p>
      <w:pPr>
        <w:ind w:left="287" w:hanging="287"/>
        <w:spacing w:after="0"/>
        <w:tabs>
          <w:tab w:leader="none" w:pos="287"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0750"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0750" cy="393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727075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307"/>
          </w:cols>
          <w:pgMar w:left="233" w:top="28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8.01 Other Events.</w:t>
      </w:r>
    </w:p>
    <w:p>
      <w:pPr>
        <w:spacing w:after="0" w:line="217" w:lineRule="exact"/>
        <w:rPr>
          <w:sz w:val="20"/>
          <w:szCs w:val="20"/>
          <w:color w:val="auto"/>
        </w:rPr>
      </w:pPr>
    </w:p>
    <w:p>
      <w:pPr>
        <w:ind w:right="320"/>
        <w:spacing w:after="0" w:line="224" w:lineRule="auto"/>
        <w:rPr>
          <w:sz w:val="20"/>
          <w:szCs w:val="20"/>
          <w:color w:val="auto"/>
        </w:rPr>
      </w:pPr>
      <w:r>
        <w:rPr>
          <w:rFonts w:ascii="Arial" w:cs="Arial" w:eastAsia="Arial" w:hAnsi="Arial"/>
          <w:sz w:val="16"/>
          <w:szCs w:val="16"/>
          <w:color w:val="auto"/>
        </w:rPr>
        <w:t>On May 12, 2010, Shenandoah Telecommunications Company presented at the Jefferies 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Annual Global Internet, Media &amp; Telecom Conference in New York, New York. The presentation included materials related to the Company’s results of operations through March 31, 2010. The materials attached hereto as Exhibit 99.1 were utilized during the presentation. These materials are also available on the Company’s website.</w:t>
      </w:r>
    </w:p>
    <w:p>
      <w:pPr>
        <w:spacing w:after="0" w:line="202"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These materials may contain forward-looking statements about Shenandoah Telecommunications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or similar words, or by discussions of strategy or risks and uncertainties. Shenandoah Telecommunications undertakes no obligation to revise or update such statements to reflect current events or circumstances after the date hereof, or to reflect the occurrence of unanticipated events.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  Exhibits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furnished with this Current Report on Form 8-K.</w:t>
      </w:r>
    </w:p>
    <w:p>
      <w:pPr>
        <w:spacing w:after="0" w:line="207"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6"/>
          <w:szCs w:val="16"/>
          <w:b w:val="1"/>
          <w:bCs w:val="1"/>
          <w:u w:val="single" w:color="auto"/>
          <w:color w:val="0000EE"/>
        </w:rPr>
        <w:t>99.1</w:t>
      </w:r>
      <w:r>
        <w:rPr>
          <w:sz w:val="20"/>
          <w:szCs w:val="20"/>
          <w:color w:val="auto"/>
        </w:rPr>
        <w:tab/>
      </w:r>
      <w:r>
        <w:rPr>
          <w:rFonts w:ascii="Arial" w:cs="Arial" w:eastAsia="Arial" w:hAnsi="Arial"/>
          <w:sz w:val="14"/>
          <w:szCs w:val="14"/>
          <w:b w:val="1"/>
          <w:bCs w:val="1"/>
          <w:color w:val="auto"/>
        </w:rPr>
        <w:t>Jefferies 6</w:t>
      </w:r>
      <w:r>
        <w:rPr>
          <w:rFonts w:ascii="Arial" w:cs="Arial" w:eastAsia="Arial" w:hAnsi="Arial"/>
          <w:sz w:val="18"/>
          <w:szCs w:val="18"/>
          <w:b w:val="1"/>
          <w:bCs w:val="1"/>
          <w:color w:val="auto"/>
          <w:vertAlign w:val="superscript"/>
        </w:rPr>
        <w:t>th</w:t>
      </w:r>
      <w:r>
        <w:rPr>
          <w:rFonts w:ascii="Arial" w:cs="Arial" w:eastAsia="Arial" w:hAnsi="Arial"/>
          <w:sz w:val="14"/>
          <w:szCs w:val="14"/>
          <w:b w:val="1"/>
          <w:bCs w:val="1"/>
          <w:color w:val="auto"/>
        </w:rPr>
        <w:t xml:space="preserve"> Annual Global Internet, Media &amp; Telecom Conference Presentation Slides</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SHENANDOAH TELECOMMUNICATIONS COMPANY</w:t>
      </w:r>
    </w:p>
    <w:p>
      <w:pPr>
        <w:spacing w:after="0" w:line="1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213" w:lineRule="exact"/>
        <w:rPr>
          <w:sz w:val="20"/>
          <w:szCs w:val="20"/>
          <w:color w:val="auto"/>
        </w:rPr>
      </w:pPr>
    </w:p>
    <w:p>
      <w:pPr>
        <w:spacing w:after="0"/>
        <w:tabs>
          <w:tab w:leader="none" w:pos="3980" w:val="left"/>
        </w:tabs>
        <w:rPr>
          <w:sz w:val="20"/>
          <w:szCs w:val="20"/>
          <w:color w:val="auto"/>
        </w:rPr>
      </w:pPr>
      <w:r>
        <w:rPr>
          <w:rFonts w:ascii="Arial" w:cs="Arial" w:eastAsia="Arial" w:hAnsi="Arial"/>
          <w:sz w:val="16"/>
          <w:szCs w:val="16"/>
          <w:color w:val="auto"/>
        </w:rPr>
        <w:t>May 12, 2010</w:t>
      </w:r>
      <w:r>
        <w:rPr>
          <w:sz w:val="20"/>
          <w:szCs w:val="20"/>
          <w:color w:val="auto"/>
        </w:rPr>
        <w:tab/>
      </w:r>
      <w:r>
        <w:rPr>
          <w:rFonts w:ascii="Arial" w:cs="Arial" w:eastAsia="Arial" w:hAnsi="Arial"/>
          <w:sz w:val="14"/>
          <w:szCs w:val="14"/>
          <w:color w:val="auto"/>
        </w:rPr>
        <w:t>Adele M. Skolits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8255</wp:posOffset>
            </wp:positionV>
            <wp:extent cx="1599565"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9565" cy="14605"/>
                    </a:xfrm>
                    <a:prstGeom prst="rect">
                      <a:avLst/>
                    </a:prstGeom>
                    <a:noFill/>
                  </pic:spPr>
                </pic:pic>
              </a:graphicData>
            </a:graphic>
          </wp:anchor>
        </w:drawing>
      </w:r>
    </w:p>
    <w:p>
      <w:pPr>
        <w:spacing w:after="0" w:line="6"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Adele M. Skolits</w:t>
      </w:r>
    </w:p>
    <w:p>
      <w:pPr>
        <w:spacing w:after="0" w:line="13"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Vice President - Finance and</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Chief Financial Officer</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60325</wp:posOffset>
            </wp:positionV>
            <wp:extent cx="728535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5355" cy="20320"/>
                    </a:xfrm>
                    <a:prstGeom prst="rect">
                      <a:avLst/>
                    </a:prstGeom>
                    <a:noFill/>
                  </pic:spPr>
                </pic:pic>
              </a:graphicData>
            </a:graphic>
          </wp:anchor>
        </w:drawing>
      </w:r>
    </w:p>
    <w:p>
      <w:pPr>
        <w:sectPr>
          <w:pgSz w:w="11900" w:h="16838" w:orient="portrait"/>
          <w:cols w:equalWidth="0" w:num="1">
            <w:col w:w="11340"/>
          </w:cols>
          <w:pgMar w:left="240" w:top="461" w:right="319" w:bottom="1440" w:gutter="0" w:footer="0" w:header="0"/>
        </w:sectPr>
      </w:pPr>
    </w:p>
    <w:bookmarkStart w:id="2" w:name="page3"/>
    <w:bookmarkEnd w:id="2"/>
    <w:p>
      <w:pPr>
        <w:ind w:left="8060"/>
        <w:spacing w:after="0"/>
        <w:rPr>
          <w:sz w:val="20"/>
          <w:szCs w:val="20"/>
          <w:color w:val="auto"/>
        </w:rPr>
      </w:pPr>
      <w:r>
        <w:rPr>
          <w:rFonts w:ascii="Arial" w:cs="Arial" w:eastAsia="Arial" w:hAnsi="Arial"/>
          <w:sz w:val="33"/>
          <w:szCs w:val="33"/>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5420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5355" cy="5420995"/>
                    </a:xfrm>
                    <a:prstGeom prst="rect">
                      <a:avLst/>
                    </a:prstGeom>
                    <a:noFill/>
                  </pic:spPr>
                </pic:pic>
              </a:graphicData>
            </a:graphic>
          </wp:anchor>
        </w:drawing>
        <w:t>Exhibit 99.1</w:t>
      </w:r>
    </w:p>
    <w:p>
      <w:pPr>
        <w:spacing w:after="0" w:line="38" w:lineRule="exact"/>
        <w:rPr>
          <w:sz w:val="20"/>
          <w:szCs w:val="20"/>
          <w:color w:val="auto"/>
        </w:rPr>
      </w:pPr>
    </w:p>
    <w:p>
      <w:pPr>
        <w:spacing w:after="0"/>
        <w:rPr>
          <w:sz w:val="20"/>
          <w:szCs w:val="20"/>
          <w:color w:val="auto"/>
        </w:rPr>
      </w:pPr>
      <w:r>
        <w:rPr>
          <w:rFonts w:ascii="Arial" w:cs="Arial" w:eastAsia="Arial" w:hAnsi="Arial"/>
          <w:sz w:val="62"/>
          <w:szCs w:val="62"/>
          <w:b w:val="1"/>
          <w:bCs w:val="1"/>
          <w:color w:val="840039"/>
        </w:rPr>
        <w:t>Jefferies</w:t>
      </w:r>
    </w:p>
    <w:p>
      <w:pPr>
        <w:spacing w:after="0" w:line="62" w:lineRule="exact"/>
        <w:rPr>
          <w:sz w:val="20"/>
          <w:szCs w:val="20"/>
          <w:color w:val="auto"/>
        </w:rPr>
      </w:pPr>
    </w:p>
    <w:p>
      <w:pPr>
        <w:spacing w:after="0"/>
        <w:rPr>
          <w:sz w:val="20"/>
          <w:szCs w:val="20"/>
          <w:color w:val="auto"/>
        </w:rPr>
      </w:pPr>
      <w:r>
        <w:rPr>
          <w:rFonts w:ascii="Arial" w:cs="Arial" w:eastAsia="Arial" w:hAnsi="Arial"/>
          <w:sz w:val="42"/>
          <w:szCs w:val="42"/>
          <w:b w:val="1"/>
          <w:bCs w:val="1"/>
          <w:color w:val="auto"/>
        </w:rPr>
        <w:t>Global Internet, Media, &amp; Telecom Conference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42"/>
          <w:szCs w:val="42"/>
          <w:b w:val="1"/>
          <w:bCs w:val="1"/>
          <w:color w:val="auto"/>
        </w:rPr>
        <w:t>May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751205</wp:posOffset>
            </wp:positionV>
            <wp:extent cx="727075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160"/>
          </w:cols>
          <w:pgMar w:left="920" w:top="672" w:right="819" w:bottom="1440" w:gutter="0" w:footer="0" w:header="0"/>
        </w:sectPr>
      </w:pPr>
    </w:p>
    <w:bookmarkStart w:id="3" w:name="page4"/>
    <w:bookmarkEnd w:id="3"/>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Safe Harbor Statement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80" w:right="1020"/>
        <w:spacing w:after="0" w:line="224" w:lineRule="auto"/>
        <w:rPr>
          <w:sz w:val="20"/>
          <w:szCs w:val="20"/>
          <w:color w:val="auto"/>
        </w:rPr>
      </w:pPr>
      <w:r>
        <w:rPr>
          <w:rFonts w:ascii="Arial" w:cs="Arial" w:eastAsia="Arial" w:hAnsi="Arial"/>
          <w:sz w:val="22"/>
          <w:szCs w:val="22"/>
          <w:color w:val="auto"/>
        </w:rPr>
        <w:t>This presentation includes “forward-looking statements” within the meaning of Section 27A of the Securities Act and Section 21E of the Securities Exchange Act of 1934, as amended,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similar words, or by discussions of strategy or risks and uncertainties. These statements are based on current expectations of future events. If underlying assumptions prove inaccurate or unknown risks or uncertainties materialize, actual results could vary materially from the Company’s expectations and projections. Important factors that could cause actual results to differ materially from such forward-looking statements include, without limitation, risks related to the following:</w:t>
      </w:r>
    </w:p>
    <w:p>
      <w:pPr>
        <w:spacing w:after="0" w:line="144" w:lineRule="exact"/>
        <w:rPr>
          <w:sz w:val="20"/>
          <w:szCs w:val="20"/>
          <w:color w:val="auto"/>
        </w:rPr>
      </w:pPr>
    </w:p>
    <w:p>
      <w:pPr>
        <w:ind w:left="280" w:right="4580"/>
        <w:spacing w:after="0" w:line="416" w:lineRule="auto"/>
        <w:rPr>
          <w:sz w:val="20"/>
          <w:szCs w:val="20"/>
          <w:color w:val="auto"/>
        </w:rPr>
      </w:pPr>
      <w:r>
        <w:rPr>
          <w:rFonts w:ascii="Arial" w:cs="Arial" w:eastAsia="Arial" w:hAnsi="Arial"/>
          <w:sz w:val="21"/>
          <w:szCs w:val="21"/>
          <w:color w:val="840039"/>
        </w:rPr>
        <w:t>n</w:t>
      </w:r>
      <w:r>
        <w:rPr>
          <w:rFonts w:ascii="Arial" w:cs="Arial" w:eastAsia="Arial" w:hAnsi="Arial"/>
          <w:sz w:val="21"/>
          <w:szCs w:val="21"/>
          <w:color w:val="000000"/>
        </w:rPr>
        <w:t>Increasing competition in the communications industry; and</w:t>
      </w:r>
      <w:r>
        <w:rPr>
          <w:rFonts w:ascii="Arial" w:cs="Arial" w:eastAsia="Arial" w:hAnsi="Arial"/>
          <w:sz w:val="21"/>
          <w:szCs w:val="21"/>
          <w:color w:val="840039"/>
        </w:rPr>
        <w:t xml:space="preserve"> n</w:t>
      </w:r>
      <w:r>
        <w:rPr>
          <w:rFonts w:ascii="Arial" w:cs="Arial" w:eastAsia="Arial" w:hAnsi="Arial"/>
          <w:sz w:val="21"/>
          <w:szCs w:val="21"/>
          <w:color w:val="000000"/>
        </w:rPr>
        <w:t>A complex and uncertain regulatory environment.</w:t>
      </w:r>
    </w:p>
    <w:p>
      <w:pPr>
        <w:spacing w:after="0" w:line="96" w:lineRule="exact"/>
        <w:rPr>
          <w:sz w:val="20"/>
          <w:szCs w:val="20"/>
          <w:color w:val="auto"/>
        </w:rPr>
      </w:pPr>
    </w:p>
    <w:p>
      <w:pPr>
        <w:ind w:left="280" w:right="1060"/>
        <w:spacing w:after="0" w:line="255" w:lineRule="auto"/>
        <w:rPr>
          <w:sz w:val="20"/>
          <w:szCs w:val="20"/>
          <w:color w:val="auto"/>
        </w:rPr>
      </w:pPr>
      <w:r>
        <w:rPr>
          <w:rFonts w:ascii="Arial" w:cs="Arial" w:eastAsia="Arial" w:hAnsi="Arial"/>
          <w:sz w:val="20"/>
          <w:szCs w:val="20"/>
          <w:color w:val="auto"/>
        </w:rPr>
        <w:t>A further list and description of these risks, uncertainties and other factors can be found in the Company’s Annual Report on Form 10-K for the fiscal year ended December 31, 2009. Copies of this Form 10-K, as well as subsequent filings, are available online at www.sec.gov, www.shentel.com or on request from the Company. The Company does not undertake to update any forward-looking statements as a result of new information or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00"/>
          </w:cols>
          <w:pgMar w:left="800" w:top="968" w:right="899" w:bottom="1440" w:gutter="0" w:footer="0" w:header="0"/>
        </w:sectPr>
      </w:pPr>
    </w:p>
    <w:bookmarkStart w:id="4" w:name="page5"/>
    <w:bookmarkEnd w:id="4"/>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80" w:right="1000"/>
        <w:spacing w:after="0" w:line="235" w:lineRule="auto"/>
        <w:rPr>
          <w:sz w:val="20"/>
          <w:szCs w:val="20"/>
          <w:color w:val="auto"/>
        </w:rPr>
      </w:pPr>
      <w:r>
        <w:rPr>
          <w:rFonts w:ascii="Arial" w:cs="Arial" w:eastAsia="Arial" w:hAnsi="Arial"/>
          <w:sz w:val="21"/>
          <w:szCs w:val="21"/>
          <w:color w:val="auto"/>
        </w:rPr>
        <w:t>Included in this presentation are certain non-GAAP financial measures that are not determined in accordance with US generally accepted accounting principles. These financial performance measures are not indicative of cash provided or used by operating activities and exclude the effectors of certain operating, capital and financing costs and may differ from comparable information provided by other companies, and they should not be considered in isolation, as an alternative to, or more meaningful than measures of financial performance determined in accordance with US generally accepted accounting principles. These financial performance measures are commonly used in the industry and are presented because Shentel believes they provide relevant and useful information to investors. Shentel utilizes these financial performance measures to assess its ability to meet future capital expenditure and working capital requirements, to incur indebtedness if necessary, return investment to shareholders and to fund continued growth. Shentel also uses these financial performance measures to evaluate the performance of its business and for budget planning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00"/>
          </w:cols>
          <w:pgMar w:left="800" w:top="968" w:right="899" w:bottom="1440" w:gutter="0" w:footer="0" w:header="0"/>
        </w:sectPr>
      </w:pPr>
    </w:p>
    <w:bookmarkStart w:id="5" w:name="page6"/>
    <w:bookmarkEnd w:id="5"/>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34"/>
          <w:szCs w:val="34"/>
          <w:color w:val="840039"/>
        </w:rPr>
        <w:t>Introduction and Shentel Overview - Earle MacKenzie - EVP/COO</w:t>
      </w:r>
    </w:p>
    <w:p>
      <w:pPr>
        <w:spacing w:after="0" w:line="200" w:lineRule="exact"/>
        <w:rPr>
          <w:sz w:val="20"/>
          <w:szCs w:val="20"/>
          <w:color w:val="auto"/>
        </w:rPr>
      </w:pPr>
    </w:p>
    <w:p>
      <w:pPr>
        <w:spacing w:after="0" w:line="225" w:lineRule="exact"/>
        <w:rPr>
          <w:sz w:val="20"/>
          <w:szCs w:val="20"/>
          <w:color w:val="auto"/>
        </w:rPr>
      </w:pPr>
    </w:p>
    <w:p>
      <w:pPr>
        <w:ind w:left="240"/>
        <w:spacing w:after="0"/>
        <w:rPr>
          <w:sz w:val="20"/>
          <w:szCs w:val="20"/>
          <w:color w:val="auto"/>
        </w:rPr>
      </w:pPr>
      <w:r>
        <w:rPr>
          <w:rFonts w:ascii="Arial" w:cs="Arial" w:eastAsia="Arial" w:hAnsi="Arial"/>
          <w:sz w:val="34"/>
          <w:szCs w:val="34"/>
          <w:color w:val="auto"/>
        </w:rPr>
        <w:t>Overview of Wireless</w:t>
      </w: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34"/>
          <w:szCs w:val="34"/>
          <w:color w:val="auto"/>
        </w:rPr>
        <w:t>Overview of Cable</w:t>
      </w:r>
    </w:p>
    <w:p>
      <w:pPr>
        <w:spacing w:after="0" w:line="200" w:lineRule="exact"/>
        <w:rPr>
          <w:sz w:val="20"/>
          <w:szCs w:val="20"/>
          <w:color w:val="auto"/>
        </w:rPr>
      </w:pPr>
    </w:p>
    <w:p>
      <w:pPr>
        <w:spacing w:after="0" w:line="225" w:lineRule="exact"/>
        <w:rPr>
          <w:sz w:val="20"/>
          <w:szCs w:val="20"/>
          <w:color w:val="auto"/>
        </w:rPr>
      </w:pPr>
    </w:p>
    <w:p>
      <w:pPr>
        <w:ind w:left="240"/>
        <w:spacing w:after="0"/>
        <w:rPr>
          <w:sz w:val="20"/>
          <w:szCs w:val="20"/>
          <w:color w:val="auto"/>
        </w:rPr>
      </w:pPr>
      <w:r>
        <w:rPr>
          <w:rFonts w:ascii="Arial" w:cs="Arial" w:eastAsia="Arial" w:hAnsi="Arial"/>
          <w:sz w:val="34"/>
          <w:szCs w:val="34"/>
          <w:color w:val="auto"/>
        </w:rPr>
        <w:t>Overview of Wireline</w:t>
      </w: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34"/>
          <w:szCs w:val="34"/>
          <w:color w:val="auto"/>
        </w:rPr>
        <w:t>Financials - Adele Skolits -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00"/>
          </w:cols>
          <w:pgMar w:left="800" w:top="968" w:right="899" w:bottom="1440" w:gutter="0" w:footer="0" w:header="0"/>
        </w:sectPr>
      </w:pPr>
    </w:p>
    <w:bookmarkStart w:id="6" w:name="page7"/>
    <w:bookmarkEnd w:id="6"/>
    <w:p>
      <w:pPr>
        <w:spacing w:after="0"/>
        <w:rPr>
          <w:sz w:val="20"/>
          <w:szCs w:val="20"/>
          <w:color w:val="auto"/>
        </w:rPr>
      </w:pPr>
      <w:r>
        <w:rPr>
          <w:rFonts w:ascii="Arial" w:cs="Arial" w:eastAsia="Arial" w:hAnsi="Arial"/>
          <w:sz w:val="48"/>
          <w:szCs w:val="48"/>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Shenandoah Telecommunications Company</w:t>
      </w:r>
    </w:p>
    <w:p>
      <w:pPr>
        <w:spacing w:after="0" w:line="200" w:lineRule="exact"/>
        <w:rPr>
          <w:sz w:val="20"/>
          <w:szCs w:val="20"/>
          <w:color w:val="auto"/>
        </w:rPr>
      </w:pP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97"/>
        </w:trPr>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jc w:val="center"/>
              <w:ind w:left="142"/>
              <w:spacing w:after="0"/>
              <w:rPr>
                <w:sz w:val="20"/>
                <w:szCs w:val="20"/>
                <w:color w:val="auto"/>
              </w:rPr>
            </w:pPr>
            <w:r>
              <w:rPr>
                <w:rFonts w:ascii="Arial" w:cs="Arial" w:eastAsia="Arial" w:hAnsi="Arial"/>
                <w:sz w:val="16"/>
                <w:szCs w:val="16"/>
                <w:color w:val="FFFFFF"/>
                <w:w w:val="89"/>
              </w:rPr>
              <w:t>Wireless Entities</w:t>
            </w:r>
          </w:p>
        </w:tc>
        <w:tc>
          <w:tcPr>
            <w:tcW w:w="0" w:type="dxa"/>
            <w:vAlign w:val="bottom"/>
          </w:tcPr>
          <w:p>
            <w:pPr>
              <w:spacing w:after="0"/>
              <w:rPr>
                <w:sz w:val="1"/>
                <w:szCs w:val="1"/>
                <w:color w:val="auto"/>
              </w:rPr>
            </w:pPr>
          </w:p>
        </w:tc>
      </w:tr>
      <w:tr>
        <w:trPr>
          <w:trHeight w:val="397"/>
        </w:trPr>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tcPr>
          <w:p>
            <w:pPr>
              <w:jc w:val="center"/>
              <w:ind w:left="122"/>
              <w:spacing w:after="0"/>
              <w:rPr>
                <w:sz w:val="20"/>
                <w:szCs w:val="20"/>
                <w:color w:val="auto"/>
              </w:rPr>
            </w:pPr>
            <w:r>
              <w:rPr>
                <w:rFonts w:ascii="Arial" w:cs="Arial" w:eastAsia="Arial" w:hAnsi="Arial"/>
                <w:sz w:val="16"/>
                <w:szCs w:val="16"/>
                <w:color w:val="FFFFFF"/>
                <w:w w:val="89"/>
              </w:rPr>
              <w:t>Cable Entities</w:t>
            </w:r>
          </w:p>
        </w:tc>
        <w:tc>
          <w:tcPr>
            <w:tcW w:w="0" w:type="dxa"/>
            <w:vAlign w:val="bottom"/>
          </w:tcPr>
          <w:p>
            <w:pPr>
              <w:spacing w:after="0"/>
              <w:rPr>
                <w:sz w:val="1"/>
                <w:szCs w:val="1"/>
                <w:color w:val="auto"/>
              </w:rPr>
            </w:pPr>
          </w:p>
        </w:tc>
      </w:tr>
      <w:tr>
        <w:trPr>
          <w:trHeight w:val="235"/>
        </w:trPr>
        <w:tc>
          <w:tcPr>
            <w:tcW w:w="1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FFFFFF"/>
                <w:w w:val="83"/>
              </w:rPr>
              <w:t>Shenandoah</w:t>
            </w:r>
          </w:p>
        </w:tc>
        <w:tc>
          <w:tcPr>
            <w:tcW w:w="1720" w:type="dxa"/>
            <w:vAlign w:val="bottom"/>
          </w:tcPr>
          <w:p>
            <w:pPr>
              <w:spacing w:after="0"/>
              <w:rPr>
                <w:sz w:val="20"/>
                <w:szCs w:val="20"/>
                <w:color w:val="auto"/>
              </w:rPr>
            </w:pPr>
          </w:p>
        </w:tc>
        <w:tc>
          <w:tcPr>
            <w:tcW w:w="1560" w:type="dxa"/>
            <w:vAlign w:val="bottom"/>
            <w:vMerge w:val="restart"/>
          </w:tcPr>
          <w:p>
            <w:pPr>
              <w:jc w:val="center"/>
              <w:ind w:left="142"/>
              <w:spacing w:after="0"/>
              <w:rPr>
                <w:sz w:val="20"/>
                <w:szCs w:val="20"/>
                <w:color w:val="auto"/>
              </w:rPr>
            </w:pPr>
            <w:r>
              <w:rPr>
                <w:rFonts w:ascii="Arial" w:cs="Arial" w:eastAsia="Arial" w:hAnsi="Arial"/>
                <w:sz w:val="16"/>
                <w:szCs w:val="16"/>
                <w:color w:val="FFFFFF"/>
                <w:w w:val="92"/>
              </w:rPr>
              <w:t>Wireline Entities</w:t>
            </w:r>
          </w:p>
        </w:tc>
        <w:tc>
          <w:tcPr>
            <w:tcW w:w="0" w:type="dxa"/>
            <w:vAlign w:val="bottom"/>
          </w:tcPr>
          <w:p>
            <w:pPr>
              <w:spacing w:after="0"/>
              <w:rPr>
                <w:sz w:val="1"/>
                <w:szCs w:val="1"/>
                <w:color w:val="auto"/>
              </w:rPr>
            </w:pPr>
          </w:p>
        </w:tc>
      </w:tr>
      <w:tr>
        <w:trPr>
          <w:trHeight w:val="163"/>
        </w:trPr>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tcPr>
          <w:p>
            <w:pPr>
              <w:jc w:val="center"/>
              <w:spacing w:after="0" w:line="163" w:lineRule="exact"/>
              <w:rPr>
                <w:sz w:val="20"/>
                <w:szCs w:val="20"/>
                <w:color w:val="auto"/>
              </w:rPr>
            </w:pPr>
            <w:r>
              <w:rPr>
                <w:rFonts w:ascii="Arial" w:cs="Arial" w:eastAsia="Arial" w:hAnsi="Arial"/>
                <w:sz w:val="16"/>
                <w:szCs w:val="16"/>
                <w:color w:val="FFFFFF"/>
                <w:w w:val="88"/>
              </w:rPr>
              <w:t>Telecommunications</w:t>
            </w:r>
          </w:p>
        </w:tc>
        <w:tc>
          <w:tcPr>
            <w:tcW w:w="17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FFFFFF"/>
                <w:w w:val="90"/>
              </w:rPr>
              <w:t>Company</w:t>
            </w: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60" w:type="dxa"/>
            <w:vAlign w:val="bottom"/>
          </w:tcPr>
          <w:p>
            <w:pPr>
              <w:jc w:val="center"/>
              <w:ind w:left="122"/>
              <w:spacing w:after="0"/>
              <w:rPr>
                <w:sz w:val="20"/>
                <w:szCs w:val="20"/>
                <w:color w:val="auto"/>
              </w:rPr>
            </w:pPr>
            <w:r>
              <w:rPr>
                <w:rFonts w:ascii="Arial" w:cs="Arial" w:eastAsia="Arial" w:hAnsi="Arial"/>
                <w:sz w:val="16"/>
                <w:szCs w:val="16"/>
                <w:color w:val="FFFFFF"/>
                <w:w w:val="91"/>
              </w:rPr>
              <w:t>Allocation Subsidiary</w:t>
            </w:r>
          </w:p>
        </w:tc>
        <w:tc>
          <w:tcPr>
            <w:tcW w:w="0" w:type="dxa"/>
            <w:vAlign w:val="bottom"/>
          </w:tcPr>
          <w:p>
            <w:pPr>
              <w:spacing w:after="0"/>
              <w:rPr>
                <w:sz w:val="1"/>
                <w:szCs w:val="1"/>
                <w:color w:val="auto"/>
              </w:rPr>
            </w:pPr>
          </w:p>
        </w:tc>
      </w:tr>
      <w:tr>
        <w:trPr>
          <w:trHeight w:val="772"/>
        </w:trPr>
        <w:tc>
          <w:tcPr>
            <w:tcW w:w="1360" w:type="dxa"/>
            <w:vAlign w:val="bottom"/>
          </w:tcPr>
          <w:p>
            <w:pPr>
              <w:jc w:val="center"/>
              <w:ind w:right="242"/>
              <w:spacing w:after="0"/>
              <w:rPr>
                <w:sz w:val="20"/>
                <w:szCs w:val="20"/>
                <w:color w:val="auto"/>
              </w:rPr>
            </w:pPr>
            <w:r>
              <w:rPr>
                <w:rFonts w:ascii="Arial" w:cs="Arial" w:eastAsia="Arial" w:hAnsi="Arial"/>
                <w:sz w:val="16"/>
                <w:szCs w:val="16"/>
                <w:color w:val="FFFFFF"/>
                <w:w w:val="83"/>
              </w:rPr>
              <w:t>Shenandoah</w:t>
            </w: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360" w:type="dxa"/>
            <w:vAlign w:val="bottom"/>
          </w:tcPr>
          <w:p>
            <w:pPr>
              <w:jc w:val="center"/>
              <w:ind w:right="222"/>
              <w:spacing w:after="0" w:line="163" w:lineRule="exact"/>
              <w:rPr>
                <w:sz w:val="20"/>
                <w:szCs w:val="20"/>
                <w:color w:val="auto"/>
              </w:rPr>
            </w:pPr>
            <w:r>
              <w:rPr>
                <w:rFonts w:ascii="Arial" w:cs="Arial" w:eastAsia="Arial" w:hAnsi="Arial"/>
                <w:sz w:val="16"/>
                <w:szCs w:val="16"/>
                <w:color w:val="FFFFFF"/>
                <w:w w:val="85"/>
              </w:rPr>
              <w:t>Personal</w:t>
            </w:r>
          </w:p>
        </w:tc>
        <w:tc>
          <w:tcPr>
            <w:tcW w:w="1800" w:type="dxa"/>
            <w:vAlign w:val="bottom"/>
          </w:tcPr>
          <w:p>
            <w:pPr>
              <w:jc w:val="center"/>
              <w:ind w:left="2"/>
              <w:spacing w:after="0" w:line="163" w:lineRule="exact"/>
              <w:rPr>
                <w:sz w:val="20"/>
                <w:szCs w:val="20"/>
                <w:color w:val="auto"/>
              </w:rPr>
            </w:pPr>
            <w:r>
              <w:rPr>
                <w:rFonts w:ascii="Arial" w:cs="Arial" w:eastAsia="Arial" w:hAnsi="Arial"/>
                <w:sz w:val="16"/>
                <w:szCs w:val="16"/>
                <w:color w:val="FFFFFF"/>
                <w:w w:val="87"/>
              </w:rPr>
              <w:t>Shenandoah Mobile</w:t>
            </w:r>
          </w:p>
        </w:tc>
        <w:tc>
          <w:tcPr>
            <w:tcW w:w="1800" w:type="dxa"/>
            <w:vAlign w:val="bottom"/>
          </w:tcPr>
          <w:p>
            <w:pPr>
              <w:jc w:val="center"/>
              <w:spacing w:after="0" w:line="163" w:lineRule="exact"/>
              <w:rPr>
                <w:sz w:val="20"/>
                <w:szCs w:val="20"/>
                <w:color w:val="auto"/>
              </w:rPr>
            </w:pPr>
            <w:r>
              <w:rPr>
                <w:rFonts w:ascii="Arial" w:cs="Arial" w:eastAsia="Arial" w:hAnsi="Arial"/>
                <w:sz w:val="16"/>
                <w:szCs w:val="16"/>
                <w:color w:val="FFFFFF"/>
                <w:w w:val="86"/>
              </w:rPr>
              <w:t>Shentel Management</w:t>
            </w:r>
          </w:p>
        </w:tc>
        <w:tc>
          <w:tcPr>
            <w:tcW w:w="1720" w:type="dxa"/>
            <w:vAlign w:val="bottom"/>
          </w:tcPr>
          <w:p>
            <w:pPr>
              <w:jc w:val="center"/>
              <w:spacing w:after="0" w:line="163" w:lineRule="exact"/>
              <w:rPr>
                <w:sz w:val="20"/>
                <w:szCs w:val="20"/>
                <w:color w:val="auto"/>
              </w:rPr>
            </w:pPr>
            <w:r>
              <w:rPr>
                <w:rFonts w:ascii="Arial" w:cs="Arial" w:eastAsia="Arial" w:hAnsi="Arial"/>
                <w:sz w:val="16"/>
                <w:szCs w:val="16"/>
                <w:color w:val="FFFFFF"/>
                <w:w w:val="84"/>
              </w:rPr>
              <w:t>Shenandoah Cable</w:t>
            </w:r>
          </w:p>
        </w:tc>
        <w:tc>
          <w:tcPr>
            <w:tcW w:w="1560" w:type="dxa"/>
            <w:vAlign w:val="bottom"/>
          </w:tcPr>
          <w:p>
            <w:pPr>
              <w:jc w:val="center"/>
              <w:ind w:left="262"/>
              <w:spacing w:after="0" w:line="163" w:lineRule="exact"/>
              <w:rPr>
                <w:sz w:val="20"/>
                <w:szCs w:val="20"/>
                <w:color w:val="auto"/>
              </w:rPr>
            </w:pPr>
            <w:r>
              <w:rPr>
                <w:rFonts w:ascii="Arial" w:cs="Arial" w:eastAsia="Arial" w:hAnsi="Arial"/>
                <w:sz w:val="16"/>
                <w:szCs w:val="16"/>
                <w:color w:val="FFFFFF"/>
                <w:w w:val="85"/>
              </w:rPr>
              <w:t>Shentel Cable</w:t>
            </w:r>
          </w:p>
        </w:tc>
        <w:tc>
          <w:tcPr>
            <w:tcW w:w="0" w:type="dxa"/>
            <w:vAlign w:val="bottom"/>
          </w:tcPr>
          <w:p>
            <w:pPr>
              <w:spacing w:after="0"/>
              <w:rPr>
                <w:sz w:val="1"/>
                <w:szCs w:val="1"/>
                <w:color w:val="auto"/>
              </w:rPr>
            </w:pPr>
          </w:p>
        </w:tc>
      </w:tr>
      <w:tr>
        <w:trPr>
          <w:trHeight w:val="163"/>
        </w:trPr>
        <w:tc>
          <w:tcPr>
            <w:tcW w:w="1360" w:type="dxa"/>
            <w:vAlign w:val="bottom"/>
          </w:tcPr>
          <w:p>
            <w:pPr>
              <w:jc w:val="center"/>
              <w:ind w:right="222"/>
              <w:spacing w:after="0" w:line="163" w:lineRule="exact"/>
              <w:rPr>
                <w:sz w:val="20"/>
                <w:szCs w:val="20"/>
                <w:color w:val="auto"/>
              </w:rPr>
            </w:pPr>
            <w:r>
              <w:rPr>
                <w:rFonts w:ascii="Arial" w:cs="Arial" w:eastAsia="Arial" w:hAnsi="Arial"/>
                <w:sz w:val="16"/>
                <w:szCs w:val="16"/>
                <w:color w:val="FFFFFF"/>
                <w:w w:val="88"/>
              </w:rPr>
              <w:t>Communications</w:t>
            </w:r>
          </w:p>
        </w:tc>
        <w:tc>
          <w:tcPr>
            <w:tcW w:w="1800" w:type="dxa"/>
            <w:vAlign w:val="bottom"/>
          </w:tcPr>
          <w:p>
            <w:pPr>
              <w:jc w:val="center"/>
              <w:ind w:left="2"/>
              <w:spacing w:after="0" w:line="163" w:lineRule="exact"/>
              <w:rPr>
                <w:sz w:val="20"/>
                <w:szCs w:val="20"/>
                <w:color w:val="auto"/>
              </w:rPr>
            </w:pPr>
            <w:r>
              <w:rPr>
                <w:rFonts w:ascii="Arial" w:cs="Arial" w:eastAsia="Arial" w:hAnsi="Arial"/>
                <w:sz w:val="16"/>
                <w:szCs w:val="16"/>
                <w:color w:val="FFFFFF"/>
                <w:w w:val="87"/>
              </w:rPr>
              <w:t>Company</w:t>
            </w:r>
          </w:p>
        </w:tc>
        <w:tc>
          <w:tcPr>
            <w:tcW w:w="1800" w:type="dxa"/>
            <w:vAlign w:val="bottom"/>
          </w:tcPr>
          <w:p>
            <w:pPr>
              <w:jc w:val="center"/>
              <w:spacing w:after="0" w:line="163" w:lineRule="exact"/>
              <w:rPr>
                <w:sz w:val="20"/>
                <w:szCs w:val="20"/>
                <w:color w:val="auto"/>
              </w:rPr>
            </w:pPr>
            <w:r>
              <w:rPr>
                <w:rFonts w:ascii="Arial" w:cs="Arial" w:eastAsia="Arial" w:hAnsi="Arial"/>
                <w:sz w:val="16"/>
                <w:szCs w:val="16"/>
                <w:color w:val="FFFFFF"/>
                <w:w w:val="87"/>
              </w:rPr>
              <w:t>Company</w:t>
            </w:r>
          </w:p>
        </w:tc>
        <w:tc>
          <w:tcPr>
            <w:tcW w:w="1720" w:type="dxa"/>
            <w:vAlign w:val="bottom"/>
          </w:tcPr>
          <w:p>
            <w:pPr>
              <w:jc w:val="center"/>
              <w:spacing w:after="0" w:line="163" w:lineRule="exact"/>
              <w:rPr>
                <w:sz w:val="20"/>
                <w:szCs w:val="20"/>
                <w:color w:val="auto"/>
              </w:rPr>
            </w:pPr>
            <w:r>
              <w:rPr>
                <w:rFonts w:ascii="Arial" w:cs="Arial" w:eastAsia="Arial" w:hAnsi="Arial"/>
                <w:sz w:val="16"/>
                <w:szCs w:val="16"/>
                <w:color w:val="FFFFFF"/>
                <w:w w:val="88"/>
              </w:rPr>
              <w:t>Television Company</w:t>
            </w:r>
          </w:p>
        </w:tc>
        <w:tc>
          <w:tcPr>
            <w:tcW w:w="1560" w:type="dxa"/>
            <w:vAlign w:val="bottom"/>
          </w:tcPr>
          <w:p>
            <w:pPr>
              <w:jc w:val="center"/>
              <w:ind w:left="242"/>
              <w:spacing w:after="0" w:line="163" w:lineRule="exact"/>
              <w:rPr>
                <w:sz w:val="20"/>
                <w:szCs w:val="20"/>
                <w:color w:val="auto"/>
              </w:rPr>
            </w:pPr>
            <w:r>
              <w:rPr>
                <w:rFonts w:ascii="Arial" w:cs="Arial" w:eastAsia="Arial" w:hAnsi="Arial"/>
                <w:sz w:val="16"/>
                <w:szCs w:val="16"/>
                <w:color w:val="FFFFFF"/>
                <w:w w:val="87"/>
              </w:rPr>
              <w:t>Company</w:t>
            </w:r>
          </w:p>
        </w:tc>
        <w:tc>
          <w:tcPr>
            <w:tcW w:w="0" w:type="dxa"/>
            <w:vAlign w:val="bottom"/>
          </w:tcPr>
          <w:p>
            <w:pPr>
              <w:spacing w:after="0"/>
              <w:rPr>
                <w:sz w:val="1"/>
                <w:szCs w:val="1"/>
                <w:color w:val="auto"/>
              </w:rPr>
            </w:pPr>
          </w:p>
        </w:tc>
      </w:tr>
      <w:tr>
        <w:trPr>
          <w:trHeight w:val="197"/>
        </w:trPr>
        <w:tc>
          <w:tcPr>
            <w:tcW w:w="1360" w:type="dxa"/>
            <w:vAlign w:val="bottom"/>
          </w:tcPr>
          <w:p>
            <w:pPr>
              <w:jc w:val="center"/>
              <w:ind w:right="242"/>
              <w:spacing w:after="0"/>
              <w:rPr>
                <w:sz w:val="20"/>
                <w:szCs w:val="20"/>
                <w:color w:val="auto"/>
              </w:rPr>
            </w:pPr>
            <w:r>
              <w:rPr>
                <w:rFonts w:ascii="Arial" w:cs="Arial" w:eastAsia="Arial" w:hAnsi="Arial"/>
                <w:sz w:val="16"/>
                <w:szCs w:val="16"/>
                <w:color w:val="FFFFFF"/>
                <w:w w:val="87"/>
              </w:rPr>
              <w:t>Company</w:t>
            </w:r>
          </w:p>
        </w:tc>
        <w:tc>
          <w:tcPr>
            <w:tcW w:w="1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1540" w:type="dxa"/>
            <w:vAlign w:val="bottom"/>
            <w:vMerge w:val="restart"/>
          </w:tcPr>
          <w:p>
            <w:pPr>
              <w:jc w:val="center"/>
              <w:ind w:right="262"/>
              <w:spacing w:after="0"/>
              <w:rPr>
                <w:sz w:val="20"/>
                <w:szCs w:val="20"/>
                <w:color w:val="auto"/>
              </w:rPr>
            </w:pPr>
            <w:r>
              <w:rPr>
                <w:rFonts w:ascii="Arial" w:cs="Arial" w:eastAsia="Arial" w:hAnsi="Arial"/>
                <w:sz w:val="16"/>
                <w:szCs w:val="16"/>
                <w:color w:val="FFFFFF"/>
                <w:w w:val="83"/>
              </w:rPr>
              <w:t>Shenandoah</w:t>
            </w:r>
          </w:p>
        </w:tc>
        <w:tc>
          <w:tcPr>
            <w:tcW w:w="1660" w:type="dxa"/>
            <w:vAlign w:val="bottom"/>
            <w:vMerge w:val="restart"/>
          </w:tcPr>
          <w:p>
            <w:pPr>
              <w:jc w:val="center"/>
              <w:spacing w:after="0"/>
              <w:rPr>
                <w:sz w:val="20"/>
                <w:szCs w:val="20"/>
                <w:color w:val="auto"/>
              </w:rPr>
            </w:pPr>
            <w:r>
              <w:rPr>
                <w:rFonts w:ascii="Arial" w:cs="Arial" w:eastAsia="Arial" w:hAnsi="Arial"/>
                <w:sz w:val="16"/>
                <w:szCs w:val="16"/>
                <w:color w:val="FFFFFF"/>
                <w:w w:val="87"/>
              </w:rPr>
              <w:t>Shentel Service</w:t>
            </w:r>
          </w:p>
        </w:tc>
        <w:tc>
          <w:tcPr>
            <w:tcW w:w="1900" w:type="dxa"/>
            <w:vAlign w:val="bottom"/>
            <w:vMerge w:val="restart"/>
          </w:tcPr>
          <w:p>
            <w:pPr>
              <w:jc w:val="center"/>
              <w:spacing w:after="0"/>
              <w:rPr>
                <w:sz w:val="20"/>
                <w:szCs w:val="20"/>
                <w:color w:val="auto"/>
              </w:rPr>
            </w:pPr>
            <w:r>
              <w:rPr>
                <w:rFonts w:ascii="Arial" w:cs="Arial" w:eastAsia="Arial" w:hAnsi="Arial"/>
                <w:sz w:val="16"/>
                <w:szCs w:val="16"/>
                <w:color w:val="FFFFFF"/>
                <w:w w:val="83"/>
              </w:rPr>
              <w:t>Shenandoah</w:t>
            </w:r>
          </w:p>
        </w:tc>
        <w:tc>
          <w:tcPr>
            <w:tcW w:w="1680" w:type="dxa"/>
            <w:vAlign w:val="bottom"/>
          </w:tcPr>
          <w:p>
            <w:pPr>
              <w:jc w:val="center"/>
              <w:spacing w:after="0"/>
              <w:rPr>
                <w:sz w:val="20"/>
                <w:szCs w:val="20"/>
                <w:color w:val="auto"/>
              </w:rPr>
            </w:pPr>
            <w:r>
              <w:rPr>
                <w:rFonts w:ascii="Arial" w:cs="Arial" w:eastAsia="Arial" w:hAnsi="Arial"/>
                <w:sz w:val="16"/>
                <w:szCs w:val="16"/>
                <w:color w:val="FFFFFF"/>
                <w:w w:val="84"/>
              </w:rPr>
              <w:t>Shentel</w:t>
            </w:r>
          </w:p>
        </w:tc>
        <w:tc>
          <w:tcPr>
            <w:tcW w:w="1520" w:type="dxa"/>
            <w:vAlign w:val="bottom"/>
            <w:vMerge w:val="restart"/>
          </w:tcPr>
          <w:p>
            <w:pPr>
              <w:jc w:val="center"/>
              <w:ind w:left="242"/>
              <w:spacing w:after="0"/>
              <w:rPr>
                <w:sz w:val="20"/>
                <w:szCs w:val="20"/>
                <w:color w:val="auto"/>
              </w:rPr>
            </w:pPr>
            <w:r>
              <w:rPr>
                <w:rFonts w:ascii="Arial" w:cs="Arial" w:eastAsia="Arial" w:hAnsi="Arial"/>
                <w:sz w:val="16"/>
                <w:szCs w:val="16"/>
                <w:color w:val="FFFFFF"/>
                <w:w w:val="85"/>
              </w:rPr>
              <w:t>Shenandoah Long</w:t>
            </w:r>
          </w:p>
        </w:tc>
        <w:tc>
          <w:tcPr>
            <w:tcW w:w="0" w:type="dxa"/>
            <w:vAlign w:val="bottom"/>
          </w:tcPr>
          <w:p>
            <w:pPr>
              <w:spacing w:after="0"/>
              <w:rPr>
                <w:sz w:val="1"/>
                <w:szCs w:val="1"/>
                <w:color w:val="auto"/>
              </w:rPr>
            </w:pPr>
          </w:p>
        </w:tc>
      </w:tr>
      <w:tr>
        <w:trPr>
          <w:trHeight w:val="82"/>
        </w:trPr>
        <w:tc>
          <w:tcPr>
            <w:tcW w:w="154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1680" w:type="dxa"/>
            <w:vAlign w:val="bottom"/>
            <w:vMerge w:val="restart"/>
          </w:tcPr>
          <w:p>
            <w:pPr>
              <w:jc w:val="center"/>
              <w:spacing w:after="0" w:line="163" w:lineRule="exact"/>
              <w:rPr>
                <w:sz w:val="20"/>
                <w:szCs w:val="20"/>
                <w:color w:val="auto"/>
              </w:rPr>
            </w:pPr>
            <w:r>
              <w:rPr>
                <w:rFonts w:ascii="Arial" w:cs="Arial" w:eastAsia="Arial" w:hAnsi="Arial"/>
                <w:sz w:val="16"/>
                <w:szCs w:val="16"/>
                <w:color w:val="FFFFFF"/>
                <w:w w:val="88"/>
              </w:rPr>
              <w:t>Communications</w:t>
            </w: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40" w:type="dxa"/>
            <w:vAlign w:val="bottom"/>
            <w:vMerge w:val="restart"/>
          </w:tcPr>
          <w:p>
            <w:pPr>
              <w:jc w:val="center"/>
              <w:ind w:right="262"/>
              <w:spacing w:after="0"/>
              <w:rPr>
                <w:sz w:val="20"/>
                <w:szCs w:val="20"/>
                <w:color w:val="auto"/>
              </w:rPr>
            </w:pPr>
            <w:r>
              <w:rPr>
                <w:rFonts w:ascii="Arial" w:cs="Arial" w:eastAsia="Arial" w:hAnsi="Arial"/>
                <w:sz w:val="16"/>
                <w:szCs w:val="16"/>
                <w:color w:val="FFFFFF"/>
                <w:w w:val="91"/>
              </w:rPr>
              <w:t>Network Company</w:t>
            </w:r>
          </w:p>
        </w:tc>
        <w:tc>
          <w:tcPr>
            <w:tcW w:w="1660" w:type="dxa"/>
            <w:vAlign w:val="bottom"/>
            <w:vMerge w:val="restart"/>
          </w:tcPr>
          <w:p>
            <w:pPr>
              <w:jc w:val="center"/>
              <w:spacing w:after="0"/>
              <w:rPr>
                <w:sz w:val="20"/>
                <w:szCs w:val="20"/>
                <w:color w:val="auto"/>
              </w:rPr>
            </w:pPr>
            <w:r>
              <w:rPr>
                <w:rFonts w:ascii="Arial" w:cs="Arial" w:eastAsia="Arial" w:hAnsi="Arial"/>
                <w:sz w:val="16"/>
                <w:szCs w:val="16"/>
                <w:color w:val="FFFFFF"/>
                <w:w w:val="87"/>
              </w:rPr>
              <w:t>Company</w:t>
            </w:r>
          </w:p>
        </w:tc>
        <w:tc>
          <w:tcPr>
            <w:tcW w:w="1900" w:type="dxa"/>
            <w:vAlign w:val="bottom"/>
            <w:vMerge w:val="restart"/>
          </w:tcPr>
          <w:p>
            <w:pPr>
              <w:jc w:val="center"/>
              <w:spacing w:after="0"/>
              <w:rPr>
                <w:sz w:val="20"/>
                <w:szCs w:val="20"/>
                <w:color w:val="auto"/>
              </w:rPr>
            </w:pPr>
            <w:r>
              <w:rPr>
                <w:rFonts w:ascii="Arial" w:cs="Arial" w:eastAsia="Arial" w:hAnsi="Arial"/>
                <w:sz w:val="16"/>
                <w:szCs w:val="16"/>
                <w:color w:val="FFFFFF"/>
                <w:w w:val="87"/>
              </w:rPr>
              <w:t>Telephone Company</w:t>
            </w:r>
          </w:p>
        </w:tc>
        <w:tc>
          <w:tcPr>
            <w:tcW w:w="1680" w:type="dxa"/>
            <w:vAlign w:val="bottom"/>
            <w:vMerge w:val="continue"/>
          </w:tcPr>
          <w:p>
            <w:pPr>
              <w:spacing w:after="0"/>
              <w:rPr>
                <w:sz w:val="7"/>
                <w:szCs w:val="7"/>
                <w:color w:val="auto"/>
              </w:rPr>
            </w:pPr>
          </w:p>
        </w:tc>
        <w:tc>
          <w:tcPr>
            <w:tcW w:w="1520" w:type="dxa"/>
            <w:vAlign w:val="bottom"/>
            <w:vMerge w:val="restart"/>
          </w:tcPr>
          <w:p>
            <w:pPr>
              <w:jc w:val="center"/>
              <w:ind w:left="262"/>
              <w:spacing w:after="0"/>
              <w:rPr>
                <w:sz w:val="20"/>
                <w:szCs w:val="20"/>
                <w:color w:val="auto"/>
              </w:rPr>
            </w:pPr>
            <w:r>
              <w:rPr>
                <w:rFonts w:ascii="Arial" w:cs="Arial" w:eastAsia="Arial" w:hAnsi="Arial"/>
                <w:sz w:val="16"/>
                <w:szCs w:val="16"/>
                <w:color w:val="FFFFFF"/>
                <w:w w:val="87"/>
              </w:rPr>
              <w:t>Distance Company</w:t>
            </w:r>
          </w:p>
        </w:tc>
        <w:tc>
          <w:tcPr>
            <w:tcW w:w="0" w:type="dxa"/>
            <w:vAlign w:val="bottom"/>
          </w:tcPr>
          <w:p>
            <w:pPr>
              <w:spacing w:after="0"/>
              <w:rPr>
                <w:sz w:val="1"/>
                <w:szCs w:val="1"/>
                <w:color w:val="auto"/>
              </w:rPr>
            </w:pPr>
          </w:p>
        </w:tc>
      </w:tr>
      <w:tr>
        <w:trPr>
          <w:trHeight w:val="127"/>
        </w:trPr>
        <w:tc>
          <w:tcPr>
            <w:tcW w:w="154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color w:val="FFFFFF"/>
                <w:w w:val="87"/>
              </w:rPr>
              <w:t>Company</w:t>
            </w: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15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0" w:hanging="473"/>
        <w:spacing w:after="0"/>
        <w:tabs>
          <w:tab w:leader="none" w:pos="600" w:val="left"/>
        </w:tabs>
        <w:numPr>
          <w:ilvl w:val="0"/>
          <w:numId w:val="2"/>
        </w:numPr>
        <w:rPr>
          <w:rFonts w:ascii="Arial" w:cs="Arial" w:eastAsia="Arial" w:hAnsi="Arial"/>
          <w:sz w:val="34"/>
          <w:szCs w:val="34"/>
          <w:color w:val="840039"/>
        </w:rPr>
      </w:pPr>
      <w:r>
        <w:rPr>
          <w:rFonts w:ascii="Arial" w:cs="Arial" w:eastAsia="Arial" w:hAnsi="Arial"/>
          <w:sz w:val="34"/>
          <w:szCs w:val="34"/>
          <w:color w:val="auto"/>
        </w:rPr>
        <w:t>Reporting Segments: Wireless, Wireline and Cable</w:t>
      </w:r>
    </w:p>
    <w:p>
      <w:pPr>
        <w:spacing w:after="0" w:line="285" w:lineRule="exact"/>
        <w:rPr>
          <w:rFonts w:ascii="Arial" w:cs="Arial" w:eastAsia="Arial" w:hAnsi="Arial"/>
          <w:sz w:val="34"/>
          <w:szCs w:val="34"/>
          <w:color w:val="840039"/>
        </w:rPr>
      </w:pPr>
    </w:p>
    <w:p>
      <w:pPr>
        <w:ind w:left="680" w:right="1260" w:hanging="553"/>
        <w:spacing w:after="0" w:line="250" w:lineRule="auto"/>
        <w:tabs>
          <w:tab w:leader="none" w:pos="594" w:val="left"/>
        </w:tabs>
        <w:numPr>
          <w:ilvl w:val="0"/>
          <w:numId w:val="2"/>
        </w:numPr>
        <w:rPr>
          <w:rFonts w:ascii="Arial" w:cs="Arial" w:eastAsia="Arial" w:hAnsi="Arial"/>
          <w:sz w:val="34"/>
          <w:szCs w:val="34"/>
          <w:color w:val="840039"/>
        </w:rPr>
      </w:pPr>
      <w:r>
        <w:rPr>
          <w:rFonts w:ascii="Arial" w:cs="Arial" w:eastAsia="Arial" w:hAnsi="Arial"/>
          <w:sz w:val="34"/>
          <w:szCs w:val="34"/>
          <w:color w:val="auto"/>
        </w:rPr>
        <w:t>Shentel Management Company: Allocation subsidiary for all employees and shared expenses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00"/>
          </w:cols>
          <w:pgMar w:left="800" w:top="984" w:right="899" w:bottom="1440" w:gutter="0" w:footer="0" w:header="0"/>
        </w:sectPr>
      </w:pPr>
    </w:p>
    <w:bookmarkStart w:id="7" w:name="page8"/>
    <w:bookmarkEnd w:id="7"/>
    <w:p>
      <w:pPr>
        <w:spacing w:after="0"/>
        <w:rPr>
          <w:sz w:val="20"/>
          <w:szCs w:val="20"/>
          <w:color w:val="auto"/>
        </w:rPr>
      </w:pPr>
      <w:r>
        <w:rPr>
          <w:rFonts w:ascii="Arial" w:cs="Arial" w:eastAsia="Arial" w:hAnsi="Arial"/>
          <w:sz w:val="41"/>
          <w:szCs w:val="41"/>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Growth Strategy - Capitalize on Core Competencies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80" w:hanging="481"/>
        <w:spacing w:after="0"/>
        <w:tabs>
          <w:tab w:leader="none" w:pos="780" w:val="left"/>
        </w:tabs>
        <w:numPr>
          <w:ilvl w:val="0"/>
          <w:numId w:val="3"/>
        </w:numPr>
        <w:rPr>
          <w:rFonts w:ascii="Arial" w:cs="Arial" w:eastAsia="Arial" w:hAnsi="Arial"/>
          <w:sz w:val="34"/>
          <w:szCs w:val="34"/>
          <w:color w:val="840039"/>
        </w:rPr>
      </w:pPr>
      <w:r>
        <w:rPr>
          <w:rFonts w:ascii="Arial" w:cs="Arial" w:eastAsia="Arial" w:hAnsi="Arial"/>
          <w:sz w:val="34"/>
          <w:szCs w:val="34"/>
          <w:color w:val="auto"/>
        </w:rPr>
        <w:t>Cable</w:t>
      </w:r>
    </w:p>
    <w:p>
      <w:pPr>
        <w:spacing w:after="0" w:line="134" w:lineRule="exact"/>
        <w:rPr>
          <w:sz w:val="20"/>
          <w:szCs w:val="20"/>
          <w:color w:val="auto"/>
        </w:rPr>
      </w:pPr>
    </w:p>
    <w:p>
      <w:pPr>
        <w:ind w:left="1240" w:hanging="381"/>
        <w:spacing w:after="0"/>
        <w:tabs>
          <w:tab w:leader="none" w:pos="1240" w:val="left"/>
        </w:tabs>
        <w:numPr>
          <w:ilvl w:val="0"/>
          <w:numId w:val="4"/>
        </w:numPr>
        <w:rPr>
          <w:rFonts w:ascii="Arial" w:cs="Arial" w:eastAsia="Arial" w:hAnsi="Arial"/>
          <w:sz w:val="27"/>
          <w:szCs w:val="27"/>
          <w:color w:val="C0C0C0"/>
        </w:rPr>
      </w:pPr>
      <w:r>
        <w:rPr>
          <w:rFonts w:ascii="Arial" w:cs="Arial" w:eastAsia="Arial" w:hAnsi="Arial"/>
          <w:sz w:val="34"/>
          <w:szCs w:val="34"/>
          <w:color w:val="auto"/>
        </w:rPr>
        <w:t>Focus on smaller less competitive markets</w:t>
      </w:r>
    </w:p>
    <w:p>
      <w:pPr>
        <w:spacing w:after="0" w:line="133" w:lineRule="exact"/>
        <w:rPr>
          <w:rFonts w:ascii="Arial" w:cs="Arial" w:eastAsia="Arial" w:hAnsi="Arial"/>
          <w:sz w:val="27"/>
          <w:szCs w:val="27"/>
          <w:color w:val="C0C0C0"/>
        </w:rPr>
      </w:pPr>
    </w:p>
    <w:p>
      <w:pPr>
        <w:ind w:left="1240" w:hanging="381"/>
        <w:spacing w:after="0"/>
        <w:tabs>
          <w:tab w:leader="none" w:pos="1240" w:val="left"/>
        </w:tabs>
        <w:numPr>
          <w:ilvl w:val="0"/>
          <w:numId w:val="4"/>
        </w:numPr>
        <w:rPr>
          <w:rFonts w:ascii="Arial" w:cs="Arial" w:eastAsia="Arial" w:hAnsi="Arial"/>
          <w:sz w:val="27"/>
          <w:szCs w:val="27"/>
          <w:color w:val="C0C0C0"/>
        </w:rPr>
      </w:pPr>
      <w:r>
        <w:rPr>
          <w:rFonts w:ascii="Arial" w:cs="Arial" w:eastAsia="Arial" w:hAnsi="Arial"/>
          <w:sz w:val="34"/>
          <w:szCs w:val="34"/>
          <w:color w:val="auto"/>
        </w:rPr>
        <w:t>Build clusters to gain operating efficiencies</w:t>
      </w:r>
    </w:p>
    <w:p>
      <w:pPr>
        <w:spacing w:after="0" w:line="133" w:lineRule="exact"/>
        <w:rPr>
          <w:rFonts w:ascii="Arial" w:cs="Arial" w:eastAsia="Arial" w:hAnsi="Arial"/>
          <w:sz w:val="27"/>
          <w:szCs w:val="27"/>
          <w:color w:val="C0C0C0"/>
        </w:rPr>
      </w:pPr>
    </w:p>
    <w:p>
      <w:pPr>
        <w:ind w:left="1240" w:hanging="381"/>
        <w:spacing w:after="0"/>
        <w:tabs>
          <w:tab w:leader="none" w:pos="1240" w:val="left"/>
        </w:tabs>
        <w:numPr>
          <w:ilvl w:val="0"/>
          <w:numId w:val="4"/>
        </w:numPr>
        <w:rPr>
          <w:rFonts w:ascii="Arial" w:cs="Arial" w:eastAsia="Arial" w:hAnsi="Arial"/>
          <w:sz w:val="27"/>
          <w:szCs w:val="27"/>
          <w:color w:val="C0C0C0"/>
        </w:rPr>
      </w:pPr>
      <w:r>
        <w:rPr>
          <w:rFonts w:ascii="Arial" w:cs="Arial" w:eastAsia="Arial" w:hAnsi="Arial"/>
          <w:sz w:val="34"/>
          <w:szCs w:val="34"/>
          <w:color w:val="auto"/>
        </w:rPr>
        <w:t>Upgrade networks to offer “Triple Play”</w:t>
      </w:r>
    </w:p>
    <w:p>
      <w:pPr>
        <w:spacing w:after="0" w:line="286" w:lineRule="exact"/>
        <w:rPr>
          <w:sz w:val="20"/>
          <w:szCs w:val="20"/>
          <w:color w:val="auto"/>
        </w:rPr>
      </w:pPr>
    </w:p>
    <w:p>
      <w:pPr>
        <w:ind w:left="780" w:hanging="481"/>
        <w:spacing w:after="0"/>
        <w:tabs>
          <w:tab w:leader="none" w:pos="780" w:val="left"/>
        </w:tabs>
        <w:numPr>
          <w:ilvl w:val="0"/>
          <w:numId w:val="5"/>
        </w:numPr>
        <w:rPr>
          <w:rFonts w:ascii="Arial" w:cs="Arial" w:eastAsia="Arial" w:hAnsi="Arial"/>
          <w:sz w:val="34"/>
          <w:szCs w:val="34"/>
          <w:color w:val="840039"/>
        </w:rPr>
      </w:pPr>
      <w:r>
        <w:rPr>
          <w:rFonts w:ascii="Arial" w:cs="Arial" w:eastAsia="Arial" w:hAnsi="Arial"/>
          <w:sz w:val="34"/>
          <w:szCs w:val="34"/>
          <w:color w:val="auto"/>
        </w:rPr>
        <w:t>Wireless</w:t>
      </w:r>
    </w:p>
    <w:p>
      <w:pPr>
        <w:spacing w:after="0" w:line="134" w:lineRule="exact"/>
        <w:rPr>
          <w:sz w:val="20"/>
          <w:szCs w:val="20"/>
          <w:color w:val="auto"/>
        </w:rPr>
      </w:pPr>
    </w:p>
    <w:p>
      <w:pPr>
        <w:ind w:left="1240" w:hanging="381"/>
        <w:spacing w:after="0"/>
        <w:tabs>
          <w:tab w:leader="none" w:pos="1240" w:val="left"/>
        </w:tabs>
        <w:numPr>
          <w:ilvl w:val="0"/>
          <w:numId w:val="6"/>
        </w:numPr>
        <w:rPr>
          <w:rFonts w:ascii="Arial" w:cs="Arial" w:eastAsia="Arial" w:hAnsi="Arial"/>
          <w:sz w:val="27"/>
          <w:szCs w:val="27"/>
          <w:color w:val="C0C0C0"/>
        </w:rPr>
      </w:pPr>
      <w:r>
        <w:rPr>
          <w:rFonts w:ascii="Arial" w:cs="Arial" w:eastAsia="Arial" w:hAnsi="Arial"/>
          <w:sz w:val="34"/>
          <w:szCs w:val="34"/>
          <w:color w:val="auto"/>
        </w:rPr>
        <w:t>Increase penetration in existing PCS footprint</w:t>
      </w:r>
    </w:p>
    <w:p>
      <w:pPr>
        <w:spacing w:after="0" w:line="133" w:lineRule="exact"/>
        <w:rPr>
          <w:rFonts w:ascii="Arial" w:cs="Arial" w:eastAsia="Arial" w:hAnsi="Arial"/>
          <w:sz w:val="27"/>
          <w:szCs w:val="27"/>
          <w:color w:val="C0C0C0"/>
        </w:rPr>
      </w:pPr>
    </w:p>
    <w:p>
      <w:pPr>
        <w:ind w:left="1340" w:right="1940" w:hanging="481"/>
        <w:spacing w:after="0" w:line="250" w:lineRule="auto"/>
        <w:tabs>
          <w:tab w:leader="none" w:pos="1232" w:val="left"/>
        </w:tabs>
        <w:numPr>
          <w:ilvl w:val="0"/>
          <w:numId w:val="6"/>
        </w:numPr>
        <w:rPr>
          <w:rFonts w:ascii="Arial" w:cs="Arial" w:eastAsia="Arial" w:hAnsi="Arial"/>
          <w:sz w:val="27"/>
          <w:szCs w:val="27"/>
          <w:color w:val="C0C0C0"/>
        </w:rPr>
      </w:pPr>
      <w:r>
        <w:rPr>
          <w:rFonts w:ascii="Arial" w:cs="Arial" w:eastAsia="Arial" w:hAnsi="Arial"/>
          <w:sz w:val="34"/>
          <w:szCs w:val="34"/>
          <w:color w:val="auto"/>
        </w:rPr>
        <w:t>Look for new wireless opportunities in surrounding geographic areas</w:t>
      </w:r>
    </w:p>
    <w:p>
      <w:pPr>
        <w:spacing w:after="0" w:line="235" w:lineRule="exact"/>
        <w:rPr>
          <w:sz w:val="20"/>
          <w:szCs w:val="20"/>
          <w:color w:val="auto"/>
        </w:rPr>
      </w:pPr>
    </w:p>
    <w:p>
      <w:pPr>
        <w:ind w:left="780" w:hanging="481"/>
        <w:spacing w:after="0"/>
        <w:tabs>
          <w:tab w:leader="none" w:pos="780" w:val="left"/>
        </w:tabs>
        <w:numPr>
          <w:ilvl w:val="0"/>
          <w:numId w:val="7"/>
        </w:numPr>
        <w:rPr>
          <w:rFonts w:ascii="Arial" w:cs="Arial" w:eastAsia="Arial" w:hAnsi="Arial"/>
          <w:sz w:val="34"/>
          <w:szCs w:val="34"/>
          <w:color w:val="840039"/>
        </w:rPr>
      </w:pPr>
      <w:r>
        <w:rPr>
          <w:rFonts w:ascii="Arial" w:cs="Arial" w:eastAsia="Arial" w:hAnsi="Arial"/>
          <w:sz w:val="34"/>
          <w:szCs w:val="34"/>
          <w:color w:val="auto"/>
        </w:rPr>
        <w:t>Wireline</w:t>
      </w:r>
    </w:p>
    <w:p>
      <w:pPr>
        <w:spacing w:after="0" w:line="134" w:lineRule="exact"/>
        <w:rPr>
          <w:sz w:val="20"/>
          <w:szCs w:val="20"/>
          <w:color w:val="auto"/>
        </w:rPr>
      </w:pPr>
    </w:p>
    <w:p>
      <w:pPr>
        <w:ind w:left="1240" w:hanging="381"/>
        <w:spacing w:after="0"/>
        <w:tabs>
          <w:tab w:leader="none" w:pos="1240" w:val="left"/>
        </w:tabs>
        <w:numPr>
          <w:ilvl w:val="0"/>
          <w:numId w:val="8"/>
        </w:numPr>
        <w:rPr>
          <w:rFonts w:ascii="Arial" w:cs="Arial" w:eastAsia="Arial" w:hAnsi="Arial"/>
          <w:sz w:val="27"/>
          <w:szCs w:val="27"/>
          <w:color w:val="C0C0C0"/>
        </w:rPr>
      </w:pPr>
      <w:r>
        <w:rPr>
          <w:rFonts w:ascii="Arial" w:cs="Arial" w:eastAsia="Arial" w:hAnsi="Arial"/>
          <w:sz w:val="34"/>
          <w:szCs w:val="34"/>
          <w:color w:val="auto"/>
        </w:rPr>
        <w:t>Attractive markets at reasonable prices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381635</wp:posOffset>
            </wp:positionV>
            <wp:extent cx="727075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20"/>
          </w:cols>
          <w:pgMar w:left="780" w:top="1004" w:right="899" w:bottom="1440" w:gutter="0" w:footer="0" w:header="0"/>
        </w:sectPr>
      </w:pPr>
    </w:p>
    <w:bookmarkStart w:id="8" w:name="page9"/>
    <w:bookmarkEnd w:id="8"/>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Segment Overview</w:t>
      </w:r>
    </w:p>
    <w:p>
      <w:pPr>
        <w:spacing w:after="0" w:line="1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Twelve Months Ending March 31, 2010</w:t>
      </w:r>
    </w:p>
    <w:p>
      <w:pPr>
        <w:spacing w:after="0" w:line="141" w:lineRule="exact"/>
        <w:rPr>
          <w:sz w:val="20"/>
          <w:szCs w:val="20"/>
          <w:color w:val="auto"/>
        </w:rPr>
      </w:pPr>
    </w:p>
    <w:tbl>
      <w:tblPr>
        <w:tblLayout w:type="fixed"/>
        <w:tblInd w:w="1460" w:type="dxa"/>
        <w:tblCellMar>
          <w:top w:w="0" w:type="dxa"/>
          <w:left w:w="0" w:type="dxa"/>
          <w:bottom w:w="0" w:type="dxa"/>
          <w:right w:w="0" w:type="dxa"/>
        </w:tblCellMar>
      </w:tblPr>
      <w:tr>
        <w:trPr>
          <w:trHeight w:val="292"/>
        </w:trPr>
        <w:tc>
          <w:tcPr>
            <w:tcW w:w="3260" w:type="dxa"/>
            <w:vAlign w:val="bottom"/>
            <w:vMerge w:val="restart"/>
          </w:tcPr>
          <w:p>
            <w:pPr>
              <w:spacing w:after="0"/>
              <w:rPr>
                <w:sz w:val="20"/>
                <w:szCs w:val="20"/>
                <w:color w:val="auto"/>
              </w:rPr>
            </w:pPr>
            <w:r>
              <w:rPr>
                <w:rFonts w:ascii="Arial" w:cs="Arial" w:eastAsia="Arial" w:hAnsi="Arial"/>
                <w:sz w:val="25"/>
                <w:szCs w:val="25"/>
                <w:b w:val="1"/>
                <w:bCs w:val="1"/>
                <w:color w:val="FFFFFF"/>
              </w:rPr>
              <w:t>Revenue by Segment</w:t>
            </w:r>
          </w:p>
        </w:tc>
        <w:tc>
          <w:tcPr>
            <w:tcW w:w="5200" w:type="dxa"/>
            <w:vAlign w:val="bottom"/>
          </w:tcPr>
          <w:p>
            <w:pPr>
              <w:jc w:val="center"/>
              <w:ind w:left="936"/>
              <w:spacing w:after="0"/>
              <w:rPr>
                <w:sz w:val="20"/>
                <w:szCs w:val="20"/>
                <w:color w:val="auto"/>
              </w:rPr>
            </w:pPr>
            <w:r>
              <w:rPr>
                <w:rFonts w:ascii="Arial" w:cs="Arial" w:eastAsia="Arial" w:hAnsi="Arial"/>
                <w:sz w:val="25"/>
                <w:szCs w:val="25"/>
                <w:b w:val="1"/>
                <w:bCs w:val="1"/>
                <w:color w:val="FFFFFF"/>
                <w:w w:val="90"/>
              </w:rPr>
              <w:t>Operating Income Before Depreciation</w:t>
            </w:r>
          </w:p>
        </w:tc>
        <w:tc>
          <w:tcPr>
            <w:tcW w:w="0" w:type="dxa"/>
            <w:vAlign w:val="bottom"/>
          </w:tcPr>
          <w:p>
            <w:pPr>
              <w:spacing w:after="0"/>
              <w:rPr>
                <w:sz w:val="1"/>
                <w:szCs w:val="1"/>
                <w:color w:val="auto"/>
              </w:rPr>
            </w:pPr>
          </w:p>
        </w:tc>
      </w:tr>
      <w:tr>
        <w:trPr>
          <w:trHeight w:val="195"/>
        </w:trPr>
        <w:tc>
          <w:tcPr>
            <w:tcW w:w="3260" w:type="dxa"/>
            <w:vAlign w:val="bottom"/>
            <w:vMerge w:val="continue"/>
          </w:tcPr>
          <w:p>
            <w:pPr>
              <w:spacing w:after="0"/>
              <w:rPr>
                <w:sz w:val="16"/>
                <w:szCs w:val="16"/>
                <w:color w:val="auto"/>
              </w:rPr>
            </w:pPr>
          </w:p>
        </w:tc>
        <w:tc>
          <w:tcPr>
            <w:tcW w:w="5200" w:type="dxa"/>
            <w:vAlign w:val="bottom"/>
            <w:vMerge w:val="restart"/>
          </w:tcPr>
          <w:p>
            <w:pPr>
              <w:jc w:val="center"/>
              <w:ind w:left="936"/>
              <w:spacing w:after="0"/>
              <w:rPr>
                <w:sz w:val="20"/>
                <w:szCs w:val="20"/>
                <w:color w:val="auto"/>
              </w:rPr>
            </w:pPr>
            <w:r>
              <w:rPr>
                <w:rFonts w:ascii="Arial" w:cs="Arial" w:eastAsia="Arial" w:hAnsi="Arial"/>
                <w:sz w:val="25"/>
                <w:szCs w:val="25"/>
                <w:b w:val="1"/>
                <w:bCs w:val="1"/>
                <w:color w:val="FFFFFF"/>
                <w:w w:val="93"/>
              </w:rPr>
              <w:t>&amp; Amortization (OIBDA) by Segment</w:t>
            </w:r>
          </w:p>
        </w:tc>
        <w:tc>
          <w:tcPr>
            <w:tcW w:w="0" w:type="dxa"/>
            <w:vAlign w:val="bottom"/>
          </w:tcPr>
          <w:p>
            <w:pPr>
              <w:spacing w:after="0"/>
              <w:rPr>
                <w:sz w:val="1"/>
                <w:szCs w:val="1"/>
                <w:color w:val="auto"/>
              </w:rPr>
            </w:pPr>
          </w:p>
        </w:tc>
      </w:tr>
      <w:tr>
        <w:trPr>
          <w:trHeight w:val="128"/>
        </w:trPr>
        <w:tc>
          <w:tcPr>
            <w:tcW w:w="3260" w:type="dxa"/>
            <w:vAlign w:val="bottom"/>
          </w:tcPr>
          <w:p>
            <w:pPr>
              <w:spacing w:after="0"/>
              <w:rPr>
                <w:sz w:val="11"/>
                <w:szCs w:val="11"/>
                <w:color w:val="auto"/>
              </w:rPr>
            </w:pPr>
          </w:p>
        </w:tc>
        <w:tc>
          <w:tcPr>
            <w:tcW w:w="5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Total External Revenues = $162.0 million</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00"/>
          </w:cols>
          <w:pgMar w:left="800" w:top="956" w:right="899" w:bottom="1440" w:gutter="0" w:footer="0" w:header="0"/>
        </w:sectPr>
      </w:pPr>
    </w:p>
    <w:bookmarkStart w:id="9" w:name="page10"/>
    <w:bookmarkEnd w:id="9"/>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80"/>
        <w:spacing w:after="0"/>
        <w:rPr>
          <w:sz w:val="20"/>
          <w:szCs w:val="20"/>
          <w:color w:val="auto"/>
        </w:rPr>
      </w:pPr>
      <w:r>
        <w:rPr>
          <w:rFonts w:ascii="Arial" w:cs="Arial" w:eastAsia="Arial" w:hAnsi="Arial"/>
          <w:sz w:val="34"/>
          <w:szCs w:val="34"/>
          <w:color w:val="auto"/>
        </w:rPr>
        <w:t>Introduction and Shentel Overview</w:t>
      </w:r>
    </w:p>
    <w:p>
      <w:pPr>
        <w:spacing w:after="0" w:line="200" w:lineRule="exact"/>
        <w:rPr>
          <w:sz w:val="20"/>
          <w:szCs w:val="20"/>
          <w:color w:val="auto"/>
        </w:rPr>
      </w:pPr>
    </w:p>
    <w:p>
      <w:pPr>
        <w:spacing w:after="0" w:line="225" w:lineRule="exact"/>
        <w:rPr>
          <w:sz w:val="20"/>
          <w:szCs w:val="20"/>
          <w:color w:val="auto"/>
        </w:rPr>
      </w:pPr>
    </w:p>
    <w:p>
      <w:pPr>
        <w:ind w:left="380"/>
        <w:spacing w:after="0"/>
        <w:rPr>
          <w:sz w:val="20"/>
          <w:szCs w:val="20"/>
          <w:color w:val="auto"/>
        </w:rPr>
      </w:pPr>
      <w:r>
        <w:rPr>
          <w:rFonts w:ascii="Arial" w:cs="Arial" w:eastAsia="Arial" w:hAnsi="Arial"/>
          <w:sz w:val="34"/>
          <w:szCs w:val="34"/>
          <w:color w:val="840039"/>
        </w:rPr>
        <w:t>Overview of Wireless</w:t>
      </w:r>
    </w:p>
    <w:p>
      <w:pPr>
        <w:spacing w:after="0" w:line="200" w:lineRule="exact"/>
        <w:rPr>
          <w:sz w:val="20"/>
          <w:szCs w:val="20"/>
          <w:color w:val="auto"/>
        </w:rPr>
      </w:pPr>
    </w:p>
    <w:p>
      <w:pPr>
        <w:spacing w:after="0" w:line="237" w:lineRule="exact"/>
        <w:rPr>
          <w:sz w:val="20"/>
          <w:szCs w:val="20"/>
          <w:color w:val="auto"/>
        </w:rPr>
      </w:pPr>
    </w:p>
    <w:p>
      <w:pPr>
        <w:ind w:left="380"/>
        <w:spacing w:after="0"/>
        <w:rPr>
          <w:sz w:val="20"/>
          <w:szCs w:val="20"/>
          <w:color w:val="auto"/>
        </w:rPr>
      </w:pPr>
      <w:r>
        <w:rPr>
          <w:rFonts w:ascii="Arial" w:cs="Arial" w:eastAsia="Arial" w:hAnsi="Arial"/>
          <w:sz w:val="34"/>
          <w:szCs w:val="34"/>
          <w:color w:val="auto"/>
        </w:rPr>
        <w:t>Overview of Cable</w:t>
      </w:r>
    </w:p>
    <w:p>
      <w:pPr>
        <w:spacing w:after="0" w:line="200" w:lineRule="exact"/>
        <w:rPr>
          <w:sz w:val="20"/>
          <w:szCs w:val="20"/>
          <w:color w:val="auto"/>
        </w:rPr>
      </w:pPr>
    </w:p>
    <w:p>
      <w:pPr>
        <w:spacing w:after="0" w:line="225" w:lineRule="exact"/>
        <w:rPr>
          <w:sz w:val="20"/>
          <w:szCs w:val="20"/>
          <w:color w:val="auto"/>
        </w:rPr>
      </w:pPr>
    </w:p>
    <w:p>
      <w:pPr>
        <w:ind w:left="380"/>
        <w:spacing w:after="0"/>
        <w:rPr>
          <w:sz w:val="20"/>
          <w:szCs w:val="20"/>
          <w:color w:val="auto"/>
        </w:rPr>
      </w:pPr>
      <w:r>
        <w:rPr>
          <w:rFonts w:ascii="Arial" w:cs="Arial" w:eastAsia="Arial" w:hAnsi="Arial"/>
          <w:sz w:val="34"/>
          <w:szCs w:val="34"/>
          <w:color w:val="auto"/>
        </w:rPr>
        <w:t>Overview of Wireline</w:t>
      </w:r>
    </w:p>
    <w:p>
      <w:pPr>
        <w:spacing w:after="0" w:line="200" w:lineRule="exact"/>
        <w:rPr>
          <w:sz w:val="20"/>
          <w:szCs w:val="20"/>
          <w:color w:val="auto"/>
        </w:rPr>
      </w:pPr>
    </w:p>
    <w:p>
      <w:pPr>
        <w:spacing w:after="0" w:line="237" w:lineRule="exact"/>
        <w:rPr>
          <w:sz w:val="20"/>
          <w:szCs w:val="20"/>
          <w:color w:val="auto"/>
        </w:rPr>
      </w:pPr>
    </w:p>
    <w:p>
      <w:pPr>
        <w:ind w:left="380"/>
        <w:spacing w:after="0"/>
        <w:rPr>
          <w:sz w:val="20"/>
          <w:szCs w:val="20"/>
          <w:color w:val="auto"/>
        </w:rPr>
      </w:pPr>
      <w:r>
        <w:rPr>
          <w:rFonts w:ascii="Arial" w:cs="Arial" w:eastAsia="Arial" w:hAnsi="Arial"/>
          <w:sz w:val="34"/>
          <w:szCs w:val="34"/>
          <w:color w:val="auto"/>
        </w:rPr>
        <w:t>Financials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00"/>
          </w:cols>
          <w:pgMar w:left="800" w:top="968" w:right="899" w:bottom="1440" w:gutter="0" w:footer="0" w:header="0"/>
        </w:sectPr>
      </w:pPr>
    </w:p>
    <w:bookmarkStart w:id="10" w:name="page11"/>
    <w:bookmarkEnd w:id="10"/>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PCS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26"/>
          <w:szCs w:val="26"/>
          <w:color w:val="840039"/>
        </w:rPr>
        <w:t>n</w:t>
      </w:r>
      <w:r>
        <w:rPr>
          <w:rFonts w:ascii="Arial" w:cs="Arial" w:eastAsia="Arial" w:hAnsi="Arial"/>
          <w:sz w:val="26"/>
          <w:szCs w:val="26"/>
          <w:color w:val="auto"/>
        </w:rPr>
        <w:tab/>
        <w:t>Only remaining public Sprint</w:t>
      </w:r>
    </w:p>
    <w:p>
      <w:pPr>
        <w:spacing w:after="0" w:line="36" w:lineRule="exact"/>
        <w:rPr>
          <w:sz w:val="20"/>
          <w:szCs w:val="20"/>
          <w:color w:val="auto"/>
        </w:rPr>
      </w:pPr>
    </w:p>
    <w:p>
      <w:pPr>
        <w:ind w:left="6300"/>
        <w:spacing w:after="0"/>
        <w:rPr>
          <w:sz w:val="20"/>
          <w:szCs w:val="20"/>
          <w:color w:val="auto"/>
        </w:rPr>
      </w:pPr>
      <w:r>
        <w:rPr>
          <w:rFonts w:ascii="Arial" w:cs="Arial" w:eastAsia="Arial" w:hAnsi="Arial"/>
          <w:sz w:val="26"/>
          <w:szCs w:val="26"/>
          <w:color w:val="auto"/>
        </w:rPr>
        <w:t>Nextel affiliate</w:t>
      </w:r>
    </w:p>
    <w:p>
      <w:pPr>
        <w:spacing w:after="0" w:line="112"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26"/>
          <w:szCs w:val="26"/>
          <w:color w:val="840039"/>
        </w:rPr>
        <w:t>n</w:t>
      </w:r>
      <w:r>
        <w:rPr>
          <w:rFonts w:ascii="Arial" w:cs="Arial" w:eastAsia="Arial" w:hAnsi="Arial"/>
          <w:sz w:val="26"/>
          <w:szCs w:val="26"/>
          <w:color w:val="auto"/>
        </w:rPr>
        <w:tab/>
        <w:t>2.4 million licensed POPs</w:t>
      </w:r>
    </w:p>
    <w:p>
      <w:pPr>
        <w:spacing w:after="0" w:line="144"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26"/>
          <w:szCs w:val="26"/>
          <w:color w:val="840039"/>
        </w:rPr>
        <w:t>n</w:t>
      </w:r>
      <w:r>
        <w:rPr>
          <w:rFonts w:ascii="Arial" w:cs="Arial" w:eastAsia="Arial" w:hAnsi="Arial"/>
          <w:sz w:val="26"/>
          <w:szCs w:val="26"/>
          <w:color w:val="auto"/>
        </w:rPr>
        <w:tab/>
        <w:t>2.1 million covered POPs</w:t>
      </w:r>
    </w:p>
    <w:p>
      <w:pPr>
        <w:spacing w:after="0" w:line="156"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26"/>
          <w:szCs w:val="26"/>
          <w:color w:val="840039"/>
        </w:rPr>
        <w:t>n</w:t>
      </w:r>
      <w:r>
        <w:rPr>
          <w:rFonts w:ascii="Arial" w:cs="Arial" w:eastAsia="Arial" w:hAnsi="Arial"/>
          <w:sz w:val="26"/>
          <w:szCs w:val="26"/>
          <w:color w:val="auto"/>
        </w:rPr>
        <w:tab/>
        <w:t>225k total subscribers</w:t>
      </w:r>
    </w:p>
    <w:p>
      <w:pPr>
        <w:spacing w:after="0" w:line="76" w:lineRule="exact"/>
        <w:rPr>
          <w:sz w:val="20"/>
          <w:szCs w:val="20"/>
          <w:color w:val="auto"/>
        </w:rPr>
      </w:pPr>
    </w:p>
    <w:p>
      <w:pPr>
        <w:ind w:left="6300"/>
        <w:spacing w:after="0"/>
        <w:tabs>
          <w:tab w:leader="none" w:pos="6700" w:val="left"/>
        </w:tabs>
        <w:rPr>
          <w:sz w:val="20"/>
          <w:szCs w:val="20"/>
          <w:color w:val="auto"/>
        </w:rPr>
      </w:pPr>
      <w:r>
        <w:rPr>
          <w:rFonts w:ascii="Arial" w:cs="Arial" w:eastAsia="Arial" w:hAnsi="Arial"/>
          <w:sz w:val="20"/>
          <w:szCs w:val="20"/>
          <w:color w:val="C0C0C0"/>
        </w:rPr>
        <w:t>u</w:t>
      </w:r>
      <w:r>
        <w:rPr>
          <w:sz w:val="20"/>
          <w:szCs w:val="20"/>
          <w:color w:val="auto"/>
        </w:rPr>
        <w:tab/>
      </w:r>
      <w:r>
        <w:rPr>
          <w:rFonts w:ascii="Arial" w:cs="Arial" w:eastAsia="Arial" w:hAnsi="Arial"/>
          <w:sz w:val="25"/>
          <w:szCs w:val="25"/>
          <w:color w:val="auto"/>
        </w:rPr>
        <w:t>11% penetration of covered</w:t>
      </w:r>
    </w:p>
    <w:p>
      <w:pPr>
        <w:spacing w:after="0" w:line="26" w:lineRule="exact"/>
        <w:rPr>
          <w:sz w:val="20"/>
          <w:szCs w:val="20"/>
          <w:color w:val="auto"/>
        </w:rPr>
      </w:pPr>
    </w:p>
    <w:p>
      <w:pPr>
        <w:ind w:left="6800"/>
        <w:spacing w:after="0"/>
        <w:rPr>
          <w:sz w:val="20"/>
          <w:szCs w:val="20"/>
          <w:color w:val="auto"/>
        </w:rPr>
      </w:pPr>
      <w:r>
        <w:rPr>
          <w:rFonts w:ascii="Arial" w:cs="Arial" w:eastAsia="Arial" w:hAnsi="Arial"/>
          <w:sz w:val="25"/>
          <w:szCs w:val="25"/>
          <w:color w:val="auto"/>
        </w:rPr>
        <w:t>POPs</w:t>
      </w:r>
    </w:p>
    <w:p>
      <w:pPr>
        <w:spacing w:after="0" w:line="120"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26"/>
          <w:szCs w:val="26"/>
          <w:color w:val="840039"/>
        </w:rPr>
        <w:t>n</w:t>
      </w:r>
      <w:r>
        <w:rPr>
          <w:rFonts w:ascii="Arial" w:cs="Arial" w:eastAsia="Arial" w:hAnsi="Arial"/>
          <w:sz w:val="26"/>
          <w:szCs w:val="26"/>
          <w:color w:val="auto"/>
        </w:rPr>
        <w:tab/>
        <w:t>481 CDMA base stations</w:t>
      </w:r>
    </w:p>
    <w:p>
      <w:pPr>
        <w:spacing w:after="0" w:line="144"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26"/>
          <w:szCs w:val="26"/>
          <w:color w:val="840039"/>
        </w:rPr>
        <w:t>n</w:t>
      </w:r>
      <w:r>
        <w:rPr>
          <w:rFonts w:ascii="Arial" w:cs="Arial" w:eastAsia="Arial" w:hAnsi="Arial"/>
          <w:sz w:val="26"/>
          <w:szCs w:val="26"/>
          <w:color w:val="auto"/>
        </w:rPr>
        <w:tab/>
        <w:t>340 EVDO enabled cell sites</w:t>
      </w:r>
    </w:p>
    <w:p>
      <w:pPr>
        <w:spacing w:after="0" w:line="86" w:lineRule="exact"/>
        <w:rPr>
          <w:sz w:val="20"/>
          <w:szCs w:val="20"/>
          <w:color w:val="auto"/>
        </w:rPr>
      </w:pPr>
    </w:p>
    <w:p>
      <w:pPr>
        <w:ind w:left="6300"/>
        <w:spacing w:after="0"/>
        <w:tabs>
          <w:tab w:leader="none" w:pos="6680" w:val="left"/>
        </w:tabs>
        <w:rPr>
          <w:sz w:val="20"/>
          <w:szCs w:val="20"/>
          <w:color w:val="auto"/>
        </w:rPr>
      </w:pPr>
      <w:r>
        <w:rPr>
          <w:rFonts w:ascii="Arial" w:cs="Arial" w:eastAsia="Arial" w:hAnsi="Arial"/>
          <w:sz w:val="21"/>
          <w:szCs w:val="21"/>
          <w:color w:val="C0C0C0"/>
        </w:rPr>
        <w:t>u</w:t>
      </w:r>
      <w:r>
        <w:rPr>
          <w:sz w:val="20"/>
          <w:szCs w:val="20"/>
          <w:color w:val="auto"/>
        </w:rPr>
        <w:tab/>
      </w:r>
      <w:r>
        <w:rPr>
          <w:rFonts w:ascii="Arial" w:cs="Arial" w:eastAsia="Arial" w:hAnsi="Arial"/>
          <w:sz w:val="26"/>
          <w:szCs w:val="26"/>
          <w:color w:val="auto"/>
        </w:rPr>
        <w:t>96% EVDO covered POPs</w:t>
      </w:r>
    </w:p>
    <w:p>
      <w:pPr>
        <w:spacing w:after="0" w:line="144"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26"/>
          <w:szCs w:val="26"/>
          <w:color w:val="840039"/>
        </w:rPr>
        <w:t>n</w:t>
      </w:r>
      <w:r>
        <w:rPr>
          <w:rFonts w:ascii="Arial" w:cs="Arial" w:eastAsia="Arial" w:hAnsi="Arial"/>
          <w:sz w:val="26"/>
          <w:szCs w:val="26"/>
          <w:color w:val="auto"/>
        </w:rPr>
        <w:tab/>
        <w:t>$41,000 Estimated Average</w:t>
      </w:r>
    </w:p>
    <w:p>
      <w:pPr>
        <w:spacing w:after="0" w:line="36" w:lineRule="exact"/>
        <w:rPr>
          <w:sz w:val="20"/>
          <w:szCs w:val="20"/>
          <w:color w:val="auto"/>
        </w:rPr>
      </w:pPr>
    </w:p>
    <w:p>
      <w:pPr>
        <w:ind w:left="6300"/>
        <w:spacing w:after="0"/>
        <w:rPr>
          <w:sz w:val="20"/>
          <w:szCs w:val="20"/>
          <w:color w:val="auto"/>
        </w:rPr>
      </w:pPr>
      <w:r>
        <w:rPr>
          <w:rFonts w:ascii="Arial" w:cs="Arial" w:eastAsia="Arial" w:hAnsi="Arial"/>
          <w:sz w:val="26"/>
          <w:szCs w:val="26"/>
          <w:color w:val="auto"/>
        </w:rPr>
        <w:t>household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381635</wp:posOffset>
            </wp:positionV>
            <wp:extent cx="727075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180"/>
          </w:cols>
          <w:pgMar w:left="820" w:top="968" w:right="899" w:bottom="1440" w:gutter="0" w:footer="0" w:header="0"/>
        </w:sectPr>
      </w:pPr>
    </w:p>
    <w:bookmarkStart w:id="11" w:name="page12"/>
    <w:bookmarkEnd w:id="11"/>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Profile of the Sprint Nextel Relationship</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 w:hanging="331"/>
        <w:spacing w:after="0"/>
        <w:tabs>
          <w:tab w:leader="none" w:pos="540" w:val="left"/>
        </w:tabs>
        <w:numPr>
          <w:ilvl w:val="0"/>
          <w:numId w:val="9"/>
        </w:numPr>
        <w:rPr>
          <w:rFonts w:ascii="Arial" w:cs="Arial" w:eastAsia="Arial" w:hAnsi="Arial"/>
          <w:sz w:val="34"/>
          <w:szCs w:val="34"/>
          <w:color w:val="auto"/>
        </w:rPr>
      </w:pPr>
      <w:r>
        <w:rPr>
          <w:rFonts w:ascii="Arial" w:cs="Arial" w:eastAsia="Arial" w:hAnsi="Arial"/>
          <w:sz w:val="34"/>
          <w:szCs w:val="34"/>
          <w:color w:val="auto"/>
        </w:rPr>
        <w:t>Current contract through 2019 with two 10 year extensions</w:t>
      </w:r>
    </w:p>
    <w:p>
      <w:pPr>
        <w:ind w:left="1320" w:right="1400" w:hanging="1111"/>
        <w:spacing w:after="0" w:line="229" w:lineRule="auto"/>
        <w:tabs>
          <w:tab w:leader="none" w:pos="530" w:val="left"/>
        </w:tabs>
        <w:numPr>
          <w:ilvl w:val="0"/>
          <w:numId w:val="9"/>
        </w:numPr>
        <w:rPr>
          <w:rFonts w:ascii="Arial" w:cs="Arial" w:eastAsia="Arial" w:hAnsi="Arial"/>
          <w:sz w:val="34"/>
          <w:szCs w:val="34"/>
          <w:color w:val="auto"/>
        </w:rPr>
      </w:pPr>
      <w:r>
        <w:rPr>
          <w:rFonts w:ascii="Arial" w:cs="Arial" w:eastAsia="Arial" w:hAnsi="Arial"/>
          <w:sz w:val="34"/>
          <w:szCs w:val="34"/>
          <w:color w:val="auto"/>
        </w:rPr>
        <w:t>Upon expiration of contract - Shentel compensated based on enterprise value</w:t>
      </w:r>
    </w:p>
    <w:p>
      <w:pPr>
        <w:ind w:left="1320" w:right="1780" w:hanging="1111"/>
        <w:spacing w:after="0" w:line="221" w:lineRule="auto"/>
        <w:tabs>
          <w:tab w:leader="none" w:pos="530" w:val="left"/>
        </w:tabs>
        <w:numPr>
          <w:ilvl w:val="0"/>
          <w:numId w:val="9"/>
        </w:numPr>
        <w:rPr>
          <w:rFonts w:ascii="Arial" w:cs="Arial" w:eastAsia="Arial" w:hAnsi="Arial"/>
          <w:sz w:val="34"/>
          <w:szCs w:val="34"/>
          <w:color w:val="auto"/>
        </w:rPr>
      </w:pPr>
      <w:r>
        <w:rPr>
          <w:rFonts w:ascii="Arial" w:cs="Arial" w:eastAsia="Arial" w:hAnsi="Arial"/>
          <w:sz w:val="34"/>
          <w:szCs w:val="34"/>
          <w:color w:val="auto"/>
        </w:rPr>
        <w:t>Settlement simplification in place through contract unless amended by both parties</w:t>
      </w:r>
    </w:p>
    <w:p>
      <w:pPr>
        <w:spacing w:after="0" w:line="3" w:lineRule="exact"/>
        <w:rPr>
          <w:rFonts w:ascii="Arial" w:cs="Arial" w:eastAsia="Arial" w:hAnsi="Arial"/>
          <w:sz w:val="34"/>
          <w:szCs w:val="34"/>
          <w:color w:val="auto"/>
        </w:rPr>
      </w:pPr>
    </w:p>
    <w:p>
      <w:pPr>
        <w:ind w:left="1320"/>
        <w:spacing w:after="0" w:line="229" w:lineRule="auto"/>
        <w:rPr>
          <w:rFonts w:ascii="Arial" w:cs="Arial" w:eastAsia="Arial" w:hAnsi="Arial"/>
          <w:sz w:val="34"/>
          <w:szCs w:val="34"/>
          <w:color w:val="auto"/>
        </w:rPr>
      </w:pPr>
      <w:r>
        <w:rPr>
          <w:rFonts w:ascii="Arial" w:cs="Arial" w:eastAsia="Arial" w:hAnsi="Arial"/>
          <w:sz w:val="34"/>
          <w:szCs w:val="34"/>
          <w:color w:val="auto"/>
        </w:rPr>
        <w:t>Ø8% of Revenue - Spectrum, Brand, National Platform</w:t>
      </w:r>
    </w:p>
    <w:p>
      <w:pPr>
        <w:ind w:left="2080" w:hanging="192"/>
        <w:spacing w:after="0" w:line="229" w:lineRule="auto"/>
        <w:tabs>
          <w:tab w:leader="none" w:pos="2080" w:val="left"/>
        </w:tabs>
        <w:numPr>
          <w:ilvl w:val="1"/>
          <w:numId w:val="9"/>
        </w:numPr>
        <w:rPr>
          <w:rFonts w:ascii="Arial" w:cs="Arial" w:eastAsia="Arial" w:hAnsi="Arial"/>
          <w:sz w:val="34"/>
          <w:szCs w:val="34"/>
          <w:color w:val="auto"/>
        </w:rPr>
      </w:pPr>
      <w:r>
        <w:rPr>
          <w:rFonts w:ascii="Arial" w:cs="Arial" w:eastAsia="Arial" w:hAnsi="Arial"/>
          <w:sz w:val="34"/>
          <w:szCs w:val="34"/>
          <w:color w:val="auto"/>
        </w:rPr>
        <w:t>Fixed for life of contract</w:t>
      </w:r>
    </w:p>
    <w:p>
      <w:pPr>
        <w:ind w:left="2440" w:right="1460" w:hanging="1119"/>
        <w:spacing w:after="0" w:line="239" w:lineRule="auto"/>
        <w:rPr>
          <w:sz w:val="20"/>
          <w:szCs w:val="20"/>
          <w:color w:val="auto"/>
        </w:rPr>
      </w:pPr>
      <w:r>
        <w:rPr>
          <w:rFonts w:ascii="Arial" w:cs="Arial" w:eastAsia="Arial" w:hAnsi="Arial"/>
          <w:sz w:val="32"/>
          <w:szCs w:val="32"/>
          <w:color w:val="auto"/>
        </w:rPr>
        <w:t>Ø8.8% of revenue - all other settlement items (billing, customer care, long distance, travel)</w:t>
      </w:r>
    </w:p>
    <w:p>
      <w:pPr>
        <w:jc w:val="center"/>
        <w:ind w:right="200"/>
        <w:spacing w:after="0" w:line="234" w:lineRule="auto"/>
        <w:rPr>
          <w:sz w:val="20"/>
          <w:szCs w:val="20"/>
          <w:color w:val="auto"/>
        </w:rPr>
      </w:pPr>
      <w:r>
        <w:rPr>
          <w:rFonts w:ascii="Arial" w:cs="Arial" w:eastAsia="Arial" w:hAnsi="Arial"/>
          <w:sz w:val="34"/>
          <w:szCs w:val="34"/>
          <w:color w:val="auto"/>
        </w:rPr>
        <w:t>-Can change annually with maximum of 12%</w:t>
      </w:r>
    </w:p>
    <w:p>
      <w:pPr>
        <w:spacing w:after="0" w:line="1" w:lineRule="exact"/>
        <w:rPr>
          <w:sz w:val="20"/>
          <w:szCs w:val="20"/>
          <w:color w:val="auto"/>
        </w:rPr>
      </w:pPr>
    </w:p>
    <w:p>
      <w:pPr>
        <w:ind w:left="1320" w:right="2640" w:hanging="1111"/>
        <w:spacing w:after="0" w:line="227" w:lineRule="auto"/>
        <w:tabs>
          <w:tab w:leader="none" w:pos="530" w:val="left"/>
        </w:tabs>
        <w:numPr>
          <w:ilvl w:val="0"/>
          <w:numId w:val="10"/>
        </w:numPr>
        <w:rPr>
          <w:rFonts w:ascii="Arial" w:cs="Arial" w:eastAsia="Arial" w:hAnsi="Arial"/>
          <w:sz w:val="34"/>
          <w:szCs w:val="34"/>
          <w:color w:val="auto"/>
        </w:rPr>
      </w:pPr>
      <w:r>
        <w:rPr>
          <w:rFonts w:ascii="Arial" w:cs="Arial" w:eastAsia="Arial" w:hAnsi="Arial"/>
          <w:sz w:val="34"/>
          <w:szCs w:val="34"/>
          <w:color w:val="auto"/>
        </w:rPr>
        <w:t>Launched 4G in York &amp; Harrisburg, PA, May 2010 ØWholesale Clearwire Service</w:t>
      </w:r>
    </w:p>
    <w:p>
      <w:pPr>
        <w:ind w:left="1320" w:right="1200" w:hanging="1111"/>
        <w:spacing w:after="0" w:line="235" w:lineRule="auto"/>
        <w:tabs>
          <w:tab w:leader="none" w:pos="530" w:val="left"/>
        </w:tabs>
        <w:numPr>
          <w:ilvl w:val="0"/>
          <w:numId w:val="10"/>
        </w:numPr>
        <w:rPr>
          <w:rFonts w:ascii="Arial" w:cs="Arial" w:eastAsia="Arial" w:hAnsi="Arial"/>
          <w:sz w:val="34"/>
          <w:szCs w:val="34"/>
          <w:color w:val="auto"/>
        </w:rPr>
      </w:pPr>
      <w:r>
        <w:rPr>
          <w:rFonts w:ascii="Arial" w:cs="Arial" w:eastAsia="Arial" w:hAnsi="Arial"/>
          <w:sz w:val="34"/>
          <w:szCs w:val="34"/>
          <w:color w:val="auto"/>
        </w:rPr>
        <w:t>Plan to be able to offer all CDMA prepaid offerings by end of Q2 2010</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00"/>
          </w:cols>
          <w:pgMar w:left="800" w:top="968" w:right="899" w:bottom="1440" w:gutter="0" w:footer="0" w:header="0"/>
        </w:sectPr>
      </w:pPr>
    </w:p>
    <w:bookmarkStart w:id="12" w:name="page13"/>
    <w:bookmarkEnd w:id="12"/>
    <w:p>
      <w:pPr>
        <w:spacing w:after="0"/>
        <w:rPr>
          <w:sz w:val="20"/>
          <w:szCs w:val="20"/>
          <w:color w:val="auto"/>
        </w:rPr>
      </w:pPr>
      <w:r>
        <w:rPr>
          <w:rFonts w:ascii="Arial" w:cs="Arial" w:eastAsia="Arial" w:hAnsi="Arial"/>
          <w:sz w:val="46"/>
          <w:szCs w:val="46"/>
          <w:b w:val="1"/>
          <w:bCs w:val="1"/>
          <w:color w:val="auto"/>
        </w:rPr>
        <w:t>Key Operational Metrics - PCS</w:t>
      </w:r>
    </w:p>
    <w:p>
      <w:pPr>
        <w:spacing w:after="0" w:line="22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Periods Ending</w:t>
      </w:r>
    </w:p>
    <w:p>
      <w:pPr>
        <w:sectPr>
          <w:pgSz w:w="11900" w:h="16838" w:orient="portrait"/>
          <w:cols w:equalWidth="0" w:num="1">
            <w:col w:w="10280"/>
          </w:cols>
          <w:pgMar w:left="800" w:top="956" w:right="819" w:bottom="1440" w:gutter="0" w:footer="0" w:header="0"/>
        </w:sectPr>
      </w:pPr>
    </w:p>
    <w:p>
      <w:pPr>
        <w:spacing w:after="0" w:line="24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FFFFFF"/>
        </w:rPr>
        <w:t>Retail Subscribers (000s)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Number of Cell Sites</w:t>
      </w:r>
    </w:p>
    <w:p>
      <w:pPr>
        <w:spacing w:after="0" w:line="170" w:lineRule="exact"/>
        <w:rPr>
          <w:sz w:val="20"/>
          <w:szCs w:val="20"/>
          <w:color w:val="auto"/>
        </w:rPr>
      </w:pPr>
    </w:p>
    <w:p>
      <w:pPr>
        <w:sectPr>
          <w:pgSz w:w="11900" w:h="16838" w:orient="portrait"/>
          <w:cols w:equalWidth="0" w:num="2">
            <w:col w:w="5880" w:space="720"/>
            <w:col w:w="3680"/>
          </w:cols>
          <w:pgMar w:left="800" w:top="956" w:right="819" w:bottom="1440" w:gutter="0" w:footer="0" w:header="0"/>
          <w:type w:val="continuous"/>
        </w:sectPr>
      </w:pPr>
    </w:p>
    <w:p>
      <w:pPr>
        <w:spacing w:after="0" w:line="11"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EVDO Sites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Non-EVDO Sites</w:t>
      </w:r>
    </w:p>
    <w:p>
      <w:pPr>
        <w:spacing w:after="0" w:line="211" w:lineRule="exact"/>
        <w:rPr>
          <w:sz w:val="20"/>
          <w:szCs w:val="20"/>
          <w:color w:val="auto"/>
        </w:rPr>
      </w:pPr>
    </w:p>
    <w:p>
      <w:pPr>
        <w:sectPr>
          <w:pgSz w:w="11900" w:h="16838" w:orient="portrait"/>
          <w:cols w:equalWidth="0" w:num="2">
            <w:col w:w="6840" w:space="540"/>
            <w:col w:w="2900"/>
          </w:cols>
          <w:pgMar w:left="800" w:top="956"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FFFFFF"/>
        </w:rPr>
        <w:t>Churn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56" w:right="8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Attractive Service Revenue Growth - PCS</w:t>
      </w:r>
    </w:p>
    <w:p>
      <w:pPr>
        <w:spacing w:after="0" w:line="1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Ending</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FFFFFF"/>
        </w:rPr>
        <w:t>Gross Billed PCS Revenue ($ millions)</w:t>
      </w:r>
      <w:r>
        <w:rPr>
          <w:rFonts w:ascii="Arial" w:cs="Arial" w:eastAsia="Arial" w:hAnsi="Arial"/>
          <w:sz w:val="34"/>
          <w:szCs w:val="34"/>
          <w:b w:val="1"/>
          <w:bCs w:val="1"/>
          <w:color w:val="FFFFFF"/>
          <w:vertAlign w:val="superscript"/>
        </w:rPr>
        <w:t>1</w:t>
      </w:r>
    </w:p>
    <w:p>
      <w:pPr>
        <w:spacing w:after="0" w:line="104" w:lineRule="exact"/>
        <w:rPr>
          <w:sz w:val="20"/>
          <w:szCs w:val="20"/>
          <w:color w:val="auto"/>
        </w:rPr>
      </w:pPr>
    </w:p>
    <w:p>
      <w:pPr>
        <w:ind w:left="4040"/>
        <w:spacing w:after="0"/>
        <w:rPr>
          <w:sz w:val="20"/>
          <w:szCs w:val="20"/>
          <w:color w:val="auto"/>
        </w:rPr>
      </w:pPr>
      <w:r>
        <w:rPr>
          <w:rFonts w:ascii="Arial" w:cs="Arial" w:eastAsia="Arial" w:hAnsi="Arial"/>
          <w:sz w:val="31"/>
          <w:szCs w:val="31"/>
          <w:color w:val="auto"/>
        </w:rPr>
        <w:t>11 % CAGR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hanging="84"/>
        <w:spacing w:after="0"/>
        <w:tabs>
          <w:tab w:leader="none" w:pos="18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Before credits and fees</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381635</wp:posOffset>
            </wp:positionV>
            <wp:extent cx="727075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60"/>
          </w:cols>
          <w:pgMar w:left="820" w:top="968" w:right="819" w:bottom="1440" w:gutter="0" w:footer="0" w:header="0"/>
        </w:sectPr>
      </w:pPr>
    </w:p>
    <w:bookmarkStart w:id="14" w:name="page15"/>
    <w:bookmarkEnd w:id="14"/>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PCS Revenues</w:t>
      </w:r>
    </w:p>
    <w:p>
      <w:pPr>
        <w:spacing w:after="0" w:line="1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Ending</w:t>
      </w:r>
    </w:p>
    <w:p>
      <w:pPr>
        <w:spacing w:after="0" w:line="71" w:lineRule="exact"/>
        <w:rPr>
          <w:sz w:val="20"/>
          <w:szCs w:val="20"/>
          <w:color w:val="auto"/>
        </w:rPr>
      </w:pPr>
    </w:p>
    <w:p>
      <w:pPr>
        <w:ind w:left="3720"/>
        <w:spacing w:after="0"/>
        <w:rPr>
          <w:sz w:val="20"/>
          <w:szCs w:val="20"/>
          <w:color w:val="auto"/>
        </w:rPr>
      </w:pPr>
      <w:r>
        <w:rPr>
          <w:rFonts w:ascii="Arial" w:cs="Arial" w:eastAsia="Arial" w:hAnsi="Arial"/>
          <w:sz w:val="25"/>
          <w:szCs w:val="25"/>
          <w:b w:val="1"/>
          <w:bCs w:val="1"/>
          <w:color w:val="FFFFFF"/>
        </w:rPr>
        <w:t>Billed Revenue ($ millions)</w:t>
      </w:r>
    </w:p>
    <w:p>
      <w:pPr>
        <w:spacing w:after="0" w:line="337" w:lineRule="exact"/>
        <w:rPr>
          <w:sz w:val="20"/>
          <w:szCs w:val="20"/>
          <w:color w:val="auto"/>
        </w:rPr>
      </w:pPr>
    </w:p>
    <w:p>
      <w:pPr>
        <w:ind w:left="3780"/>
        <w:spacing w:after="0"/>
        <w:rPr>
          <w:sz w:val="20"/>
          <w:szCs w:val="20"/>
          <w:color w:val="auto"/>
        </w:rPr>
      </w:pPr>
      <w:r>
        <w:rPr>
          <w:rFonts w:ascii="Arial" w:cs="Arial" w:eastAsia="Arial" w:hAnsi="Arial"/>
          <w:sz w:val="25"/>
          <w:szCs w:val="25"/>
          <w:color w:val="auto"/>
        </w:rPr>
        <w:t>Up 5%</w:t>
      </w:r>
    </w:p>
    <w:p>
      <w:pPr>
        <w:spacing w:after="0" w:line="348" w:lineRule="exact"/>
        <w:rPr>
          <w:sz w:val="20"/>
          <w:szCs w:val="20"/>
          <w:color w:val="auto"/>
        </w:rPr>
      </w:pPr>
    </w:p>
    <w:p>
      <w:pPr>
        <w:ind w:left="7820"/>
        <w:spacing w:after="0"/>
        <w:rPr>
          <w:sz w:val="20"/>
          <w:szCs w:val="20"/>
          <w:color w:val="auto"/>
        </w:rPr>
      </w:pPr>
      <w:r>
        <w:rPr>
          <w:rFonts w:ascii="Arial" w:cs="Arial" w:eastAsia="Arial" w:hAnsi="Arial"/>
          <w:sz w:val="28"/>
          <w:szCs w:val="28"/>
          <w:color w:val="auto"/>
        </w:rPr>
        <w:t>Bad Debt</w:t>
      </w:r>
    </w:p>
    <w:p>
      <w:pPr>
        <w:spacing w:after="0" w:line="35" w:lineRule="exact"/>
        <w:rPr>
          <w:sz w:val="20"/>
          <w:szCs w:val="20"/>
          <w:color w:val="auto"/>
        </w:rPr>
      </w:pPr>
    </w:p>
    <w:p>
      <w:pPr>
        <w:ind w:left="7800"/>
        <w:spacing w:after="0"/>
        <w:rPr>
          <w:sz w:val="20"/>
          <w:szCs w:val="20"/>
          <w:color w:val="auto"/>
        </w:rPr>
      </w:pPr>
      <w:r>
        <w:rPr>
          <w:rFonts w:ascii="Arial" w:cs="Arial" w:eastAsia="Arial" w:hAnsi="Arial"/>
          <w:sz w:val="28"/>
          <w:szCs w:val="28"/>
          <w:color w:val="auto"/>
        </w:rPr>
        <w:t>Management Fee</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28"/>
          <w:szCs w:val="28"/>
          <w:color w:val="auto"/>
        </w:rPr>
        <w:t>Service Fee</w:t>
      </w:r>
    </w:p>
    <w:p>
      <w:pPr>
        <w:spacing w:after="0" w:line="11" w:lineRule="exact"/>
        <w:rPr>
          <w:sz w:val="20"/>
          <w:szCs w:val="20"/>
          <w:color w:val="auto"/>
        </w:rPr>
      </w:pPr>
    </w:p>
    <w:p>
      <w:pPr>
        <w:ind w:left="7800"/>
        <w:spacing w:after="0"/>
        <w:rPr>
          <w:sz w:val="20"/>
          <w:szCs w:val="20"/>
          <w:color w:val="auto"/>
        </w:rPr>
      </w:pPr>
      <w:r>
        <w:rPr>
          <w:rFonts w:ascii="Arial" w:cs="Arial" w:eastAsia="Arial" w:hAnsi="Arial"/>
          <w:sz w:val="28"/>
          <w:szCs w:val="28"/>
          <w:color w:val="auto"/>
        </w:rPr>
        <w:t>Service Credits</w:t>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28"/>
          <w:szCs w:val="28"/>
          <w:color w:val="auto"/>
        </w:rPr>
        <w:t>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68" w:right="819" w:bottom="1440" w:gutter="0" w:footer="0" w:header="0"/>
        </w:sectPr>
      </w:pPr>
    </w:p>
    <w:bookmarkStart w:id="15" w:name="page16"/>
    <w:bookmarkEnd w:id="15"/>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PCS Revenue per Subscriber</w:t>
      </w:r>
    </w:p>
    <w:p>
      <w:pPr>
        <w:spacing w:after="0" w:line="1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Period Ending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FFFF"/>
        </w:rPr>
        <w:t>Gross Billed Revenue per Subscriber</w:t>
      </w:r>
      <w:r>
        <w:rPr>
          <w:rFonts w:ascii="Arial" w:cs="Arial" w:eastAsia="Arial" w:hAnsi="Arial"/>
          <w:sz w:val="34"/>
          <w:szCs w:val="34"/>
          <w:b w:val="1"/>
          <w:bCs w:val="1"/>
          <w:color w:val="FFFFFF"/>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56" w:right="819" w:bottom="1440" w:gutter="0" w:footer="0" w:header="0"/>
        </w:sectPr>
      </w:pPr>
    </w:p>
    <w:bookmarkStart w:id="16" w:name="page17"/>
    <w:bookmarkEnd w:id="16"/>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Wireless Segment</w:t>
      </w:r>
    </w:p>
    <w:p>
      <w:pPr>
        <w:spacing w:after="0" w:line="1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Ending</w:t>
      </w:r>
    </w:p>
    <w:p>
      <w:pPr>
        <w:spacing w:after="0" w:line="235" w:lineRule="exact"/>
        <w:rPr>
          <w:sz w:val="20"/>
          <w:szCs w:val="20"/>
          <w:color w:val="auto"/>
        </w:rPr>
      </w:pPr>
    </w:p>
    <w:p>
      <w:pPr>
        <w:ind w:left="960"/>
        <w:spacing w:after="0"/>
        <w:tabs>
          <w:tab w:leader="none" w:pos="6680" w:val="left"/>
        </w:tabs>
        <w:rPr>
          <w:sz w:val="20"/>
          <w:szCs w:val="20"/>
          <w:color w:val="auto"/>
        </w:rPr>
      </w:pPr>
      <w:r>
        <w:rPr>
          <w:rFonts w:ascii="Arial" w:cs="Arial" w:eastAsia="Arial" w:hAnsi="Arial"/>
          <w:sz w:val="25"/>
          <w:szCs w:val="25"/>
          <w:b w:val="1"/>
          <w:bCs w:val="1"/>
          <w:color w:val="FFFFFF"/>
        </w:rPr>
        <w:t>Reported Revenue ($ millions)</w:t>
      </w:r>
      <w:r>
        <w:rPr>
          <w:sz w:val="20"/>
          <w:szCs w:val="20"/>
          <w:color w:val="auto"/>
        </w:rPr>
        <w:tab/>
      </w:r>
      <w:r>
        <w:rPr>
          <w:rFonts w:ascii="Arial" w:cs="Arial" w:eastAsia="Arial" w:hAnsi="Arial"/>
          <w:sz w:val="23"/>
          <w:szCs w:val="23"/>
          <w:b w:val="1"/>
          <w:bCs w:val="1"/>
          <w:color w:val="FFFFFF"/>
        </w:rPr>
        <w:t>OIBDA ($ millions)</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28"/>
          <w:szCs w:val="28"/>
          <w:color w:val="auto"/>
        </w:rPr>
        <w:t>15% CAGR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68" w:right="819" w:bottom="1440" w:gutter="0" w:footer="0" w:header="0"/>
        </w:sectPr>
      </w:pPr>
    </w:p>
    <w:bookmarkStart w:id="17" w:name="page18"/>
    <w:bookmarkEnd w:id="17"/>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Capital Expenditures - Wireless</w:t>
      </w:r>
    </w:p>
    <w:p>
      <w:pPr>
        <w:spacing w:after="0" w:line="1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Ending</w:t>
      </w:r>
    </w:p>
    <w:p>
      <w:pPr>
        <w:spacing w:after="0" w:line="153" w:lineRule="exact"/>
        <w:rPr>
          <w:sz w:val="20"/>
          <w:szCs w:val="20"/>
          <w:color w:val="auto"/>
        </w:rPr>
      </w:pPr>
    </w:p>
    <w:p>
      <w:pPr>
        <w:ind w:left="3220"/>
        <w:spacing w:after="0"/>
        <w:rPr>
          <w:sz w:val="20"/>
          <w:szCs w:val="20"/>
          <w:color w:val="auto"/>
        </w:rPr>
      </w:pPr>
      <w:r>
        <w:rPr>
          <w:rFonts w:ascii="Arial" w:cs="Arial" w:eastAsia="Arial" w:hAnsi="Arial"/>
          <w:sz w:val="25"/>
          <w:szCs w:val="25"/>
          <w:b w:val="1"/>
          <w:bCs w:val="1"/>
          <w:color w:val="FFFFFF"/>
        </w:rPr>
        <w:t>Capital Expenditures by Category ($ millions)</w:t>
      </w:r>
    </w:p>
    <w:p>
      <w:pPr>
        <w:spacing w:after="0" w:line="232" w:lineRule="exact"/>
        <w:rPr>
          <w:sz w:val="20"/>
          <w:szCs w:val="20"/>
          <w:color w:val="auto"/>
        </w:rPr>
      </w:pPr>
    </w:p>
    <w:p>
      <w:pPr>
        <w:ind w:left="2380"/>
        <w:spacing w:after="0"/>
        <w:tabs>
          <w:tab w:leader="none" w:pos="4020" w:val="left"/>
          <w:tab w:leader="none" w:pos="5260" w:val="left"/>
          <w:tab w:leader="none" w:pos="6740" w:val="left"/>
          <w:tab w:leader="none" w:pos="7960" w:val="left"/>
        </w:tabs>
        <w:rPr>
          <w:sz w:val="20"/>
          <w:szCs w:val="20"/>
          <w:color w:val="auto"/>
        </w:rPr>
      </w:pPr>
      <w:r>
        <w:rPr>
          <w:rFonts w:ascii="Arial" w:cs="Arial" w:eastAsia="Arial" w:hAnsi="Arial"/>
          <w:sz w:val="25"/>
          <w:szCs w:val="25"/>
          <w:color w:val="auto"/>
        </w:rPr>
        <w:t>Coverage</w:t>
      </w:r>
      <w:r>
        <w:rPr>
          <w:sz w:val="20"/>
          <w:szCs w:val="20"/>
          <w:color w:val="auto"/>
        </w:rPr>
        <w:tab/>
      </w:r>
      <w:r>
        <w:rPr>
          <w:rFonts w:ascii="Arial" w:cs="Arial" w:eastAsia="Arial" w:hAnsi="Arial"/>
          <w:sz w:val="25"/>
          <w:szCs w:val="25"/>
          <w:color w:val="auto"/>
        </w:rPr>
        <w:t>Other</w:t>
      </w:r>
      <w:r>
        <w:rPr>
          <w:sz w:val="20"/>
          <w:szCs w:val="20"/>
          <w:color w:val="auto"/>
        </w:rPr>
        <w:tab/>
      </w:r>
      <w:r>
        <w:rPr>
          <w:rFonts w:ascii="Arial" w:cs="Arial" w:eastAsia="Arial" w:hAnsi="Arial"/>
          <w:sz w:val="25"/>
          <w:szCs w:val="25"/>
          <w:color w:val="auto"/>
        </w:rPr>
        <w:t>Capacity</w:t>
      </w:r>
      <w:r>
        <w:rPr>
          <w:sz w:val="20"/>
          <w:szCs w:val="20"/>
          <w:color w:val="auto"/>
        </w:rPr>
        <w:tab/>
      </w:r>
      <w:r>
        <w:rPr>
          <w:rFonts w:ascii="Arial" w:cs="Arial" w:eastAsia="Arial" w:hAnsi="Arial"/>
          <w:sz w:val="25"/>
          <w:szCs w:val="25"/>
          <w:color w:val="auto"/>
        </w:rPr>
        <w:t>EVDO</w:t>
      </w:r>
      <w:r>
        <w:rPr>
          <w:sz w:val="20"/>
          <w:szCs w:val="20"/>
          <w:color w:val="auto"/>
        </w:rPr>
        <w:tab/>
      </w:r>
      <w:r>
        <w:rPr>
          <w:rFonts w:ascii="Arial" w:cs="Arial" w:eastAsia="Arial" w:hAnsi="Arial"/>
          <w:sz w:val="21"/>
          <w:szCs w:val="21"/>
          <w:color w:val="auto"/>
        </w:rPr>
        <w:t>Towers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00" w:type="dxa"/>
        <w:tblCellMar>
          <w:top w:w="0" w:type="dxa"/>
          <w:left w:w="0" w:type="dxa"/>
          <w:bottom w:w="0" w:type="dxa"/>
          <w:right w:w="0" w:type="dxa"/>
        </w:tblCellMar>
      </w:tblPr>
      <w:tr>
        <w:trPr>
          <w:trHeight w:val="318"/>
        </w:trPr>
        <w:tc>
          <w:tcPr>
            <w:tcW w:w="2100" w:type="dxa"/>
            <w:vAlign w:val="bottom"/>
          </w:tcPr>
          <w:p>
            <w:pPr>
              <w:spacing w:after="0"/>
              <w:rPr>
                <w:sz w:val="20"/>
                <w:szCs w:val="20"/>
                <w:color w:val="auto"/>
              </w:rPr>
            </w:pPr>
            <w:r>
              <w:rPr>
                <w:rFonts w:ascii="Arial" w:cs="Arial" w:eastAsia="Arial" w:hAnsi="Arial"/>
                <w:sz w:val="25"/>
                <w:szCs w:val="25"/>
                <w:color w:val="auto"/>
              </w:rPr>
              <w:t># Cell Sites</w:t>
            </w:r>
          </w:p>
        </w:tc>
        <w:tc>
          <w:tcPr>
            <w:tcW w:w="1600" w:type="dxa"/>
            <w:vAlign w:val="bottom"/>
          </w:tcPr>
          <w:p>
            <w:pPr>
              <w:jc w:val="right"/>
              <w:ind w:right="556"/>
              <w:spacing w:after="0"/>
              <w:rPr>
                <w:sz w:val="20"/>
                <w:szCs w:val="20"/>
                <w:color w:val="auto"/>
              </w:rPr>
            </w:pPr>
            <w:r>
              <w:rPr>
                <w:rFonts w:ascii="Arial" w:cs="Arial" w:eastAsia="Arial" w:hAnsi="Arial"/>
                <w:sz w:val="25"/>
                <w:szCs w:val="25"/>
                <w:color w:val="auto"/>
              </w:rPr>
              <w:t>346</w:t>
            </w:r>
          </w:p>
        </w:tc>
        <w:tc>
          <w:tcPr>
            <w:tcW w:w="1880" w:type="dxa"/>
            <w:vAlign w:val="bottom"/>
          </w:tcPr>
          <w:p>
            <w:pPr>
              <w:jc w:val="right"/>
              <w:ind w:right="536"/>
              <w:spacing w:after="0"/>
              <w:rPr>
                <w:sz w:val="20"/>
                <w:szCs w:val="20"/>
                <w:color w:val="auto"/>
              </w:rPr>
            </w:pPr>
            <w:r>
              <w:rPr>
                <w:rFonts w:ascii="Arial" w:cs="Arial" w:eastAsia="Arial" w:hAnsi="Arial"/>
                <w:sz w:val="25"/>
                <w:szCs w:val="25"/>
                <w:color w:val="auto"/>
              </w:rPr>
              <w:t>411</w:t>
            </w:r>
          </w:p>
        </w:tc>
        <w:tc>
          <w:tcPr>
            <w:tcW w:w="1840" w:type="dxa"/>
            <w:vAlign w:val="bottom"/>
          </w:tcPr>
          <w:p>
            <w:pPr>
              <w:jc w:val="right"/>
              <w:ind w:right="536"/>
              <w:spacing w:after="0"/>
              <w:rPr>
                <w:sz w:val="20"/>
                <w:szCs w:val="20"/>
                <w:color w:val="auto"/>
              </w:rPr>
            </w:pPr>
            <w:r>
              <w:rPr>
                <w:rFonts w:ascii="Arial" w:cs="Arial" w:eastAsia="Arial" w:hAnsi="Arial"/>
                <w:sz w:val="25"/>
                <w:szCs w:val="25"/>
                <w:color w:val="auto"/>
              </w:rPr>
              <w:t>476</w:t>
            </w:r>
          </w:p>
        </w:tc>
        <w:tc>
          <w:tcPr>
            <w:tcW w:w="1200" w:type="dxa"/>
            <w:vAlign w:val="bottom"/>
          </w:tcPr>
          <w:p>
            <w:pPr>
              <w:jc w:val="right"/>
              <w:spacing w:after="0"/>
              <w:rPr>
                <w:sz w:val="20"/>
                <w:szCs w:val="20"/>
                <w:color w:val="auto"/>
              </w:rPr>
            </w:pPr>
            <w:r>
              <w:rPr>
                <w:rFonts w:ascii="Arial" w:cs="Arial" w:eastAsia="Arial" w:hAnsi="Arial"/>
                <w:sz w:val="25"/>
                <w:szCs w:val="25"/>
                <w:color w:val="auto"/>
              </w:rPr>
              <w:t>503</w:t>
            </w:r>
          </w:p>
        </w:tc>
      </w:tr>
      <w:tr>
        <w:trPr>
          <w:trHeight w:val="362"/>
        </w:trPr>
        <w:tc>
          <w:tcPr>
            <w:tcW w:w="2100" w:type="dxa"/>
            <w:vAlign w:val="bottom"/>
          </w:tcPr>
          <w:p>
            <w:pPr>
              <w:spacing w:after="0"/>
              <w:rPr>
                <w:sz w:val="20"/>
                <w:szCs w:val="20"/>
                <w:color w:val="auto"/>
              </w:rPr>
            </w:pPr>
            <w:r>
              <w:rPr>
                <w:rFonts w:ascii="Arial" w:cs="Arial" w:eastAsia="Arial" w:hAnsi="Arial"/>
                <w:sz w:val="25"/>
                <w:szCs w:val="25"/>
                <w:color w:val="auto"/>
              </w:rPr>
              <w:t>% Covered POPs</w:t>
            </w:r>
          </w:p>
        </w:tc>
        <w:tc>
          <w:tcPr>
            <w:tcW w:w="1600" w:type="dxa"/>
            <w:vAlign w:val="bottom"/>
          </w:tcPr>
          <w:p>
            <w:pPr>
              <w:jc w:val="right"/>
              <w:ind w:right="636"/>
              <w:spacing w:after="0"/>
              <w:rPr>
                <w:sz w:val="20"/>
                <w:szCs w:val="20"/>
                <w:color w:val="auto"/>
              </w:rPr>
            </w:pPr>
            <w:r>
              <w:rPr>
                <w:rFonts w:ascii="Arial" w:cs="Arial" w:eastAsia="Arial" w:hAnsi="Arial"/>
                <w:sz w:val="25"/>
                <w:szCs w:val="25"/>
                <w:color w:val="auto"/>
              </w:rPr>
              <w:t>79%</w:t>
            </w:r>
          </w:p>
        </w:tc>
        <w:tc>
          <w:tcPr>
            <w:tcW w:w="1880" w:type="dxa"/>
            <w:vAlign w:val="bottom"/>
          </w:tcPr>
          <w:p>
            <w:pPr>
              <w:jc w:val="right"/>
              <w:ind w:right="596"/>
              <w:spacing w:after="0"/>
              <w:rPr>
                <w:sz w:val="20"/>
                <w:szCs w:val="20"/>
                <w:color w:val="auto"/>
              </w:rPr>
            </w:pPr>
            <w:r>
              <w:rPr>
                <w:rFonts w:ascii="Arial" w:cs="Arial" w:eastAsia="Arial" w:hAnsi="Arial"/>
                <w:sz w:val="25"/>
                <w:szCs w:val="25"/>
                <w:color w:val="auto"/>
              </w:rPr>
              <w:t>85%</w:t>
            </w:r>
          </w:p>
        </w:tc>
        <w:tc>
          <w:tcPr>
            <w:tcW w:w="1840" w:type="dxa"/>
            <w:vAlign w:val="bottom"/>
          </w:tcPr>
          <w:p>
            <w:pPr>
              <w:jc w:val="right"/>
              <w:ind w:right="616"/>
              <w:spacing w:after="0"/>
              <w:rPr>
                <w:sz w:val="20"/>
                <w:szCs w:val="20"/>
                <w:color w:val="auto"/>
              </w:rPr>
            </w:pPr>
            <w:r>
              <w:rPr>
                <w:rFonts w:ascii="Arial" w:cs="Arial" w:eastAsia="Arial" w:hAnsi="Arial"/>
                <w:sz w:val="25"/>
                <w:szCs w:val="25"/>
                <w:color w:val="auto"/>
              </w:rPr>
              <w:t>87%</w:t>
            </w:r>
          </w:p>
        </w:tc>
        <w:tc>
          <w:tcPr>
            <w:tcW w:w="1200" w:type="dxa"/>
            <w:vAlign w:val="bottom"/>
          </w:tcPr>
          <w:p>
            <w:pPr>
              <w:jc w:val="right"/>
              <w:spacing w:after="0"/>
              <w:rPr>
                <w:sz w:val="20"/>
                <w:szCs w:val="20"/>
                <w:color w:val="auto"/>
              </w:rPr>
            </w:pPr>
            <w:r>
              <w:rPr>
                <w:rFonts w:ascii="Arial" w:cs="Arial" w:eastAsia="Arial" w:hAnsi="Arial"/>
                <w:sz w:val="25"/>
                <w:szCs w:val="25"/>
                <w:color w:val="auto"/>
              </w:rPr>
              <w:t>88%</w:t>
            </w:r>
          </w:p>
        </w:tc>
      </w:tr>
      <w:tr>
        <w:trPr>
          <w:trHeight w:val="362"/>
        </w:trPr>
        <w:tc>
          <w:tcPr>
            <w:tcW w:w="2100" w:type="dxa"/>
            <w:vAlign w:val="bottom"/>
          </w:tcPr>
          <w:p>
            <w:pPr>
              <w:spacing w:after="0"/>
              <w:rPr>
                <w:sz w:val="20"/>
                <w:szCs w:val="20"/>
                <w:color w:val="auto"/>
              </w:rPr>
            </w:pPr>
            <w:r>
              <w:rPr>
                <w:rFonts w:ascii="Arial" w:cs="Arial" w:eastAsia="Arial" w:hAnsi="Arial"/>
                <w:sz w:val="25"/>
                <w:szCs w:val="25"/>
                <w:color w:val="auto"/>
              </w:rPr>
              <w:t># EVDO Sites</w:t>
            </w:r>
          </w:p>
        </w:tc>
        <w:tc>
          <w:tcPr>
            <w:tcW w:w="1600" w:type="dxa"/>
            <w:vAlign w:val="bottom"/>
          </w:tcPr>
          <w:p>
            <w:pPr>
              <w:jc w:val="right"/>
              <w:ind w:right="616"/>
              <w:spacing w:after="0"/>
              <w:rPr>
                <w:sz w:val="20"/>
                <w:szCs w:val="20"/>
                <w:color w:val="auto"/>
              </w:rPr>
            </w:pPr>
            <w:r>
              <w:rPr>
                <w:rFonts w:ascii="Arial" w:cs="Arial" w:eastAsia="Arial" w:hAnsi="Arial"/>
                <w:sz w:val="25"/>
                <w:szCs w:val="25"/>
                <w:color w:val="auto"/>
              </w:rPr>
              <w:t>52</w:t>
            </w:r>
          </w:p>
        </w:tc>
        <w:tc>
          <w:tcPr>
            <w:tcW w:w="1880" w:type="dxa"/>
            <w:vAlign w:val="bottom"/>
          </w:tcPr>
          <w:p>
            <w:pPr>
              <w:jc w:val="right"/>
              <w:ind w:right="536"/>
              <w:spacing w:after="0"/>
              <w:rPr>
                <w:sz w:val="20"/>
                <w:szCs w:val="20"/>
                <w:color w:val="auto"/>
              </w:rPr>
            </w:pPr>
            <w:r>
              <w:rPr>
                <w:rFonts w:ascii="Arial" w:cs="Arial" w:eastAsia="Arial" w:hAnsi="Arial"/>
                <w:sz w:val="25"/>
                <w:szCs w:val="25"/>
                <w:color w:val="auto"/>
              </w:rPr>
              <w:t>211</w:t>
            </w:r>
          </w:p>
        </w:tc>
        <w:tc>
          <w:tcPr>
            <w:tcW w:w="1840" w:type="dxa"/>
            <w:vAlign w:val="bottom"/>
          </w:tcPr>
          <w:p>
            <w:pPr>
              <w:jc w:val="right"/>
              <w:ind w:right="536"/>
              <w:spacing w:after="0"/>
              <w:rPr>
                <w:sz w:val="20"/>
                <w:szCs w:val="20"/>
                <w:color w:val="auto"/>
              </w:rPr>
            </w:pPr>
            <w:r>
              <w:rPr>
                <w:rFonts w:ascii="Arial" w:cs="Arial" w:eastAsia="Arial" w:hAnsi="Arial"/>
                <w:sz w:val="25"/>
                <w:szCs w:val="25"/>
                <w:color w:val="auto"/>
              </w:rPr>
              <w:t>334</w:t>
            </w:r>
          </w:p>
        </w:tc>
        <w:tc>
          <w:tcPr>
            <w:tcW w:w="1200" w:type="dxa"/>
            <w:vAlign w:val="bottom"/>
          </w:tcPr>
          <w:p>
            <w:pPr>
              <w:jc w:val="right"/>
              <w:spacing w:after="0"/>
              <w:rPr>
                <w:sz w:val="20"/>
                <w:szCs w:val="20"/>
                <w:color w:val="auto"/>
              </w:rPr>
            </w:pPr>
            <w:r>
              <w:rPr>
                <w:rFonts w:ascii="Arial" w:cs="Arial" w:eastAsia="Arial" w:hAnsi="Arial"/>
                <w:sz w:val="25"/>
                <w:szCs w:val="25"/>
                <w:color w:val="auto"/>
              </w:rPr>
              <w:t>365</w:t>
            </w:r>
          </w:p>
        </w:tc>
      </w:tr>
      <w:tr>
        <w:trPr>
          <w:trHeight w:val="362"/>
        </w:trPr>
        <w:tc>
          <w:tcPr>
            <w:tcW w:w="2100" w:type="dxa"/>
            <w:vAlign w:val="bottom"/>
          </w:tcPr>
          <w:p>
            <w:pPr>
              <w:spacing w:after="0"/>
              <w:rPr>
                <w:sz w:val="20"/>
                <w:szCs w:val="20"/>
                <w:color w:val="auto"/>
              </w:rPr>
            </w:pPr>
            <w:r>
              <w:rPr>
                <w:rFonts w:ascii="Arial" w:cs="Arial" w:eastAsia="Arial" w:hAnsi="Arial"/>
                <w:sz w:val="25"/>
                <w:szCs w:val="25"/>
                <w:color w:val="auto"/>
              </w:rPr>
              <w:t>% POPs Covered</w:t>
            </w:r>
          </w:p>
        </w:tc>
        <w:tc>
          <w:tcPr>
            <w:tcW w:w="1600" w:type="dxa"/>
            <w:vAlign w:val="bottom"/>
          </w:tcPr>
          <w:p>
            <w:pPr>
              <w:jc w:val="right"/>
              <w:ind w:right="636"/>
              <w:spacing w:after="0"/>
              <w:rPr>
                <w:sz w:val="20"/>
                <w:szCs w:val="20"/>
                <w:color w:val="auto"/>
              </w:rPr>
            </w:pPr>
            <w:r>
              <w:rPr>
                <w:rFonts w:ascii="Arial" w:cs="Arial" w:eastAsia="Arial" w:hAnsi="Arial"/>
                <w:sz w:val="25"/>
                <w:szCs w:val="25"/>
                <w:color w:val="auto"/>
              </w:rPr>
              <w:t>27%</w:t>
            </w:r>
          </w:p>
        </w:tc>
        <w:tc>
          <w:tcPr>
            <w:tcW w:w="1880" w:type="dxa"/>
            <w:vAlign w:val="bottom"/>
          </w:tcPr>
          <w:p>
            <w:pPr>
              <w:jc w:val="right"/>
              <w:ind w:right="596"/>
              <w:spacing w:after="0"/>
              <w:rPr>
                <w:sz w:val="20"/>
                <w:szCs w:val="20"/>
                <w:color w:val="auto"/>
              </w:rPr>
            </w:pPr>
            <w:r>
              <w:rPr>
                <w:rFonts w:ascii="Arial" w:cs="Arial" w:eastAsia="Arial" w:hAnsi="Arial"/>
                <w:sz w:val="25"/>
                <w:szCs w:val="25"/>
                <w:color w:val="auto"/>
              </w:rPr>
              <w:t>86%</w:t>
            </w:r>
          </w:p>
        </w:tc>
        <w:tc>
          <w:tcPr>
            <w:tcW w:w="1840" w:type="dxa"/>
            <w:vAlign w:val="bottom"/>
          </w:tcPr>
          <w:p>
            <w:pPr>
              <w:jc w:val="right"/>
              <w:ind w:right="616"/>
              <w:spacing w:after="0"/>
              <w:rPr>
                <w:sz w:val="20"/>
                <w:szCs w:val="20"/>
                <w:color w:val="auto"/>
              </w:rPr>
            </w:pPr>
            <w:r>
              <w:rPr>
                <w:rFonts w:ascii="Arial" w:cs="Arial" w:eastAsia="Arial" w:hAnsi="Arial"/>
                <w:sz w:val="25"/>
                <w:szCs w:val="25"/>
                <w:color w:val="auto"/>
              </w:rPr>
              <w:t>94%</w:t>
            </w:r>
          </w:p>
        </w:tc>
        <w:tc>
          <w:tcPr>
            <w:tcW w:w="1200" w:type="dxa"/>
            <w:vAlign w:val="bottom"/>
          </w:tcPr>
          <w:p>
            <w:pPr>
              <w:jc w:val="right"/>
              <w:spacing w:after="0"/>
              <w:rPr>
                <w:sz w:val="20"/>
                <w:szCs w:val="20"/>
                <w:color w:val="auto"/>
              </w:rPr>
            </w:pPr>
            <w:r>
              <w:rPr>
                <w:rFonts w:ascii="Arial" w:cs="Arial" w:eastAsia="Arial" w:hAnsi="Arial"/>
                <w:sz w:val="25"/>
                <w:szCs w:val="25"/>
                <w:color w:val="auto"/>
              </w:rPr>
              <w:t>95%</w:t>
            </w:r>
          </w:p>
        </w:tc>
      </w:tr>
    </w:tbl>
    <w:p>
      <w:pPr>
        <w:spacing w:after="0" w:line="2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56" w:right="819" w:bottom="1440" w:gutter="0" w:footer="0" w:header="0"/>
        </w:sectPr>
      </w:pPr>
    </w:p>
    <w:bookmarkStart w:id="18" w:name="page19"/>
    <w:bookmarkEnd w:id="18"/>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34"/>
          <w:szCs w:val="34"/>
          <w:color w:val="auto"/>
        </w:rPr>
        <w:t>Introduction and Shentel Overview</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34"/>
          <w:szCs w:val="34"/>
          <w:color w:val="auto"/>
        </w:rPr>
        <w:t>Overview of Wireless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34"/>
          <w:szCs w:val="34"/>
          <w:color w:val="840039"/>
        </w:rPr>
        <w:t>Overview of Cable</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34"/>
          <w:szCs w:val="34"/>
          <w:color w:val="auto"/>
        </w:rPr>
        <w:t>Overview of Wireline</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34"/>
          <w:szCs w:val="34"/>
          <w:color w:val="auto"/>
        </w:rPr>
        <w:t>Financials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68" w:right="819" w:bottom="1440" w:gutter="0" w:footer="0" w:header="0"/>
        </w:sectPr>
      </w:pPr>
    </w:p>
    <w:bookmarkStart w:id="19" w:name="page20"/>
    <w:bookmarkEnd w:id="19"/>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Cable TV Overview</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80" w:right="4160" w:hanging="481"/>
        <w:spacing w:after="0" w:line="358" w:lineRule="auto"/>
        <w:tabs>
          <w:tab w:leader="none" w:pos="617" w:val="left"/>
        </w:tabs>
        <w:numPr>
          <w:ilvl w:val="0"/>
          <w:numId w:val="12"/>
        </w:numPr>
        <w:rPr>
          <w:rFonts w:ascii="Arial" w:cs="Arial" w:eastAsia="Arial" w:hAnsi="Arial"/>
          <w:sz w:val="37"/>
          <w:szCs w:val="37"/>
          <w:color w:val="840039"/>
        </w:rPr>
      </w:pPr>
      <w:r>
        <w:rPr>
          <w:rFonts w:ascii="Arial" w:cs="Arial" w:eastAsia="Arial" w:hAnsi="Arial"/>
          <w:sz w:val="37"/>
          <w:szCs w:val="37"/>
          <w:color w:val="auto"/>
        </w:rPr>
        <w:t xml:space="preserve">Complimentary (with LEC business) </w:t>
      </w:r>
      <w:r>
        <w:rPr>
          <w:rFonts w:ascii="Arial" w:cs="Arial" w:eastAsia="Arial" w:hAnsi="Arial"/>
          <w:sz w:val="29"/>
          <w:szCs w:val="29"/>
          <w:color w:val="C0C0C0"/>
        </w:rPr>
        <w:t xml:space="preserve">u </w:t>
      </w:r>
      <w:r>
        <w:rPr>
          <w:rFonts w:ascii="Arial" w:cs="Arial" w:eastAsia="Arial" w:hAnsi="Arial"/>
          <w:sz w:val="37"/>
          <w:szCs w:val="37"/>
          <w:color w:val="000000"/>
        </w:rPr>
        <w:t>16k Homes Passed</w:t>
      </w:r>
    </w:p>
    <w:p>
      <w:pPr>
        <w:spacing w:after="0" w:line="1" w:lineRule="exact"/>
        <w:rPr>
          <w:rFonts w:ascii="Arial" w:cs="Arial" w:eastAsia="Arial" w:hAnsi="Arial"/>
          <w:sz w:val="37"/>
          <w:szCs w:val="37"/>
          <w:color w:val="840039"/>
        </w:rPr>
      </w:pPr>
    </w:p>
    <w:p>
      <w:pPr>
        <w:ind w:left="780"/>
        <w:spacing w:after="0"/>
        <w:rPr>
          <w:rFonts w:ascii="Arial" w:cs="Arial" w:eastAsia="Arial" w:hAnsi="Arial"/>
          <w:sz w:val="37"/>
          <w:szCs w:val="37"/>
          <w:color w:val="840039"/>
        </w:rPr>
      </w:pPr>
      <w:r>
        <w:rPr>
          <w:rFonts w:ascii="Arial" w:cs="Arial" w:eastAsia="Arial" w:hAnsi="Arial"/>
          <w:sz w:val="30"/>
          <w:szCs w:val="30"/>
          <w:color w:val="C0C0C0"/>
        </w:rPr>
        <w:t xml:space="preserve">u </w:t>
      </w:r>
      <w:r>
        <w:rPr>
          <w:rFonts w:ascii="Arial" w:cs="Arial" w:eastAsia="Arial" w:hAnsi="Arial"/>
          <w:sz w:val="37"/>
          <w:szCs w:val="37"/>
          <w:color w:val="000000"/>
        </w:rPr>
        <w:t>8k Video Subscribers</w:t>
      </w:r>
    </w:p>
    <w:p>
      <w:pPr>
        <w:spacing w:after="0" w:line="215" w:lineRule="exact"/>
        <w:rPr>
          <w:rFonts w:ascii="Arial" w:cs="Arial" w:eastAsia="Arial" w:hAnsi="Arial"/>
          <w:sz w:val="37"/>
          <w:szCs w:val="37"/>
          <w:color w:val="840039"/>
        </w:rPr>
      </w:pPr>
    </w:p>
    <w:p>
      <w:pPr>
        <w:ind w:left="780" w:right="4020" w:hanging="481"/>
        <w:spacing w:after="0" w:line="358" w:lineRule="auto"/>
        <w:tabs>
          <w:tab w:leader="none" w:pos="617" w:val="left"/>
        </w:tabs>
        <w:numPr>
          <w:ilvl w:val="0"/>
          <w:numId w:val="12"/>
        </w:numPr>
        <w:rPr>
          <w:rFonts w:ascii="Arial" w:cs="Arial" w:eastAsia="Arial" w:hAnsi="Arial"/>
          <w:sz w:val="37"/>
          <w:szCs w:val="37"/>
          <w:color w:val="840039"/>
        </w:rPr>
      </w:pPr>
      <w:r>
        <w:rPr>
          <w:rFonts w:ascii="Arial" w:cs="Arial" w:eastAsia="Arial" w:hAnsi="Arial"/>
          <w:sz w:val="37"/>
          <w:szCs w:val="37"/>
          <w:color w:val="auto"/>
        </w:rPr>
        <w:t xml:space="preserve">Offensive positioning (Outside ILEC) </w:t>
      </w:r>
      <w:r>
        <w:rPr>
          <w:rFonts w:ascii="Arial" w:cs="Arial" w:eastAsia="Arial" w:hAnsi="Arial"/>
          <w:sz w:val="29"/>
          <w:szCs w:val="29"/>
          <w:color w:val="C0C0C0"/>
        </w:rPr>
        <w:t xml:space="preserve">u </w:t>
      </w:r>
      <w:r>
        <w:rPr>
          <w:rFonts w:ascii="Arial" w:cs="Arial" w:eastAsia="Arial" w:hAnsi="Arial"/>
          <w:sz w:val="37"/>
          <w:szCs w:val="37"/>
          <w:color w:val="000000"/>
        </w:rPr>
        <w:t>40k Homes Passed</w:t>
      </w:r>
    </w:p>
    <w:p>
      <w:pPr>
        <w:spacing w:after="0" w:line="1" w:lineRule="exact"/>
        <w:rPr>
          <w:rFonts w:ascii="Arial" w:cs="Arial" w:eastAsia="Arial" w:hAnsi="Arial"/>
          <w:sz w:val="37"/>
          <w:szCs w:val="37"/>
          <w:color w:val="840039"/>
        </w:rPr>
      </w:pPr>
    </w:p>
    <w:p>
      <w:pPr>
        <w:ind w:left="780" w:right="3480"/>
        <w:spacing w:after="0" w:line="390" w:lineRule="auto"/>
        <w:rPr>
          <w:rFonts w:ascii="Arial" w:cs="Arial" w:eastAsia="Arial" w:hAnsi="Arial"/>
          <w:sz w:val="37"/>
          <w:szCs w:val="37"/>
          <w:color w:val="840039"/>
        </w:rPr>
      </w:pPr>
      <w:r>
        <w:rPr>
          <w:rFonts w:ascii="Arial" w:cs="Arial" w:eastAsia="Arial" w:hAnsi="Arial"/>
          <w:sz w:val="28"/>
          <w:szCs w:val="28"/>
          <w:color w:val="C0C0C0"/>
        </w:rPr>
        <w:t xml:space="preserve">u </w:t>
      </w:r>
      <w:r>
        <w:rPr>
          <w:rFonts w:ascii="Arial" w:cs="Arial" w:eastAsia="Arial" w:hAnsi="Arial"/>
          <w:sz w:val="34"/>
          <w:szCs w:val="34"/>
          <w:color w:val="000000"/>
        </w:rPr>
        <w:t>15k Video and 3k Internet Subscribers</w:t>
      </w:r>
      <w:r>
        <w:rPr>
          <w:rFonts w:ascii="Arial" w:cs="Arial" w:eastAsia="Arial" w:hAnsi="Arial"/>
          <w:sz w:val="28"/>
          <w:szCs w:val="28"/>
          <w:color w:val="C0C0C0"/>
        </w:rPr>
        <w:t xml:space="preserve"> u </w:t>
      </w:r>
      <w:r>
        <w:rPr>
          <w:rFonts w:ascii="Arial" w:cs="Arial" w:eastAsia="Arial" w:hAnsi="Arial"/>
          <w:sz w:val="34"/>
          <w:szCs w:val="34"/>
          <w:color w:val="000000"/>
        </w:rPr>
        <w:t>Voice service initiated 3/31/10</w:t>
      </w:r>
    </w:p>
    <w:p>
      <w:pPr>
        <w:ind w:left="620" w:hanging="321"/>
        <w:spacing w:after="0"/>
        <w:tabs>
          <w:tab w:leader="none" w:pos="620" w:val="left"/>
        </w:tabs>
        <w:numPr>
          <w:ilvl w:val="0"/>
          <w:numId w:val="12"/>
        </w:numPr>
        <w:rPr>
          <w:rFonts w:ascii="Arial" w:cs="Arial" w:eastAsia="Arial" w:hAnsi="Arial"/>
          <w:sz w:val="37"/>
          <w:szCs w:val="37"/>
          <w:color w:val="840039"/>
        </w:rPr>
      </w:pPr>
      <w:r>
        <w:rPr>
          <w:rFonts w:ascii="Arial" w:cs="Arial" w:eastAsia="Arial" w:hAnsi="Arial"/>
          <w:sz w:val="37"/>
          <w:szCs w:val="37"/>
          <w:color w:val="auto"/>
        </w:rPr>
        <w:t>All upgraded by 9/30/10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381635</wp:posOffset>
            </wp:positionV>
            <wp:extent cx="727075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300"/>
          </w:cols>
          <w:pgMar w:left="780" w:top="968" w:right="81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25"/>
          <w:szCs w:val="25"/>
          <w:color w:val="auto"/>
        </w:rPr>
        <w:t>Internet</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25"/>
          <w:szCs w:val="25"/>
          <w:color w:val="auto"/>
        </w:rPr>
        <w:t>Basic</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5"/>
          <w:szCs w:val="25"/>
          <w:color w:val="auto"/>
        </w:rPr>
        <w:t>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381635</wp:posOffset>
            </wp:positionV>
            <wp:extent cx="727075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9640"/>
          </w:cols>
          <w:pgMar w:left="1440" w:top="1440" w:right="819" w:bottom="1440" w:gutter="0" w:footer="0" w:header="0"/>
        </w:sectPr>
      </w:pPr>
    </w:p>
    <w:bookmarkStart w:id="21" w:name="page22"/>
    <w:bookmarkEnd w:id="21"/>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Cable TV</w:t>
      </w:r>
    </w:p>
    <w:p>
      <w:pPr>
        <w:spacing w:after="0" w:line="1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Ending</w:t>
      </w:r>
    </w:p>
    <w:p>
      <w:pPr>
        <w:spacing w:after="0" w:line="176" w:lineRule="exact"/>
        <w:rPr>
          <w:sz w:val="20"/>
          <w:szCs w:val="20"/>
          <w:color w:val="auto"/>
        </w:rPr>
      </w:pPr>
    </w:p>
    <w:p>
      <w:pPr>
        <w:ind w:left="1380"/>
        <w:spacing w:after="0"/>
        <w:tabs>
          <w:tab w:leader="none" w:pos="6600" w:val="left"/>
        </w:tabs>
        <w:rPr>
          <w:sz w:val="20"/>
          <w:szCs w:val="20"/>
          <w:color w:val="auto"/>
        </w:rPr>
      </w:pPr>
      <w:r>
        <w:rPr>
          <w:rFonts w:ascii="Arial" w:cs="Arial" w:eastAsia="Arial" w:hAnsi="Arial"/>
          <w:sz w:val="25"/>
          <w:szCs w:val="25"/>
          <w:b w:val="1"/>
          <w:bCs w:val="1"/>
          <w:color w:val="FFFFFF"/>
        </w:rPr>
        <w:t>Revenue ($ millions)</w:t>
      </w:r>
      <w:r>
        <w:rPr>
          <w:sz w:val="20"/>
          <w:szCs w:val="20"/>
          <w:color w:val="auto"/>
        </w:rPr>
        <w:tab/>
      </w:r>
      <w:r>
        <w:rPr>
          <w:rFonts w:ascii="Arial" w:cs="Arial" w:eastAsia="Arial" w:hAnsi="Arial"/>
          <w:sz w:val="23"/>
          <w:szCs w:val="23"/>
          <w:b w:val="1"/>
          <w:bCs w:val="1"/>
          <w:color w:val="FFFFFF"/>
        </w:rPr>
        <w:t>OIBDA ($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
        <w:spacing w:after="0"/>
        <w:rPr>
          <w:sz w:val="20"/>
          <w:szCs w:val="20"/>
          <w:color w:val="auto"/>
        </w:rPr>
      </w:pPr>
      <w:r>
        <w:rPr>
          <w:rFonts w:ascii="Arial" w:cs="Arial" w:eastAsia="Arial" w:hAnsi="Arial"/>
          <w:sz w:val="19"/>
          <w:szCs w:val="19"/>
          <w:color w:val="auto"/>
        </w:rPr>
        <w:t>Includes Rapid Communications acquisition December 1, 2008</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56" w:right="819" w:bottom="1440" w:gutter="0" w:footer="0" w:header="0"/>
        </w:sectPr>
      </w:pPr>
    </w:p>
    <w:bookmarkStart w:id="22" w:name="page23"/>
    <w:bookmarkEnd w:id="22"/>
    <w:p>
      <w:pPr>
        <w:spacing w:after="0"/>
        <w:rPr>
          <w:sz w:val="20"/>
          <w:szCs w:val="20"/>
          <w:color w:val="auto"/>
        </w:rPr>
      </w:pPr>
      <w:r>
        <w:rPr>
          <w:rFonts w:ascii="Arial" w:cs="Arial" w:eastAsia="Arial" w:hAnsi="Arial"/>
          <w:sz w:val="33"/>
          <w:szCs w:val="33"/>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Deal Highlights - JetBroadband Acquisition</w:t>
      </w:r>
    </w:p>
    <w:p>
      <w:pPr>
        <w:sectPr>
          <w:pgSz w:w="11900" w:h="16838" w:orient="portrait"/>
          <w:cols w:equalWidth="0" w:num="1">
            <w:col w:w="10420"/>
          </w:cols>
          <w:pgMar w:left="660" w:top="1013" w:right="819" w:bottom="1440" w:gutter="0" w:footer="0" w:header="0"/>
        </w:sectPr>
      </w:pPr>
    </w:p>
    <w:p>
      <w:pPr>
        <w:spacing w:after="0" w:line="377" w:lineRule="exact"/>
        <w:rPr>
          <w:sz w:val="20"/>
          <w:szCs w:val="20"/>
          <w:color w:val="auto"/>
        </w:rPr>
      </w:pPr>
    </w:p>
    <w:p>
      <w:pPr>
        <w:ind w:left="800" w:right="669" w:hanging="416"/>
        <w:spacing w:after="0" w:line="252" w:lineRule="auto"/>
        <w:tabs>
          <w:tab w:leader="none" w:pos="707" w:val="left"/>
        </w:tabs>
        <w:numPr>
          <w:ilvl w:val="0"/>
          <w:numId w:val="13"/>
        </w:numPr>
        <w:rPr>
          <w:rFonts w:ascii="Arial" w:cs="Arial" w:eastAsia="Arial" w:hAnsi="Arial"/>
          <w:sz w:val="37"/>
          <w:szCs w:val="37"/>
          <w:color w:val="840039"/>
        </w:rPr>
      </w:pPr>
      <w:r>
        <w:rPr>
          <w:rFonts w:ascii="Arial" w:cs="Arial" w:eastAsia="Arial" w:hAnsi="Arial"/>
          <w:sz w:val="37"/>
          <w:szCs w:val="37"/>
          <w:color w:val="auto"/>
        </w:rPr>
        <w:t>Structured as an asset purchase</w:t>
      </w:r>
    </w:p>
    <w:p>
      <w:pPr>
        <w:spacing w:after="0" w:line="144" w:lineRule="exact"/>
        <w:rPr>
          <w:rFonts w:ascii="Arial" w:cs="Arial" w:eastAsia="Arial" w:hAnsi="Arial"/>
          <w:sz w:val="37"/>
          <w:szCs w:val="37"/>
          <w:color w:val="840039"/>
        </w:rPr>
      </w:pPr>
    </w:p>
    <w:p>
      <w:pPr>
        <w:ind w:left="720" w:hanging="336"/>
        <w:spacing w:after="0"/>
        <w:tabs>
          <w:tab w:leader="none" w:pos="720" w:val="left"/>
        </w:tabs>
        <w:numPr>
          <w:ilvl w:val="0"/>
          <w:numId w:val="13"/>
        </w:numPr>
        <w:rPr>
          <w:rFonts w:ascii="Arial" w:cs="Arial" w:eastAsia="Arial" w:hAnsi="Arial"/>
          <w:sz w:val="32"/>
          <w:szCs w:val="32"/>
          <w:color w:val="840039"/>
        </w:rPr>
      </w:pPr>
      <w:r>
        <w:rPr>
          <w:rFonts w:ascii="Arial" w:cs="Arial" w:eastAsia="Arial" w:hAnsi="Arial"/>
          <w:sz w:val="32"/>
          <w:szCs w:val="32"/>
          <w:color w:val="auto"/>
        </w:rPr>
        <w:t>Purchase Price = $148</w:t>
      </w:r>
    </w:p>
    <w:p>
      <w:pPr>
        <w:spacing w:after="0" w:line="261" w:lineRule="exact"/>
        <w:rPr>
          <w:rFonts w:ascii="Arial" w:cs="Arial" w:eastAsia="Arial" w:hAnsi="Arial"/>
          <w:sz w:val="32"/>
          <w:szCs w:val="32"/>
          <w:color w:val="840039"/>
        </w:rPr>
      </w:pPr>
    </w:p>
    <w:p>
      <w:pPr>
        <w:ind w:left="800" w:right="689" w:hanging="416"/>
        <w:spacing w:after="0" w:line="269" w:lineRule="auto"/>
        <w:tabs>
          <w:tab w:leader="none" w:pos="707" w:val="left"/>
        </w:tabs>
        <w:numPr>
          <w:ilvl w:val="0"/>
          <w:numId w:val="13"/>
        </w:numPr>
        <w:rPr>
          <w:rFonts w:ascii="Arial" w:cs="Arial" w:eastAsia="Arial" w:hAnsi="Arial"/>
          <w:sz w:val="34"/>
          <w:szCs w:val="34"/>
          <w:color w:val="840039"/>
        </w:rPr>
      </w:pPr>
      <w:r>
        <w:rPr>
          <w:rFonts w:ascii="Arial" w:cs="Arial" w:eastAsia="Arial" w:hAnsi="Arial"/>
          <w:sz w:val="34"/>
          <w:szCs w:val="34"/>
          <w:color w:val="auto"/>
        </w:rPr>
        <w:t>115 thousand homes passed and serves 67 thousand RGUs</w:t>
      </w:r>
    </w:p>
    <w:p>
      <w:pPr>
        <w:spacing w:after="0" w:line="132" w:lineRule="exact"/>
        <w:rPr>
          <w:sz w:val="20"/>
          <w:szCs w:val="20"/>
          <w:color w:val="auto"/>
        </w:rPr>
      </w:pPr>
    </w:p>
    <w:p>
      <w:pPr>
        <w:ind w:left="1300" w:right="689" w:hanging="426"/>
        <w:spacing w:after="0" w:line="280" w:lineRule="auto"/>
        <w:tabs>
          <w:tab w:leader="none" w:pos="1181" w:val="left"/>
        </w:tabs>
        <w:numPr>
          <w:ilvl w:val="0"/>
          <w:numId w:val="14"/>
        </w:numPr>
        <w:rPr>
          <w:rFonts w:ascii="Arial" w:cs="Arial" w:eastAsia="Arial" w:hAnsi="Arial"/>
          <w:sz w:val="28"/>
          <w:szCs w:val="28"/>
          <w:color w:val="C0C0C0"/>
        </w:rPr>
      </w:pPr>
      <w:r>
        <w:rPr>
          <w:rFonts w:ascii="Arial" w:cs="Arial" w:eastAsia="Arial" w:hAnsi="Arial"/>
          <w:sz w:val="35"/>
          <w:szCs w:val="35"/>
          <w:color w:val="auto"/>
        </w:rPr>
        <w:t>43 thousand video customers</w:t>
      </w:r>
    </w:p>
    <w:p>
      <w:pPr>
        <w:spacing w:after="0" w:line="98" w:lineRule="exact"/>
        <w:rPr>
          <w:rFonts w:ascii="Arial" w:cs="Arial" w:eastAsia="Arial" w:hAnsi="Arial"/>
          <w:sz w:val="28"/>
          <w:szCs w:val="28"/>
          <w:color w:val="C0C0C0"/>
        </w:rPr>
      </w:pPr>
    </w:p>
    <w:p>
      <w:pPr>
        <w:ind w:left="1300" w:right="909" w:hanging="426"/>
        <w:spacing w:after="0" w:line="280" w:lineRule="auto"/>
        <w:tabs>
          <w:tab w:leader="none" w:pos="1181" w:val="left"/>
        </w:tabs>
        <w:numPr>
          <w:ilvl w:val="0"/>
          <w:numId w:val="14"/>
        </w:numPr>
        <w:rPr>
          <w:rFonts w:ascii="Arial" w:cs="Arial" w:eastAsia="Arial" w:hAnsi="Arial"/>
          <w:sz w:val="28"/>
          <w:szCs w:val="28"/>
          <w:color w:val="C0C0C0"/>
        </w:rPr>
      </w:pPr>
      <w:r>
        <w:rPr>
          <w:rFonts w:ascii="Arial" w:cs="Arial" w:eastAsia="Arial" w:hAnsi="Arial"/>
          <w:sz w:val="35"/>
          <w:szCs w:val="35"/>
          <w:color w:val="auto"/>
        </w:rPr>
        <w:t>22 thousand data customers</w:t>
      </w:r>
    </w:p>
    <w:p>
      <w:pPr>
        <w:spacing w:after="0" w:line="98" w:lineRule="exact"/>
        <w:rPr>
          <w:rFonts w:ascii="Arial" w:cs="Arial" w:eastAsia="Arial" w:hAnsi="Arial"/>
          <w:sz w:val="28"/>
          <w:szCs w:val="28"/>
          <w:color w:val="C0C0C0"/>
        </w:rPr>
      </w:pPr>
    </w:p>
    <w:p>
      <w:pPr>
        <w:ind w:left="1300" w:right="909" w:hanging="426"/>
        <w:spacing w:after="0" w:line="312" w:lineRule="auto"/>
        <w:tabs>
          <w:tab w:leader="none" w:pos="1181" w:val="left"/>
        </w:tabs>
        <w:numPr>
          <w:ilvl w:val="0"/>
          <w:numId w:val="14"/>
        </w:numPr>
        <w:rPr>
          <w:rFonts w:ascii="Arial" w:cs="Arial" w:eastAsia="Arial" w:hAnsi="Arial"/>
          <w:sz w:val="27"/>
          <w:szCs w:val="27"/>
          <w:color w:val="C0C0C0"/>
        </w:rPr>
      </w:pPr>
      <w:r>
        <w:rPr>
          <w:rFonts w:ascii="Arial" w:cs="Arial" w:eastAsia="Arial" w:hAnsi="Arial"/>
          <w:sz w:val="33"/>
          <w:szCs w:val="33"/>
          <w:color w:val="auto"/>
        </w:rPr>
        <w:t>2 thousand voice customers</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left="331" w:hanging="331"/>
        <w:spacing w:after="0"/>
        <w:tabs>
          <w:tab w:leader="none" w:pos="331" w:val="left"/>
        </w:tabs>
        <w:numPr>
          <w:ilvl w:val="0"/>
          <w:numId w:val="15"/>
        </w:numPr>
        <w:rPr>
          <w:rFonts w:ascii="Arial" w:cs="Arial" w:eastAsia="Arial" w:hAnsi="Arial"/>
          <w:sz w:val="37"/>
          <w:szCs w:val="37"/>
          <w:color w:val="840039"/>
        </w:rPr>
      </w:pPr>
      <w:r>
        <w:rPr>
          <w:rFonts w:ascii="Arial" w:cs="Arial" w:eastAsia="Arial" w:hAnsi="Arial"/>
          <w:sz w:val="37"/>
          <w:szCs w:val="37"/>
          <w:color w:val="auto"/>
        </w:rPr>
        <w:t>Network</w:t>
      </w:r>
    </w:p>
    <w:p>
      <w:pPr>
        <w:spacing w:after="0" w:line="204" w:lineRule="exact"/>
        <w:rPr>
          <w:sz w:val="20"/>
          <w:szCs w:val="20"/>
          <w:color w:val="auto"/>
        </w:rPr>
      </w:pPr>
    </w:p>
    <w:p>
      <w:pPr>
        <w:ind w:left="791" w:hanging="301"/>
        <w:spacing w:after="0"/>
        <w:tabs>
          <w:tab w:leader="none" w:pos="791" w:val="left"/>
        </w:tabs>
        <w:numPr>
          <w:ilvl w:val="0"/>
          <w:numId w:val="16"/>
        </w:numPr>
        <w:rPr>
          <w:rFonts w:ascii="Arial" w:cs="Arial" w:eastAsia="Arial" w:hAnsi="Arial"/>
          <w:sz w:val="30"/>
          <w:szCs w:val="30"/>
          <w:color w:val="C0C0C0"/>
        </w:rPr>
      </w:pPr>
      <w:r>
        <w:rPr>
          <w:rFonts w:ascii="Arial" w:cs="Arial" w:eastAsia="Arial" w:hAnsi="Arial"/>
          <w:sz w:val="37"/>
          <w:szCs w:val="37"/>
          <w:color w:val="auto"/>
        </w:rPr>
        <w:t>3,200 miles</w:t>
      </w:r>
    </w:p>
    <w:p>
      <w:pPr>
        <w:spacing w:after="0" w:line="215" w:lineRule="exact"/>
        <w:rPr>
          <w:rFonts w:ascii="Arial" w:cs="Arial" w:eastAsia="Arial" w:hAnsi="Arial"/>
          <w:sz w:val="30"/>
          <w:szCs w:val="30"/>
          <w:color w:val="C0C0C0"/>
        </w:rPr>
      </w:pPr>
    </w:p>
    <w:p>
      <w:pPr>
        <w:ind w:left="791" w:hanging="301"/>
        <w:spacing w:after="0"/>
        <w:tabs>
          <w:tab w:leader="none" w:pos="791" w:val="left"/>
        </w:tabs>
        <w:numPr>
          <w:ilvl w:val="0"/>
          <w:numId w:val="16"/>
        </w:numPr>
        <w:rPr>
          <w:rFonts w:ascii="Arial" w:cs="Arial" w:eastAsia="Arial" w:hAnsi="Arial"/>
          <w:sz w:val="30"/>
          <w:szCs w:val="30"/>
          <w:color w:val="C0C0C0"/>
        </w:rPr>
      </w:pPr>
      <w:r>
        <w:rPr>
          <w:rFonts w:ascii="Arial" w:cs="Arial" w:eastAsia="Arial" w:hAnsi="Arial"/>
          <w:sz w:val="37"/>
          <w:szCs w:val="37"/>
          <w:color w:val="auto"/>
        </w:rPr>
        <w:t>900 miles of fiber</w:t>
      </w:r>
    </w:p>
    <w:p>
      <w:pPr>
        <w:spacing w:after="0" w:line="204" w:lineRule="exact"/>
        <w:rPr>
          <w:rFonts w:ascii="Arial" w:cs="Arial" w:eastAsia="Arial" w:hAnsi="Arial"/>
          <w:sz w:val="30"/>
          <w:szCs w:val="30"/>
          <w:color w:val="C0C0C0"/>
        </w:rPr>
      </w:pPr>
    </w:p>
    <w:p>
      <w:pPr>
        <w:ind w:left="791" w:hanging="301"/>
        <w:spacing w:after="0"/>
        <w:tabs>
          <w:tab w:leader="none" w:pos="791" w:val="left"/>
        </w:tabs>
        <w:numPr>
          <w:ilvl w:val="0"/>
          <w:numId w:val="16"/>
        </w:numPr>
        <w:rPr>
          <w:rFonts w:ascii="Arial" w:cs="Arial" w:eastAsia="Arial" w:hAnsi="Arial"/>
          <w:sz w:val="30"/>
          <w:szCs w:val="30"/>
          <w:color w:val="C0C0C0"/>
        </w:rPr>
      </w:pPr>
      <w:r>
        <w:rPr>
          <w:rFonts w:ascii="Arial" w:cs="Arial" w:eastAsia="Arial" w:hAnsi="Arial"/>
          <w:sz w:val="37"/>
          <w:szCs w:val="37"/>
          <w:color w:val="auto"/>
        </w:rPr>
        <w:t>84% two way</w:t>
      </w:r>
    </w:p>
    <w:p>
      <w:pPr>
        <w:spacing w:after="0" w:line="216" w:lineRule="exact"/>
        <w:rPr>
          <w:sz w:val="20"/>
          <w:szCs w:val="20"/>
          <w:color w:val="auto"/>
        </w:rPr>
      </w:pPr>
    </w:p>
    <w:p>
      <w:pPr>
        <w:ind w:left="331" w:hanging="331"/>
        <w:spacing w:after="0"/>
        <w:tabs>
          <w:tab w:leader="none" w:pos="331" w:val="left"/>
        </w:tabs>
        <w:numPr>
          <w:ilvl w:val="0"/>
          <w:numId w:val="17"/>
        </w:numPr>
        <w:rPr>
          <w:rFonts w:ascii="Arial" w:cs="Arial" w:eastAsia="Arial" w:hAnsi="Arial"/>
          <w:sz w:val="37"/>
          <w:szCs w:val="37"/>
          <w:color w:val="840039"/>
        </w:rPr>
      </w:pPr>
      <w:r>
        <w:rPr>
          <w:rFonts w:ascii="Arial" w:cs="Arial" w:eastAsia="Arial" w:hAnsi="Arial"/>
          <w:sz w:val="37"/>
          <w:szCs w:val="37"/>
          <w:color w:val="auto"/>
        </w:rPr>
        <w:t>Competition</w:t>
      </w:r>
    </w:p>
    <w:p>
      <w:pPr>
        <w:spacing w:after="0" w:line="204" w:lineRule="exact"/>
        <w:rPr>
          <w:sz w:val="20"/>
          <w:szCs w:val="20"/>
          <w:color w:val="auto"/>
        </w:rPr>
      </w:pPr>
    </w:p>
    <w:p>
      <w:pPr>
        <w:ind w:left="791" w:hanging="301"/>
        <w:spacing w:after="0"/>
        <w:tabs>
          <w:tab w:leader="none" w:pos="791" w:val="left"/>
        </w:tabs>
        <w:numPr>
          <w:ilvl w:val="0"/>
          <w:numId w:val="18"/>
        </w:numPr>
        <w:rPr>
          <w:rFonts w:ascii="Arial" w:cs="Arial" w:eastAsia="Arial" w:hAnsi="Arial"/>
          <w:sz w:val="28"/>
          <w:szCs w:val="28"/>
          <w:color w:val="C0C0C0"/>
        </w:rPr>
      </w:pPr>
      <w:r>
        <w:rPr>
          <w:rFonts w:ascii="Arial" w:cs="Arial" w:eastAsia="Arial" w:hAnsi="Arial"/>
          <w:sz w:val="35"/>
          <w:szCs w:val="35"/>
          <w:color w:val="auto"/>
        </w:rPr>
        <w:t>No fiber to the home</w:t>
      </w:r>
    </w:p>
    <w:p>
      <w:pPr>
        <w:spacing w:after="0" w:line="239" w:lineRule="exact"/>
        <w:rPr>
          <w:rFonts w:ascii="Arial" w:cs="Arial" w:eastAsia="Arial" w:hAnsi="Arial"/>
          <w:sz w:val="28"/>
          <w:szCs w:val="28"/>
          <w:color w:val="C0C0C0"/>
        </w:rPr>
      </w:pPr>
    </w:p>
    <w:p>
      <w:pPr>
        <w:ind w:left="911" w:right="1040" w:hanging="421"/>
        <w:spacing w:after="0" w:line="280" w:lineRule="auto"/>
        <w:tabs>
          <w:tab w:leader="none" w:pos="792" w:val="left"/>
        </w:tabs>
        <w:numPr>
          <w:ilvl w:val="0"/>
          <w:numId w:val="18"/>
        </w:numPr>
        <w:rPr>
          <w:rFonts w:ascii="Arial" w:cs="Arial" w:eastAsia="Arial" w:hAnsi="Arial"/>
          <w:sz w:val="28"/>
          <w:szCs w:val="28"/>
          <w:color w:val="C0C0C0"/>
        </w:rPr>
      </w:pPr>
      <w:r>
        <w:rPr>
          <w:rFonts w:ascii="Arial" w:cs="Arial" w:eastAsia="Arial" w:hAnsi="Arial"/>
          <w:sz w:val="35"/>
          <w:szCs w:val="35"/>
          <w:color w:val="auto"/>
        </w:rPr>
        <w:t>CenturyLink, Verizon and Frontier</w:t>
      </w:r>
    </w:p>
    <w:p>
      <w:pPr>
        <w:spacing w:after="0" w:line="98" w:lineRule="exact"/>
        <w:rPr>
          <w:rFonts w:ascii="Arial" w:cs="Arial" w:eastAsia="Arial" w:hAnsi="Arial"/>
          <w:sz w:val="28"/>
          <w:szCs w:val="28"/>
          <w:color w:val="C0C0C0"/>
        </w:rPr>
      </w:pPr>
    </w:p>
    <w:p>
      <w:pPr>
        <w:ind w:left="791" w:hanging="301"/>
        <w:spacing w:after="0"/>
        <w:tabs>
          <w:tab w:leader="none" w:pos="791" w:val="left"/>
        </w:tabs>
        <w:numPr>
          <w:ilvl w:val="0"/>
          <w:numId w:val="18"/>
        </w:numPr>
        <w:rPr>
          <w:rFonts w:ascii="Arial" w:cs="Arial" w:eastAsia="Arial" w:hAnsi="Arial"/>
          <w:sz w:val="30"/>
          <w:szCs w:val="30"/>
          <w:color w:val="C0C0C0"/>
        </w:rPr>
      </w:pPr>
      <w:r>
        <w:rPr>
          <w:rFonts w:ascii="Arial" w:cs="Arial" w:eastAsia="Arial" w:hAnsi="Arial"/>
          <w:sz w:val="37"/>
          <w:szCs w:val="37"/>
          <w:color w:val="auto"/>
        </w:rPr>
        <w:t>Satellite providers</w:t>
      </w:r>
    </w:p>
    <w:p>
      <w:pPr>
        <w:spacing w:after="0" w:line="1099" w:lineRule="exact"/>
        <w:rPr>
          <w:sz w:val="20"/>
          <w:szCs w:val="20"/>
          <w:color w:val="auto"/>
        </w:rPr>
      </w:pPr>
    </w:p>
    <w:p>
      <w:pPr>
        <w:sectPr>
          <w:pgSz w:w="11900" w:h="16838" w:orient="portrait"/>
          <w:cols w:equalWidth="0" w:num="2">
            <w:col w:w="4609" w:space="720"/>
            <w:col w:w="5091"/>
          </w:cols>
          <w:pgMar w:left="660" w:top="1013" w:right="819" w:bottom="1440" w:gutter="0" w:footer="0" w:header="0"/>
          <w:type w:val="continuous"/>
        </w:sectPr>
      </w:pPr>
    </w:p>
    <w:p>
      <w:pPr>
        <w:spacing w:after="0" w:line="45"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403860</wp:posOffset>
            </wp:positionV>
            <wp:extent cx="727075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420"/>
          </w:cols>
          <w:pgMar w:left="660" w:top="1013" w:right="8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JBB Acquisition - Rationale</w:t>
      </w:r>
    </w:p>
    <w:p>
      <w:pPr>
        <w:spacing w:after="0" w:line="273" w:lineRule="exact"/>
        <w:rPr>
          <w:sz w:val="20"/>
          <w:szCs w:val="20"/>
          <w:color w:val="auto"/>
        </w:rPr>
      </w:pPr>
    </w:p>
    <w:p>
      <w:pPr>
        <w:ind w:left="620" w:hanging="321"/>
        <w:spacing w:after="0"/>
        <w:tabs>
          <w:tab w:leader="none" w:pos="620" w:val="left"/>
        </w:tabs>
        <w:numPr>
          <w:ilvl w:val="0"/>
          <w:numId w:val="19"/>
        </w:numPr>
        <w:rPr>
          <w:rFonts w:ascii="Arial" w:cs="Arial" w:eastAsia="Arial" w:hAnsi="Arial"/>
          <w:sz w:val="37"/>
          <w:szCs w:val="37"/>
          <w:color w:val="840039"/>
        </w:rPr>
      </w:pPr>
      <w:r>
        <w:rPr>
          <w:rFonts w:ascii="Arial" w:cs="Arial" w:eastAsia="Arial" w:hAnsi="Arial"/>
          <w:sz w:val="37"/>
          <w:szCs w:val="37"/>
          <w:color w:val="auto"/>
        </w:rPr>
        <w:t>Diversification</w:t>
      </w:r>
    </w:p>
    <w:p>
      <w:pPr>
        <w:spacing w:after="0" w:line="204" w:lineRule="exact"/>
        <w:rPr>
          <w:rFonts w:ascii="Arial" w:cs="Arial" w:eastAsia="Arial" w:hAnsi="Arial"/>
          <w:sz w:val="37"/>
          <w:szCs w:val="37"/>
          <w:color w:val="840039"/>
        </w:rPr>
      </w:pPr>
    </w:p>
    <w:p>
      <w:pPr>
        <w:ind w:left="620" w:hanging="321"/>
        <w:spacing w:after="0"/>
        <w:tabs>
          <w:tab w:leader="none" w:pos="620" w:val="left"/>
        </w:tabs>
        <w:numPr>
          <w:ilvl w:val="0"/>
          <w:numId w:val="19"/>
        </w:numPr>
        <w:rPr>
          <w:rFonts w:ascii="Arial" w:cs="Arial" w:eastAsia="Arial" w:hAnsi="Arial"/>
          <w:sz w:val="37"/>
          <w:szCs w:val="37"/>
          <w:color w:val="840039"/>
        </w:rPr>
      </w:pPr>
      <w:r>
        <w:rPr>
          <w:rFonts w:ascii="Arial" w:cs="Arial" w:eastAsia="Arial" w:hAnsi="Arial"/>
          <w:sz w:val="37"/>
          <w:szCs w:val="37"/>
          <w:color w:val="auto"/>
        </w:rPr>
        <w:t>Scale</w:t>
      </w:r>
    </w:p>
    <w:p>
      <w:pPr>
        <w:spacing w:after="0" w:line="215" w:lineRule="exact"/>
        <w:rPr>
          <w:rFonts w:ascii="Arial" w:cs="Arial" w:eastAsia="Arial" w:hAnsi="Arial"/>
          <w:sz w:val="37"/>
          <w:szCs w:val="37"/>
          <w:color w:val="840039"/>
        </w:rPr>
      </w:pPr>
    </w:p>
    <w:p>
      <w:pPr>
        <w:ind w:left="620" w:hanging="321"/>
        <w:spacing w:after="0"/>
        <w:tabs>
          <w:tab w:leader="none" w:pos="620" w:val="left"/>
        </w:tabs>
        <w:numPr>
          <w:ilvl w:val="0"/>
          <w:numId w:val="19"/>
        </w:numPr>
        <w:rPr>
          <w:rFonts w:ascii="Arial" w:cs="Arial" w:eastAsia="Arial" w:hAnsi="Arial"/>
          <w:sz w:val="37"/>
          <w:szCs w:val="37"/>
          <w:color w:val="840039"/>
        </w:rPr>
      </w:pPr>
      <w:r>
        <w:rPr>
          <w:rFonts w:ascii="Arial" w:cs="Arial" w:eastAsia="Arial" w:hAnsi="Arial"/>
          <w:sz w:val="37"/>
          <w:szCs w:val="37"/>
          <w:color w:val="auto"/>
        </w:rPr>
        <w:t>Below Market Penetration</w:t>
      </w:r>
    </w:p>
    <w:p>
      <w:pPr>
        <w:spacing w:after="0" w:line="204" w:lineRule="exact"/>
        <w:rPr>
          <w:rFonts w:ascii="Arial" w:cs="Arial" w:eastAsia="Arial" w:hAnsi="Arial"/>
          <w:sz w:val="37"/>
          <w:szCs w:val="37"/>
          <w:color w:val="840039"/>
        </w:rPr>
      </w:pPr>
    </w:p>
    <w:p>
      <w:pPr>
        <w:ind w:left="620" w:hanging="321"/>
        <w:spacing w:after="0"/>
        <w:tabs>
          <w:tab w:leader="none" w:pos="620" w:val="left"/>
        </w:tabs>
        <w:numPr>
          <w:ilvl w:val="0"/>
          <w:numId w:val="19"/>
        </w:numPr>
        <w:rPr>
          <w:rFonts w:ascii="Arial" w:cs="Arial" w:eastAsia="Arial" w:hAnsi="Arial"/>
          <w:sz w:val="37"/>
          <w:szCs w:val="37"/>
          <w:color w:val="840039"/>
        </w:rPr>
      </w:pPr>
      <w:r>
        <w:rPr>
          <w:rFonts w:ascii="Arial" w:cs="Arial" w:eastAsia="Arial" w:hAnsi="Arial"/>
          <w:sz w:val="37"/>
          <w:szCs w:val="37"/>
          <w:color w:val="auto"/>
        </w:rPr>
        <w:t>Geographic Fit</w:t>
      </w:r>
    </w:p>
    <w:p>
      <w:pPr>
        <w:spacing w:after="0" w:line="215" w:lineRule="exact"/>
        <w:rPr>
          <w:rFonts w:ascii="Arial" w:cs="Arial" w:eastAsia="Arial" w:hAnsi="Arial"/>
          <w:sz w:val="37"/>
          <w:szCs w:val="37"/>
          <w:color w:val="840039"/>
        </w:rPr>
      </w:pPr>
    </w:p>
    <w:p>
      <w:pPr>
        <w:ind w:left="620" w:hanging="321"/>
        <w:spacing w:after="0"/>
        <w:tabs>
          <w:tab w:leader="none" w:pos="620" w:val="left"/>
        </w:tabs>
        <w:numPr>
          <w:ilvl w:val="0"/>
          <w:numId w:val="19"/>
        </w:numPr>
        <w:rPr>
          <w:rFonts w:ascii="Arial" w:cs="Arial" w:eastAsia="Arial" w:hAnsi="Arial"/>
          <w:sz w:val="37"/>
          <w:szCs w:val="37"/>
          <w:color w:val="840039"/>
        </w:rPr>
      </w:pPr>
      <w:r>
        <w:rPr>
          <w:rFonts w:ascii="Arial" w:cs="Arial" w:eastAsia="Arial" w:hAnsi="Arial"/>
          <w:sz w:val="37"/>
          <w:szCs w:val="37"/>
          <w:color w:val="auto"/>
        </w:rPr>
        <w:t>Synergies</w:t>
      </w:r>
    </w:p>
    <w:p>
      <w:pPr>
        <w:spacing w:after="0" w:line="204" w:lineRule="exact"/>
        <w:rPr>
          <w:rFonts w:ascii="Arial" w:cs="Arial" w:eastAsia="Arial" w:hAnsi="Arial"/>
          <w:sz w:val="37"/>
          <w:szCs w:val="37"/>
          <w:color w:val="840039"/>
        </w:rPr>
      </w:pPr>
    </w:p>
    <w:p>
      <w:pPr>
        <w:ind w:left="620" w:hanging="321"/>
        <w:spacing w:after="0"/>
        <w:tabs>
          <w:tab w:leader="none" w:pos="620" w:val="left"/>
        </w:tabs>
        <w:numPr>
          <w:ilvl w:val="0"/>
          <w:numId w:val="19"/>
        </w:numPr>
        <w:rPr>
          <w:rFonts w:ascii="Arial" w:cs="Arial" w:eastAsia="Arial" w:hAnsi="Arial"/>
          <w:sz w:val="37"/>
          <w:szCs w:val="37"/>
          <w:color w:val="840039"/>
        </w:rPr>
      </w:pPr>
      <w:r>
        <w:rPr>
          <w:rFonts w:ascii="Arial" w:cs="Arial" w:eastAsia="Arial" w:hAnsi="Arial"/>
          <w:sz w:val="37"/>
          <w:szCs w:val="37"/>
          <w:color w:val="auto"/>
        </w:rPr>
        <w:t>Leveraging Core Competencies</w:t>
      </w:r>
    </w:p>
    <w:p>
      <w:pPr>
        <w:spacing w:after="0" w:line="215" w:lineRule="exact"/>
        <w:rPr>
          <w:rFonts w:ascii="Arial" w:cs="Arial" w:eastAsia="Arial" w:hAnsi="Arial"/>
          <w:sz w:val="37"/>
          <w:szCs w:val="37"/>
          <w:color w:val="840039"/>
        </w:rPr>
      </w:pPr>
    </w:p>
    <w:p>
      <w:pPr>
        <w:ind w:left="620" w:hanging="321"/>
        <w:spacing w:after="0"/>
        <w:tabs>
          <w:tab w:leader="none" w:pos="620" w:val="left"/>
        </w:tabs>
        <w:numPr>
          <w:ilvl w:val="0"/>
          <w:numId w:val="19"/>
        </w:numPr>
        <w:rPr>
          <w:rFonts w:ascii="Arial" w:cs="Arial" w:eastAsia="Arial" w:hAnsi="Arial"/>
          <w:sz w:val="37"/>
          <w:szCs w:val="37"/>
          <w:color w:val="840039"/>
        </w:rPr>
      </w:pPr>
      <w:r>
        <w:rPr>
          <w:rFonts w:ascii="Arial" w:cs="Arial" w:eastAsia="Arial" w:hAnsi="Arial"/>
          <w:sz w:val="37"/>
          <w:szCs w:val="37"/>
          <w:color w:val="auto"/>
        </w:rPr>
        <w:t>Coaxial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381635</wp:posOffset>
            </wp:positionV>
            <wp:extent cx="727075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300"/>
          </w:cols>
          <w:pgMar w:left="780" w:top="968" w:right="819" w:bottom="1440" w:gutter="0" w:footer="0" w:header="0"/>
        </w:sectPr>
      </w:pPr>
    </w:p>
    <w:bookmarkStart w:id="24" w:name="page25"/>
    <w:bookmarkEnd w:id="24"/>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Percent of Homes Passed with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381635</wp:posOffset>
            </wp:positionV>
            <wp:extent cx="727075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380"/>
          </w:cols>
          <w:pgMar w:left="700" w:top="804" w:right="819" w:bottom="1440" w:gutter="0" w:footer="0" w:header="0"/>
        </w:sectPr>
      </w:pPr>
    </w:p>
    <w:bookmarkStart w:id="25" w:name="page26"/>
    <w:bookmarkEnd w:id="25"/>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JBB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381635</wp:posOffset>
            </wp:positionV>
            <wp:extent cx="727075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300"/>
          </w:cols>
          <w:pgMar w:left="780" w:top="968" w:right="819" w:bottom="1440" w:gutter="0" w:footer="0" w:header="0"/>
        </w:sectPr>
      </w:pPr>
    </w:p>
    <w:bookmarkStart w:id="26" w:name="page27"/>
    <w:bookmarkEnd w:id="26"/>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Key Operational Metrics - With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Pro Forma for Periods Ending March 31, 2010</w:t>
      </w:r>
    </w:p>
    <w:p>
      <w:pPr>
        <w:spacing w:after="0" w:line="246" w:lineRule="exact"/>
        <w:rPr>
          <w:sz w:val="20"/>
          <w:szCs w:val="20"/>
          <w:color w:val="auto"/>
        </w:rPr>
      </w:pPr>
    </w:p>
    <w:p>
      <w:pPr>
        <w:ind w:left="980"/>
        <w:spacing w:after="0"/>
        <w:tabs>
          <w:tab w:leader="none" w:pos="6840" w:val="left"/>
        </w:tabs>
        <w:rPr>
          <w:sz w:val="20"/>
          <w:szCs w:val="20"/>
          <w:color w:val="auto"/>
        </w:rPr>
      </w:pPr>
      <w:r>
        <w:rPr>
          <w:rFonts w:ascii="Arial" w:cs="Arial" w:eastAsia="Arial" w:hAnsi="Arial"/>
          <w:sz w:val="25"/>
          <w:szCs w:val="25"/>
          <w:b w:val="1"/>
          <w:bCs w:val="1"/>
          <w:color w:val="FFFFFF"/>
        </w:rPr>
        <w:t>Cable Homes Passed (in 000’s)</w:t>
      </w:r>
      <w:r>
        <w:rPr>
          <w:sz w:val="20"/>
          <w:szCs w:val="20"/>
          <w:color w:val="auto"/>
        </w:rPr>
        <w:tab/>
      </w:r>
      <w:r>
        <w:rPr>
          <w:rFonts w:ascii="Arial" w:cs="Arial" w:eastAsia="Arial" w:hAnsi="Arial"/>
          <w:sz w:val="22"/>
          <w:szCs w:val="22"/>
          <w:b w:val="1"/>
          <w:bCs w:val="1"/>
          <w:color w:val="FFFFFF"/>
        </w:rPr>
        <w:t>RGUs (in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20"/>
        <w:spacing w:after="0"/>
        <w:tabs>
          <w:tab w:leader="none" w:pos="6600" w:val="left"/>
        </w:tabs>
        <w:rPr>
          <w:sz w:val="20"/>
          <w:szCs w:val="20"/>
          <w:color w:val="auto"/>
        </w:rPr>
      </w:pPr>
      <w:r>
        <w:rPr>
          <w:rFonts w:ascii="Arial" w:cs="Arial" w:eastAsia="Arial" w:hAnsi="Arial"/>
          <w:sz w:val="25"/>
          <w:szCs w:val="25"/>
          <w:b w:val="1"/>
          <w:bCs w:val="1"/>
          <w:color w:val="FFFFFF"/>
        </w:rPr>
        <w:t>Revenues (in millions)</w:t>
      </w:r>
      <w:r>
        <w:rPr>
          <w:sz w:val="20"/>
          <w:szCs w:val="20"/>
          <w:color w:val="auto"/>
        </w:rPr>
        <w:tab/>
      </w:r>
      <w:r>
        <w:rPr>
          <w:rFonts w:ascii="Arial" w:cs="Arial" w:eastAsia="Arial" w:hAnsi="Arial"/>
          <w:sz w:val="23"/>
          <w:szCs w:val="23"/>
          <w:b w:val="1"/>
          <w:bCs w:val="1"/>
          <w:color w:val="FFFFFF"/>
        </w:rPr>
        <w:t>OIBDA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56" w:right="819" w:bottom="1440" w:gutter="0" w:footer="0" w:header="0"/>
        </w:sectPr>
      </w:pPr>
    </w:p>
    <w:bookmarkStart w:id="27" w:name="page28"/>
    <w:bookmarkEnd w:id="27"/>
    <w:p>
      <w:pPr>
        <w:spacing w:after="0" w:line="3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r>
    </w:p>
    <w:p>
      <w:pPr>
        <w:ind w:left="2240"/>
        <w:spacing w:after="0"/>
        <w:rPr>
          <w:sz w:val="20"/>
          <w:szCs w:val="20"/>
          <w:color w:val="auto"/>
        </w:rPr>
      </w:pPr>
      <w:r>
        <w:rPr>
          <w:rFonts w:ascii="Arial" w:cs="Arial" w:eastAsia="Arial" w:hAnsi="Arial"/>
          <w:sz w:val="25"/>
          <w:szCs w:val="25"/>
          <w:b w:val="1"/>
          <w:bCs w:val="1"/>
          <w:color w:val="FFFFFF"/>
        </w:rPr>
        <w:t>Capital Expenditures by Segment ($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381635</wp:posOffset>
            </wp:positionV>
            <wp:extent cx="727075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9640"/>
          </w:cols>
          <w:pgMar w:left="1440" w:top="1440" w:right="819" w:bottom="1440" w:gutter="0" w:footer="0" w:header="0"/>
        </w:sectPr>
      </w:pPr>
    </w:p>
    <w:bookmarkStart w:id="28" w:name="page29"/>
    <w:bookmarkEnd w:id="28"/>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JBB Execution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20" w:hanging="321"/>
        <w:spacing w:after="0"/>
        <w:tabs>
          <w:tab w:leader="none" w:pos="620" w:val="left"/>
        </w:tabs>
        <w:numPr>
          <w:ilvl w:val="0"/>
          <w:numId w:val="20"/>
        </w:numPr>
        <w:rPr>
          <w:rFonts w:ascii="Arial" w:cs="Arial" w:eastAsia="Arial" w:hAnsi="Arial"/>
          <w:sz w:val="37"/>
          <w:szCs w:val="37"/>
          <w:color w:val="840039"/>
        </w:rPr>
      </w:pPr>
      <w:r>
        <w:rPr>
          <w:rFonts w:ascii="Arial" w:cs="Arial" w:eastAsia="Arial" w:hAnsi="Arial"/>
          <w:sz w:val="37"/>
          <w:szCs w:val="37"/>
          <w:color w:val="auto"/>
        </w:rPr>
        <w:t>Success with Rapid Acquisition</w:t>
      </w:r>
    </w:p>
    <w:p>
      <w:pPr>
        <w:spacing w:after="0" w:line="215" w:lineRule="exact"/>
        <w:rPr>
          <w:rFonts w:ascii="Arial" w:cs="Arial" w:eastAsia="Arial" w:hAnsi="Arial"/>
          <w:sz w:val="37"/>
          <w:szCs w:val="37"/>
          <w:color w:val="840039"/>
        </w:rPr>
      </w:pPr>
    </w:p>
    <w:p>
      <w:pPr>
        <w:ind w:left="620" w:hanging="321"/>
        <w:spacing w:after="0"/>
        <w:tabs>
          <w:tab w:leader="none" w:pos="620" w:val="left"/>
        </w:tabs>
        <w:numPr>
          <w:ilvl w:val="0"/>
          <w:numId w:val="20"/>
        </w:numPr>
        <w:rPr>
          <w:rFonts w:ascii="Arial" w:cs="Arial" w:eastAsia="Arial" w:hAnsi="Arial"/>
          <w:sz w:val="37"/>
          <w:szCs w:val="37"/>
          <w:color w:val="840039"/>
        </w:rPr>
      </w:pPr>
      <w:r>
        <w:rPr>
          <w:rFonts w:ascii="Arial" w:cs="Arial" w:eastAsia="Arial" w:hAnsi="Arial"/>
          <w:sz w:val="37"/>
          <w:szCs w:val="37"/>
          <w:color w:val="auto"/>
        </w:rPr>
        <w:t>Network Interconnection</w:t>
      </w:r>
    </w:p>
    <w:p>
      <w:pPr>
        <w:spacing w:after="0" w:line="204" w:lineRule="exact"/>
        <w:rPr>
          <w:rFonts w:ascii="Arial" w:cs="Arial" w:eastAsia="Arial" w:hAnsi="Arial"/>
          <w:sz w:val="37"/>
          <w:szCs w:val="37"/>
          <w:color w:val="840039"/>
        </w:rPr>
      </w:pPr>
    </w:p>
    <w:p>
      <w:pPr>
        <w:ind w:left="620" w:hanging="321"/>
        <w:spacing w:after="0"/>
        <w:tabs>
          <w:tab w:leader="none" w:pos="620" w:val="left"/>
        </w:tabs>
        <w:numPr>
          <w:ilvl w:val="0"/>
          <w:numId w:val="20"/>
        </w:numPr>
        <w:rPr>
          <w:rFonts w:ascii="Arial" w:cs="Arial" w:eastAsia="Arial" w:hAnsi="Arial"/>
          <w:sz w:val="37"/>
          <w:szCs w:val="37"/>
          <w:color w:val="840039"/>
        </w:rPr>
      </w:pPr>
      <w:r>
        <w:rPr>
          <w:rFonts w:ascii="Arial" w:cs="Arial" w:eastAsia="Arial" w:hAnsi="Arial"/>
          <w:sz w:val="37"/>
          <w:szCs w:val="37"/>
          <w:color w:val="auto"/>
        </w:rPr>
        <w:t>Proven Technologies</w:t>
      </w:r>
    </w:p>
    <w:p>
      <w:pPr>
        <w:spacing w:after="0" w:line="215" w:lineRule="exact"/>
        <w:rPr>
          <w:rFonts w:ascii="Arial" w:cs="Arial" w:eastAsia="Arial" w:hAnsi="Arial"/>
          <w:sz w:val="37"/>
          <w:szCs w:val="37"/>
          <w:color w:val="840039"/>
        </w:rPr>
      </w:pPr>
    </w:p>
    <w:p>
      <w:pPr>
        <w:ind w:left="620" w:hanging="321"/>
        <w:spacing w:after="0"/>
        <w:tabs>
          <w:tab w:leader="none" w:pos="620" w:val="left"/>
        </w:tabs>
        <w:numPr>
          <w:ilvl w:val="0"/>
          <w:numId w:val="20"/>
        </w:numPr>
        <w:rPr>
          <w:rFonts w:ascii="Arial" w:cs="Arial" w:eastAsia="Arial" w:hAnsi="Arial"/>
          <w:sz w:val="37"/>
          <w:szCs w:val="37"/>
          <w:color w:val="840039"/>
        </w:rPr>
      </w:pPr>
      <w:r>
        <w:rPr>
          <w:rFonts w:ascii="Arial" w:cs="Arial" w:eastAsia="Arial" w:hAnsi="Arial"/>
          <w:sz w:val="37"/>
          <w:szCs w:val="37"/>
          <w:color w:val="auto"/>
        </w:rPr>
        <w:t>Similar Demographics</w:t>
      </w:r>
    </w:p>
    <w:p>
      <w:pPr>
        <w:spacing w:after="0" w:line="204" w:lineRule="exact"/>
        <w:rPr>
          <w:rFonts w:ascii="Arial" w:cs="Arial" w:eastAsia="Arial" w:hAnsi="Arial"/>
          <w:sz w:val="37"/>
          <w:szCs w:val="37"/>
          <w:color w:val="840039"/>
        </w:rPr>
      </w:pPr>
    </w:p>
    <w:p>
      <w:pPr>
        <w:ind w:left="620" w:hanging="321"/>
        <w:spacing w:after="0"/>
        <w:tabs>
          <w:tab w:leader="none" w:pos="620" w:val="left"/>
        </w:tabs>
        <w:numPr>
          <w:ilvl w:val="0"/>
          <w:numId w:val="20"/>
        </w:numPr>
        <w:rPr>
          <w:rFonts w:ascii="Arial" w:cs="Arial" w:eastAsia="Arial" w:hAnsi="Arial"/>
          <w:sz w:val="37"/>
          <w:szCs w:val="37"/>
          <w:color w:val="840039"/>
        </w:rPr>
      </w:pPr>
      <w:r>
        <w:rPr>
          <w:rFonts w:ascii="Arial" w:cs="Arial" w:eastAsia="Arial" w:hAnsi="Arial"/>
          <w:sz w:val="37"/>
          <w:szCs w:val="37"/>
          <w:color w:val="auto"/>
        </w:rPr>
        <w:t>Proximity</w:t>
      </w:r>
    </w:p>
    <w:p>
      <w:pPr>
        <w:spacing w:after="0" w:line="215" w:lineRule="exact"/>
        <w:rPr>
          <w:rFonts w:ascii="Arial" w:cs="Arial" w:eastAsia="Arial" w:hAnsi="Arial"/>
          <w:sz w:val="37"/>
          <w:szCs w:val="37"/>
          <w:color w:val="840039"/>
        </w:rPr>
      </w:pPr>
    </w:p>
    <w:p>
      <w:pPr>
        <w:ind w:left="620" w:hanging="321"/>
        <w:spacing w:after="0"/>
        <w:tabs>
          <w:tab w:leader="none" w:pos="620" w:val="left"/>
        </w:tabs>
        <w:numPr>
          <w:ilvl w:val="0"/>
          <w:numId w:val="20"/>
        </w:numPr>
        <w:rPr>
          <w:rFonts w:ascii="Arial" w:cs="Arial" w:eastAsia="Arial" w:hAnsi="Arial"/>
          <w:sz w:val="37"/>
          <w:szCs w:val="37"/>
          <w:color w:val="840039"/>
        </w:rPr>
      </w:pPr>
      <w:r>
        <w:rPr>
          <w:rFonts w:ascii="Arial" w:cs="Arial" w:eastAsia="Arial" w:hAnsi="Arial"/>
          <w:sz w:val="37"/>
          <w:szCs w:val="37"/>
          <w:color w:val="auto"/>
        </w:rPr>
        <w:t>Low Regulatory Risk</w:t>
      </w:r>
    </w:p>
    <w:p>
      <w:pPr>
        <w:spacing w:after="0" w:line="204" w:lineRule="exact"/>
        <w:rPr>
          <w:rFonts w:ascii="Arial" w:cs="Arial" w:eastAsia="Arial" w:hAnsi="Arial"/>
          <w:sz w:val="37"/>
          <w:szCs w:val="37"/>
          <w:color w:val="840039"/>
        </w:rPr>
      </w:pPr>
    </w:p>
    <w:p>
      <w:pPr>
        <w:ind w:left="620" w:hanging="321"/>
        <w:spacing w:after="0"/>
        <w:tabs>
          <w:tab w:leader="none" w:pos="620" w:val="left"/>
        </w:tabs>
        <w:numPr>
          <w:ilvl w:val="0"/>
          <w:numId w:val="20"/>
        </w:numPr>
        <w:rPr>
          <w:rFonts w:ascii="Arial" w:cs="Arial" w:eastAsia="Arial" w:hAnsi="Arial"/>
          <w:sz w:val="37"/>
          <w:szCs w:val="37"/>
          <w:color w:val="840039"/>
        </w:rPr>
      </w:pPr>
      <w:r>
        <w:rPr>
          <w:rFonts w:ascii="Arial" w:cs="Arial" w:eastAsia="Arial" w:hAnsi="Arial"/>
          <w:sz w:val="37"/>
          <w:szCs w:val="37"/>
          <w:color w:val="auto"/>
        </w:rPr>
        <w:t>Strategic Owner Appeal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381635</wp:posOffset>
            </wp:positionV>
            <wp:extent cx="727075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300"/>
          </w:cols>
          <w:pgMar w:left="780" w:top="968" w:right="819" w:bottom="1440" w:gutter="0" w:footer="0" w:header="0"/>
        </w:sectPr>
      </w:pPr>
    </w:p>
    <w:bookmarkStart w:id="29" w:name="page30"/>
    <w:bookmarkEnd w:id="29"/>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0"/>
        <w:spacing w:after="0"/>
        <w:rPr>
          <w:sz w:val="20"/>
          <w:szCs w:val="20"/>
          <w:color w:val="auto"/>
        </w:rPr>
      </w:pPr>
      <w:r>
        <w:rPr>
          <w:rFonts w:ascii="Arial" w:cs="Arial" w:eastAsia="Arial" w:hAnsi="Arial"/>
          <w:sz w:val="34"/>
          <w:szCs w:val="34"/>
          <w:color w:val="auto"/>
        </w:rPr>
        <w:t>Introduction and Shentel Overview</w:t>
      </w: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Arial" w:cs="Arial" w:eastAsia="Arial" w:hAnsi="Arial"/>
          <w:sz w:val="34"/>
          <w:szCs w:val="34"/>
          <w:color w:val="auto"/>
        </w:rPr>
        <w:t>Overview of PCS</w:t>
      </w:r>
    </w:p>
    <w:p>
      <w:pPr>
        <w:spacing w:after="0" w:line="200" w:lineRule="exact"/>
        <w:rPr>
          <w:sz w:val="20"/>
          <w:szCs w:val="20"/>
          <w:color w:val="auto"/>
        </w:rPr>
      </w:pPr>
    </w:p>
    <w:p>
      <w:pPr>
        <w:spacing w:after="0" w:line="237" w:lineRule="exact"/>
        <w:rPr>
          <w:sz w:val="20"/>
          <w:szCs w:val="20"/>
          <w:color w:val="auto"/>
        </w:rPr>
      </w:pPr>
    </w:p>
    <w:p>
      <w:pPr>
        <w:ind w:left="400"/>
        <w:spacing w:after="0"/>
        <w:rPr>
          <w:sz w:val="20"/>
          <w:szCs w:val="20"/>
          <w:color w:val="auto"/>
        </w:rPr>
      </w:pPr>
      <w:r>
        <w:rPr>
          <w:rFonts w:ascii="Arial" w:cs="Arial" w:eastAsia="Arial" w:hAnsi="Arial"/>
          <w:sz w:val="34"/>
          <w:szCs w:val="34"/>
          <w:color w:val="auto"/>
        </w:rPr>
        <w:t>Overview of Cable</w:t>
      </w: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Arial" w:cs="Arial" w:eastAsia="Arial" w:hAnsi="Arial"/>
          <w:sz w:val="34"/>
          <w:szCs w:val="34"/>
          <w:color w:val="840039"/>
        </w:rPr>
        <w:t>Overview of Wireline</w:t>
      </w:r>
    </w:p>
    <w:p>
      <w:pPr>
        <w:spacing w:after="0" w:line="200" w:lineRule="exact"/>
        <w:rPr>
          <w:sz w:val="20"/>
          <w:szCs w:val="20"/>
          <w:color w:val="auto"/>
        </w:rPr>
      </w:pPr>
    </w:p>
    <w:p>
      <w:pPr>
        <w:spacing w:after="0" w:line="237" w:lineRule="exact"/>
        <w:rPr>
          <w:sz w:val="20"/>
          <w:szCs w:val="20"/>
          <w:color w:val="auto"/>
        </w:rPr>
      </w:pPr>
    </w:p>
    <w:p>
      <w:pPr>
        <w:ind w:left="400"/>
        <w:spacing w:after="0"/>
        <w:rPr>
          <w:sz w:val="20"/>
          <w:szCs w:val="20"/>
          <w:color w:val="auto"/>
        </w:rPr>
      </w:pPr>
      <w:r>
        <w:rPr>
          <w:rFonts w:ascii="Arial" w:cs="Arial" w:eastAsia="Arial" w:hAnsi="Arial"/>
          <w:sz w:val="34"/>
          <w:szCs w:val="34"/>
          <w:color w:val="auto"/>
        </w:rPr>
        <w:t>Financials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68" w:right="819" w:bottom="1440" w:gutter="0" w:footer="0" w:header="0"/>
        </w:sectPr>
      </w:pPr>
    </w:p>
    <w:bookmarkStart w:id="30" w:name="page31"/>
    <w:bookmarkEnd w:id="30"/>
    <w:p>
      <w:pPr>
        <w:spacing w:after="0"/>
        <w:rPr>
          <w:sz w:val="20"/>
          <w:szCs w:val="20"/>
          <w:color w:val="auto"/>
        </w:rPr>
      </w:pPr>
      <w:r>
        <w:rPr>
          <w:rFonts w:ascii="Arial" w:cs="Arial" w:eastAsia="Arial" w:hAnsi="Arial"/>
          <w:sz w:val="47"/>
          <w:szCs w:val="47"/>
          <w:b w:val="1"/>
          <w:bCs w:val="1"/>
          <w:color w:val="auto"/>
        </w:rPr>
        <w:t>Wireline Customers</w:t>
      </w:r>
    </w:p>
    <w:p>
      <w:pPr>
        <w:spacing w:after="0" w:line="21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March 31, 2010</w:t>
      </w:r>
    </w:p>
    <w:p>
      <w:pPr>
        <w:spacing w:after="0" w:line="200" w:lineRule="exact"/>
        <w:rPr>
          <w:sz w:val="20"/>
          <w:szCs w:val="20"/>
          <w:color w:val="auto"/>
        </w:rPr>
      </w:pPr>
    </w:p>
    <w:p>
      <w:pPr>
        <w:spacing w:after="0" w:line="238" w:lineRule="exact"/>
        <w:rPr>
          <w:sz w:val="20"/>
          <w:szCs w:val="20"/>
          <w:color w:val="auto"/>
        </w:rPr>
      </w:pPr>
    </w:p>
    <w:p>
      <w:pPr>
        <w:ind w:left="620" w:hanging="341"/>
        <w:spacing w:after="0"/>
        <w:tabs>
          <w:tab w:leader="none" w:pos="620" w:val="left"/>
        </w:tabs>
        <w:numPr>
          <w:ilvl w:val="0"/>
          <w:numId w:val="21"/>
        </w:numPr>
        <w:rPr>
          <w:rFonts w:ascii="Arial" w:cs="Arial" w:eastAsia="Arial" w:hAnsi="Arial"/>
          <w:sz w:val="31"/>
          <w:szCs w:val="31"/>
          <w:color w:val="840039"/>
        </w:rPr>
      </w:pPr>
      <w:r>
        <w:rPr>
          <w:rFonts w:ascii="Arial" w:cs="Arial" w:eastAsia="Arial" w:hAnsi="Arial"/>
          <w:sz w:val="31"/>
          <w:szCs w:val="31"/>
          <w:color w:val="auto"/>
        </w:rPr>
        <w:t>24.2k LEC access lines</w:t>
      </w:r>
    </w:p>
    <w:p>
      <w:pPr>
        <w:spacing w:after="0" w:line="273" w:lineRule="exact"/>
        <w:rPr>
          <w:rFonts w:ascii="Arial" w:cs="Arial" w:eastAsia="Arial" w:hAnsi="Arial"/>
          <w:sz w:val="31"/>
          <w:szCs w:val="31"/>
          <w:color w:val="840039"/>
        </w:rPr>
      </w:pPr>
    </w:p>
    <w:p>
      <w:pPr>
        <w:ind w:left="700" w:right="360" w:hanging="421"/>
        <w:spacing w:after="0" w:line="263" w:lineRule="auto"/>
        <w:tabs>
          <w:tab w:leader="none" w:pos="622" w:val="left"/>
        </w:tabs>
        <w:numPr>
          <w:ilvl w:val="0"/>
          <w:numId w:val="21"/>
        </w:numPr>
        <w:rPr>
          <w:rFonts w:ascii="Arial" w:cs="Arial" w:eastAsia="Arial" w:hAnsi="Arial"/>
          <w:sz w:val="27"/>
          <w:szCs w:val="27"/>
          <w:color w:val="840039"/>
        </w:rPr>
      </w:pPr>
      <w:r>
        <w:rPr>
          <w:rFonts w:ascii="Arial" w:cs="Arial" w:eastAsia="Arial" w:hAnsi="Arial"/>
          <w:sz w:val="27"/>
          <w:szCs w:val="27"/>
          <w:color w:val="auto"/>
        </w:rPr>
        <w:t>Acquisition of North River Telephone closed November</w:t>
      </w:r>
    </w:p>
    <w:p>
      <w:pPr>
        <w:ind w:left="700"/>
        <w:spacing w:after="0" w:line="184" w:lineRule="auto"/>
        <w:rPr>
          <w:rFonts w:ascii="Arial" w:cs="Arial" w:eastAsia="Arial" w:hAnsi="Arial"/>
          <w:sz w:val="27"/>
          <w:szCs w:val="27"/>
          <w:color w:val="840039"/>
        </w:rPr>
      </w:pPr>
      <w:r>
        <w:rPr>
          <w:rFonts w:ascii="Arial" w:cs="Arial" w:eastAsia="Arial" w:hAnsi="Arial"/>
          <w:sz w:val="43"/>
          <w:szCs w:val="43"/>
          <w:color w:val="auto"/>
          <w:vertAlign w:val="subscript"/>
        </w:rPr>
        <w:t>2</w:t>
      </w:r>
      <w:r>
        <w:rPr>
          <w:rFonts w:ascii="Arial" w:cs="Arial" w:eastAsia="Arial" w:hAnsi="Arial"/>
          <w:sz w:val="18"/>
          <w:szCs w:val="18"/>
          <w:color w:val="auto"/>
        </w:rPr>
        <w:t>nd</w:t>
      </w:r>
    </w:p>
    <w:p>
      <w:pPr>
        <w:spacing w:after="0" w:line="107" w:lineRule="exact"/>
        <w:rPr>
          <w:sz w:val="20"/>
          <w:szCs w:val="20"/>
          <w:color w:val="auto"/>
        </w:rPr>
      </w:pPr>
    </w:p>
    <w:p>
      <w:pPr>
        <w:ind w:left="1100" w:hanging="331"/>
        <w:spacing w:after="0"/>
        <w:tabs>
          <w:tab w:leader="none" w:pos="1100" w:val="left"/>
        </w:tabs>
        <w:numPr>
          <w:ilvl w:val="0"/>
          <w:numId w:val="22"/>
        </w:numPr>
        <w:rPr>
          <w:rFonts w:ascii="Arial" w:cs="Arial" w:eastAsia="Arial" w:hAnsi="Arial"/>
          <w:sz w:val="25"/>
          <w:szCs w:val="25"/>
          <w:color w:val="C0C0C0"/>
        </w:rPr>
      </w:pPr>
      <w:r>
        <w:rPr>
          <w:rFonts w:ascii="Arial" w:cs="Arial" w:eastAsia="Arial" w:hAnsi="Arial"/>
          <w:sz w:val="31"/>
          <w:szCs w:val="31"/>
          <w:color w:val="auto"/>
        </w:rPr>
        <w:t>0.9k access lines</w:t>
      </w:r>
    </w:p>
    <w:p>
      <w:pPr>
        <w:spacing w:after="0" w:line="297" w:lineRule="exact"/>
        <w:rPr>
          <w:sz w:val="20"/>
          <w:szCs w:val="20"/>
          <w:color w:val="auto"/>
        </w:rPr>
      </w:pPr>
    </w:p>
    <w:p>
      <w:pPr>
        <w:ind w:left="620" w:hanging="341"/>
        <w:spacing w:after="0"/>
        <w:tabs>
          <w:tab w:leader="none" w:pos="620" w:val="left"/>
        </w:tabs>
        <w:numPr>
          <w:ilvl w:val="0"/>
          <w:numId w:val="23"/>
        </w:numPr>
        <w:rPr>
          <w:rFonts w:ascii="Arial" w:cs="Arial" w:eastAsia="Arial" w:hAnsi="Arial"/>
          <w:sz w:val="31"/>
          <w:szCs w:val="31"/>
          <w:color w:val="840039"/>
        </w:rPr>
      </w:pPr>
      <w:r>
        <w:rPr>
          <w:rFonts w:ascii="Arial" w:cs="Arial" w:eastAsia="Arial" w:hAnsi="Arial"/>
          <w:sz w:val="31"/>
          <w:szCs w:val="31"/>
          <w:color w:val="auto"/>
        </w:rPr>
        <w:t>11.5k DSL subscribers</w:t>
      </w:r>
    </w:p>
    <w:p>
      <w:pPr>
        <w:spacing w:after="0" w:line="133" w:lineRule="exact"/>
        <w:rPr>
          <w:sz w:val="20"/>
          <w:szCs w:val="20"/>
          <w:color w:val="auto"/>
        </w:rPr>
      </w:pPr>
    </w:p>
    <w:p>
      <w:pPr>
        <w:ind w:left="1180" w:right="180" w:hanging="411"/>
        <w:spacing w:after="0" w:line="245" w:lineRule="auto"/>
        <w:tabs>
          <w:tab w:leader="none" w:pos="1083" w:val="left"/>
        </w:tabs>
        <w:numPr>
          <w:ilvl w:val="0"/>
          <w:numId w:val="24"/>
        </w:numPr>
        <w:rPr>
          <w:rFonts w:ascii="Arial" w:cs="Arial" w:eastAsia="Arial" w:hAnsi="Arial"/>
          <w:sz w:val="25"/>
          <w:szCs w:val="25"/>
          <w:color w:val="C0C0C0"/>
        </w:rPr>
      </w:pPr>
      <w:r>
        <w:rPr>
          <w:rFonts w:ascii="Arial" w:cs="Arial" w:eastAsia="Arial" w:hAnsi="Arial"/>
          <w:sz w:val="31"/>
          <w:szCs w:val="31"/>
          <w:color w:val="auto"/>
        </w:rPr>
        <w:t>46% Penetration of Access Lines</w:t>
      </w:r>
    </w:p>
    <w:p>
      <w:pPr>
        <w:spacing w:after="0" w:line="252" w:lineRule="exact"/>
        <w:rPr>
          <w:sz w:val="20"/>
          <w:szCs w:val="20"/>
          <w:color w:val="auto"/>
        </w:rPr>
      </w:pPr>
    </w:p>
    <w:p>
      <w:pPr>
        <w:ind w:left="700" w:right="1460" w:hanging="421"/>
        <w:spacing w:after="0" w:line="297" w:lineRule="auto"/>
        <w:tabs>
          <w:tab w:leader="none" w:pos="622" w:val="left"/>
        </w:tabs>
        <w:numPr>
          <w:ilvl w:val="0"/>
          <w:numId w:val="25"/>
        </w:numPr>
        <w:rPr>
          <w:rFonts w:ascii="Arial" w:cs="Arial" w:eastAsia="Arial" w:hAnsi="Arial"/>
          <w:sz w:val="28"/>
          <w:szCs w:val="28"/>
          <w:color w:val="840039"/>
        </w:rPr>
      </w:pPr>
      <w:r>
        <w:rPr>
          <w:rFonts w:ascii="Arial" w:cs="Arial" w:eastAsia="Arial" w:hAnsi="Arial"/>
          <w:sz w:val="28"/>
          <w:szCs w:val="28"/>
          <w:color w:val="auto"/>
        </w:rPr>
        <w:t>3.0k dial-up Internet subscribers</w:t>
      </w:r>
    </w:p>
    <w:p>
      <w:pPr>
        <w:spacing w:after="0" w:line="182" w:lineRule="exact"/>
        <w:rPr>
          <w:rFonts w:ascii="Arial" w:cs="Arial" w:eastAsia="Arial" w:hAnsi="Arial"/>
          <w:sz w:val="28"/>
          <w:szCs w:val="28"/>
          <w:color w:val="840039"/>
        </w:rPr>
      </w:pPr>
    </w:p>
    <w:p>
      <w:pPr>
        <w:ind w:left="700" w:right="1580" w:hanging="421"/>
        <w:spacing w:after="0" w:line="297" w:lineRule="auto"/>
        <w:tabs>
          <w:tab w:leader="none" w:pos="622" w:val="left"/>
        </w:tabs>
        <w:numPr>
          <w:ilvl w:val="0"/>
          <w:numId w:val="25"/>
        </w:numPr>
        <w:rPr>
          <w:rFonts w:ascii="Arial" w:cs="Arial" w:eastAsia="Arial" w:hAnsi="Arial"/>
          <w:sz w:val="28"/>
          <w:szCs w:val="28"/>
          <w:color w:val="840039"/>
        </w:rPr>
      </w:pPr>
      <w:r>
        <w:rPr>
          <w:rFonts w:ascii="Arial" w:cs="Arial" w:eastAsia="Arial" w:hAnsi="Arial"/>
          <w:sz w:val="28"/>
          <w:szCs w:val="28"/>
          <w:color w:val="auto"/>
        </w:rPr>
        <w:t>10.9k long distance subscribers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20" w:right="1060" w:hanging="419"/>
        <w:spacing w:after="0" w:line="297" w:lineRule="auto"/>
        <w:tabs>
          <w:tab w:leader="none" w:pos="342" w:val="left"/>
        </w:tabs>
        <w:numPr>
          <w:ilvl w:val="0"/>
          <w:numId w:val="26"/>
        </w:numPr>
        <w:rPr>
          <w:rFonts w:ascii="Arial" w:cs="Arial" w:eastAsia="Arial" w:hAnsi="Arial"/>
          <w:sz w:val="28"/>
          <w:szCs w:val="28"/>
          <w:color w:val="840039"/>
        </w:rPr>
      </w:pPr>
      <w:r>
        <w:rPr>
          <w:rFonts w:ascii="Arial" w:cs="Arial" w:eastAsia="Arial" w:hAnsi="Arial"/>
          <w:sz w:val="28"/>
          <w:szCs w:val="28"/>
          <w:color w:val="auto"/>
        </w:rPr>
        <w:t>One FTTH community in service outside of LEC area</w:t>
      </w:r>
    </w:p>
    <w:p>
      <w:pPr>
        <w:spacing w:after="0" w:line="171" w:lineRule="exact"/>
        <w:rPr>
          <w:rFonts w:ascii="Arial" w:cs="Arial" w:eastAsia="Arial" w:hAnsi="Arial"/>
          <w:sz w:val="28"/>
          <w:szCs w:val="28"/>
          <w:color w:val="840039"/>
        </w:rPr>
      </w:pPr>
    </w:p>
    <w:p>
      <w:pPr>
        <w:ind w:left="340" w:hanging="339"/>
        <w:spacing w:after="0"/>
        <w:tabs>
          <w:tab w:leader="none" w:pos="340" w:val="left"/>
        </w:tabs>
        <w:numPr>
          <w:ilvl w:val="0"/>
          <w:numId w:val="26"/>
        </w:numPr>
        <w:rPr>
          <w:rFonts w:ascii="Arial" w:cs="Arial" w:eastAsia="Arial" w:hAnsi="Arial"/>
          <w:sz w:val="31"/>
          <w:szCs w:val="31"/>
          <w:color w:val="840039"/>
        </w:rPr>
      </w:pPr>
      <w:r>
        <w:rPr>
          <w:rFonts w:ascii="Arial" w:cs="Arial" w:eastAsia="Arial" w:hAnsi="Arial"/>
          <w:sz w:val="31"/>
          <w:szCs w:val="31"/>
          <w:color w:val="auto"/>
        </w:rPr>
        <w:t>Fiber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-2240280</wp:posOffset>
            </wp:positionV>
            <wp:extent cx="7109460" cy="53320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r>
    </w:p>
    <w:p>
      <w:pPr>
        <w:spacing w:after="0" w:line="125" w:lineRule="exact"/>
        <w:rPr>
          <w:sz w:val="20"/>
          <w:szCs w:val="20"/>
          <w:color w:val="auto"/>
        </w:rPr>
      </w:pPr>
    </w:p>
    <w:p>
      <w:pPr>
        <w:ind w:left="820" w:hanging="260"/>
        <w:spacing w:after="0"/>
        <w:tabs>
          <w:tab w:leader="none" w:pos="820" w:val="left"/>
        </w:tabs>
        <w:numPr>
          <w:ilvl w:val="0"/>
          <w:numId w:val="27"/>
        </w:numPr>
        <w:rPr>
          <w:rFonts w:ascii="Arial" w:cs="Arial" w:eastAsia="Arial" w:hAnsi="Arial"/>
          <w:sz w:val="25"/>
          <w:szCs w:val="25"/>
          <w:color w:val="C0C0C0"/>
        </w:rPr>
      </w:pPr>
      <w:r>
        <w:rPr>
          <w:rFonts w:ascii="Arial" w:cs="Arial" w:eastAsia="Arial" w:hAnsi="Arial"/>
          <w:sz w:val="31"/>
          <w:szCs w:val="31"/>
          <w:color w:val="auto"/>
        </w:rPr>
        <w:t>Route miles: 1,570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381635</wp:posOffset>
            </wp:positionV>
            <wp:extent cx="727075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2">
            <w:col w:w="4620" w:space="720"/>
            <w:col w:w="4940"/>
          </w:cols>
          <w:pgMar w:left="800" w:top="956" w:right="819" w:bottom="1440" w:gutter="0" w:footer="0" w:header="0"/>
        </w:sectPr>
      </w:pPr>
    </w:p>
    <w:bookmarkStart w:id="31" w:name="page32"/>
    <w:bookmarkEnd w:id="31"/>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0"/>
        <w:spacing w:after="0"/>
        <w:rPr>
          <w:sz w:val="20"/>
          <w:szCs w:val="20"/>
          <w:color w:val="auto"/>
        </w:rPr>
      </w:pPr>
      <w:r>
        <w:rPr>
          <w:rFonts w:ascii="Arial" w:cs="Arial" w:eastAsia="Arial" w:hAnsi="Arial"/>
          <w:sz w:val="34"/>
          <w:szCs w:val="34"/>
          <w:color w:val="auto"/>
        </w:rPr>
        <w:t>Introduction and Shentel Overview</w:t>
      </w: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Arial" w:cs="Arial" w:eastAsia="Arial" w:hAnsi="Arial"/>
          <w:sz w:val="34"/>
          <w:szCs w:val="34"/>
          <w:color w:val="auto"/>
        </w:rPr>
        <w:t>Overview of PCS</w:t>
      </w:r>
    </w:p>
    <w:p>
      <w:pPr>
        <w:spacing w:after="0" w:line="200" w:lineRule="exact"/>
        <w:rPr>
          <w:sz w:val="20"/>
          <w:szCs w:val="20"/>
          <w:color w:val="auto"/>
        </w:rPr>
      </w:pPr>
    </w:p>
    <w:p>
      <w:pPr>
        <w:spacing w:after="0" w:line="237" w:lineRule="exact"/>
        <w:rPr>
          <w:sz w:val="20"/>
          <w:szCs w:val="20"/>
          <w:color w:val="auto"/>
        </w:rPr>
      </w:pPr>
    </w:p>
    <w:p>
      <w:pPr>
        <w:ind w:left="400"/>
        <w:spacing w:after="0"/>
        <w:rPr>
          <w:sz w:val="20"/>
          <w:szCs w:val="20"/>
          <w:color w:val="auto"/>
        </w:rPr>
      </w:pPr>
      <w:r>
        <w:rPr>
          <w:rFonts w:ascii="Arial" w:cs="Arial" w:eastAsia="Arial" w:hAnsi="Arial"/>
          <w:sz w:val="34"/>
          <w:szCs w:val="34"/>
          <w:color w:val="auto"/>
        </w:rPr>
        <w:t>Overview of Cable</w:t>
      </w: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Arial" w:cs="Arial" w:eastAsia="Arial" w:hAnsi="Arial"/>
          <w:sz w:val="34"/>
          <w:szCs w:val="34"/>
          <w:color w:val="auto"/>
        </w:rPr>
        <w:t>Overview of Wireline</w:t>
      </w:r>
    </w:p>
    <w:p>
      <w:pPr>
        <w:spacing w:after="0" w:line="200" w:lineRule="exact"/>
        <w:rPr>
          <w:sz w:val="20"/>
          <w:szCs w:val="20"/>
          <w:color w:val="auto"/>
        </w:rPr>
      </w:pPr>
    </w:p>
    <w:p>
      <w:pPr>
        <w:spacing w:after="0" w:line="237" w:lineRule="exact"/>
        <w:rPr>
          <w:sz w:val="20"/>
          <w:szCs w:val="20"/>
          <w:color w:val="auto"/>
        </w:rPr>
      </w:pPr>
    </w:p>
    <w:p>
      <w:pPr>
        <w:ind w:left="400"/>
        <w:spacing w:after="0"/>
        <w:rPr>
          <w:sz w:val="20"/>
          <w:szCs w:val="20"/>
          <w:color w:val="auto"/>
        </w:rPr>
      </w:pPr>
      <w:r>
        <w:rPr>
          <w:rFonts w:ascii="Arial" w:cs="Arial" w:eastAsia="Arial" w:hAnsi="Arial"/>
          <w:sz w:val="34"/>
          <w:szCs w:val="34"/>
          <w:color w:val="840039"/>
        </w:rPr>
        <w:t>Financials - Adele Skolits -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68" w:right="81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920" w:type="dxa"/>
        <w:tblCellMar>
          <w:top w:w="0" w:type="dxa"/>
          <w:left w:w="0" w:type="dxa"/>
          <w:bottom w:w="0" w:type="dxa"/>
          <w:right w:w="0" w:type="dxa"/>
        </w:tblCellMar>
      </w:tblPr>
      <w:tr>
        <w:trPr>
          <w:trHeight w:val="292"/>
        </w:trPr>
        <w:tc>
          <w:tcPr>
            <w:tcW w:w="2500" w:type="dxa"/>
            <w:vAlign w:val="bottom"/>
            <w:gridSpan w:val="2"/>
            <w:vMerge w:val="restart"/>
          </w:tcPr>
          <w:p>
            <w:pPr>
              <w:ind w:left="200"/>
              <w:spacing w:after="0"/>
              <w:rPr>
                <w:sz w:val="20"/>
                <w:szCs w:val="20"/>
                <w:color w:val="auto"/>
              </w:rPr>
            </w:pPr>
            <w:r>
              <w:rPr>
                <w:rFonts w:ascii="Arial" w:cs="Arial" w:eastAsia="Arial" w:hAnsi="Arial"/>
                <w:sz w:val="25"/>
                <w:szCs w:val="25"/>
                <w:b w:val="1"/>
                <w:bCs w:val="1"/>
                <w:color w:val="FFFFFF"/>
                <w:w w:val="93"/>
              </w:rPr>
              <w:t>Revenue ($ millions)</w:t>
            </w:r>
          </w:p>
        </w:tc>
        <w:tc>
          <w:tcPr>
            <w:tcW w:w="6200" w:type="dxa"/>
            <w:vAlign w:val="bottom"/>
          </w:tcPr>
          <w:p>
            <w:pPr>
              <w:jc w:val="center"/>
              <w:ind w:left="1756"/>
              <w:spacing w:after="0"/>
              <w:rPr>
                <w:sz w:val="20"/>
                <w:szCs w:val="20"/>
                <w:color w:val="auto"/>
              </w:rPr>
            </w:pPr>
            <w:r>
              <w:rPr>
                <w:rFonts w:ascii="Arial" w:cs="Arial" w:eastAsia="Arial" w:hAnsi="Arial"/>
                <w:sz w:val="25"/>
                <w:szCs w:val="25"/>
                <w:b w:val="1"/>
                <w:bCs w:val="1"/>
                <w:color w:val="FFFFFF"/>
                <w:w w:val="90"/>
              </w:rPr>
              <w:t>Net Income from Continuing Operations</w:t>
            </w:r>
          </w:p>
        </w:tc>
        <w:tc>
          <w:tcPr>
            <w:tcW w:w="0" w:type="dxa"/>
            <w:vAlign w:val="bottom"/>
          </w:tcPr>
          <w:p>
            <w:pPr>
              <w:spacing w:after="0"/>
              <w:rPr>
                <w:sz w:val="1"/>
                <w:szCs w:val="1"/>
                <w:color w:val="auto"/>
              </w:rPr>
            </w:pPr>
          </w:p>
        </w:tc>
      </w:tr>
      <w:tr>
        <w:trPr>
          <w:trHeight w:val="172"/>
        </w:trPr>
        <w:tc>
          <w:tcPr>
            <w:tcW w:w="2500" w:type="dxa"/>
            <w:vAlign w:val="bottom"/>
            <w:gridSpan w:val="2"/>
            <w:vMerge w:val="continue"/>
          </w:tcPr>
          <w:p>
            <w:pPr>
              <w:spacing w:after="0"/>
              <w:rPr>
                <w:sz w:val="14"/>
                <w:szCs w:val="14"/>
                <w:color w:val="auto"/>
              </w:rPr>
            </w:pPr>
          </w:p>
        </w:tc>
        <w:tc>
          <w:tcPr>
            <w:tcW w:w="6200" w:type="dxa"/>
            <w:vAlign w:val="bottom"/>
            <w:vMerge w:val="restart"/>
          </w:tcPr>
          <w:p>
            <w:pPr>
              <w:jc w:val="center"/>
              <w:ind w:left="1776"/>
              <w:spacing w:after="0"/>
              <w:rPr>
                <w:sz w:val="20"/>
                <w:szCs w:val="20"/>
                <w:color w:val="auto"/>
              </w:rPr>
            </w:pPr>
            <w:r>
              <w:rPr>
                <w:rFonts w:ascii="Arial" w:cs="Arial" w:eastAsia="Arial" w:hAnsi="Arial"/>
                <w:sz w:val="25"/>
                <w:szCs w:val="25"/>
                <w:b w:val="1"/>
                <w:bCs w:val="1"/>
                <w:color w:val="FFFFFF"/>
                <w:w w:val="89"/>
              </w:rPr>
              <w:t>($ millions)</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1180" w:type="dxa"/>
            <w:vAlign w:val="bottom"/>
          </w:tcPr>
          <w:p>
            <w:pPr>
              <w:spacing w:after="0"/>
              <w:rPr>
                <w:sz w:val="20"/>
                <w:szCs w:val="20"/>
                <w:color w:val="auto"/>
              </w:rPr>
            </w:pPr>
            <w:r>
              <w:rPr>
                <w:rFonts w:ascii="Arial" w:cs="Arial" w:eastAsia="Arial" w:hAnsi="Arial"/>
                <w:sz w:val="25"/>
                <w:szCs w:val="25"/>
                <w:color w:val="auto"/>
              </w:rPr>
              <w:t>Wireless</w:t>
            </w:r>
          </w:p>
        </w:tc>
        <w:tc>
          <w:tcPr>
            <w:tcW w:w="1320" w:type="dxa"/>
            <w:vAlign w:val="bottom"/>
          </w:tcPr>
          <w:p>
            <w:pPr>
              <w:ind w:left="300"/>
              <w:spacing w:after="0"/>
              <w:rPr>
                <w:sz w:val="20"/>
                <w:szCs w:val="20"/>
                <w:color w:val="auto"/>
              </w:rPr>
            </w:pPr>
            <w:r>
              <w:rPr>
                <w:rFonts w:ascii="Arial" w:cs="Arial" w:eastAsia="Arial" w:hAnsi="Arial"/>
                <w:sz w:val="25"/>
                <w:szCs w:val="25"/>
                <w:color w:val="auto"/>
              </w:rPr>
              <w:t>Cable</w:t>
            </w:r>
          </w:p>
        </w:tc>
        <w:tc>
          <w:tcPr>
            <w:tcW w:w="6200" w:type="dxa"/>
            <w:vAlign w:val="bottom"/>
          </w:tcPr>
          <w:p>
            <w:pPr>
              <w:ind w:left="120"/>
              <w:spacing w:after="0"/>
              <w:rPr>
                <w:sz w:val="20"/>
                <w:szCs w:val="20"/>
                <w:color w:val="auto"/>
              </w:rPr>
            </w:pPr>
            <w:r>
              <w:rPr>
                <w:rFonts w:ascii="Arial" w:cs="Arial" w:eastAsia="Arial" w:hAnsi="Arial"/>
                <w:sz w:val="25"/>
                <w:szCs w:val="25"/>
                <w:color w:val="auto"/>
              </w:rPr>
              <w:t>Wireline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 w:hanging="96"/>
        <w:spacing w:after="0"/>
        <w:tabs>
          <w:tab w:leader="none" w:pos="10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Shentel Converged Services has been reclassed as discontinued operations. All results have been restated.</w:t>
      </w:r>
    </w:p>
    <w:p>
      <w:pPr>
        <w:jc w:val="right"/>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371475</wp:posOffset>
            </wp:positionV>
            <wp:extent cx="727075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040"/>
          </w:cols>
          <w:pgMar w:left="1040" w:top="1440" w:right="819" w:bottom="1440" w:gutter="0" w:footer="0" w:header="0"/>
        </w:sectPr>
      </w:pPr>
    </w:p>
    <w:bookmarkStart w:id="33" w:name="page34"/>
    <w:bookmarkEnd w:id="33"/>
    <w:p>
      <w:pPr>
        <w:spacing w:after="0"/>
        <w:rPr>
          <w:sz w:val="20"/>
          <w:szCs w:val="20"/>
          <w:color w:val="auto"/>
        </w:rPr>
      </w:pPr>
      <w:r>
        <w:rPr>
          <w:rFonts w:ascii="Arial" w:cs="Arial" w:eastAsia="Arial" w:hAnsi="Arial"/>
          <w:sz w:val="45"/>
          <w:szCs w:val="45"/>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Key Financial Results - Continuing Operations</w:t>
      </w:r>
      <w:r>
        <w:rPr>
          <w:rFonts w:ascii="Arial" w:cs="Arial" w:eastAsia="Arial" w:hAnsi="Arial"/>
          <w:sz w:val="62"/>
          <w:szCs w:val="62"/>
          <w:b w:val="1"/>
          <w:bCs w:val="1"/>
          <w:color w:val="auto"/>
          <w:vertAlign w:val="superscript"/>
        </w:rPr>
        <w:t>1</w:t>
      </w:r>
    </w:p>
    <w:p>
      <w:pPr>
        <w:spacing w:after="0" w:line="7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Ending</w:t>
      </w:r>
    </w:p>
    <w:p>
      <w:pPr>
        <w:spacing w:after="0" w:line="144" w:lineRule="exact"/>
        <w:rPr>
          <w:sz w:val="20"/>
          <w:szCs w:val="20"/>
          <w:color w:val="auto"/>
        </w:rPr>
      </w:pPr>
    </w:p>
    <w:tbl>
      <w:tblPr>
        <w:tblLayout w:type="fixed"/>
        <w:tblInd w:w="880" w:type="dxa"/>
        <w:tblCellMar>
          <w:top w:w="0" w:type="dxa"/>
          <w:left w:w="0" w:type="dxa"/>
          <w:bottom w:w="0" w:type="dxa"/>
          <w:right w:w="0" w:type="dxa"/>
        </w:tblCellMar>
      </w:tblPr>
      <w:tr>
        <w:trPr>
          <w:trHeight w:val="292"/>
        </w:trPr>
        <w:tc>
          <w:tcPr>
            <w:tcW w:w="4000" w:type="dxa"/>
            <w:vAlign w:val="bottom"/>
            <w:vMerge w:val="restart"/>
          </w:tcPr>
          <w:p>
            <w:pPr>
              <w:spacing w:after="0"/>
              <w:rPr>
                <w:sz w:val="20"/>
                <w:szCs w:val="20"/>
                <w:color w:val="auto"/>
              </w:rPr>
            </w:pPr>
            <w:r>
              <w:rPr>
                <w:rFonts w:ascii="Arial" w:cs="Arial" w:eastAsia="Arial" w:hAnsi="Arial"/>
                <w:sz w:val="25"/>
                <w:szCs w:val="25"/>
                <w:b w:val="1"/>
                <w:bCs w:val="1"/>
                <w:color w:val="FFFFFF"/>
              </w:rPr>
              <w:t>Operating Income ($ millions)</w:t>
            </w:r>
          </w:p>
        </w:tc>
        <w:tc>
          <w:tcPr>
            <w:tcW w:w="4900" w:type="dxa"/>
            <w:vAlign w:val="bottom"/>
          </w:tcPr>
          <w:p>
            <w:pPr>
              <w:jc w:val="center"/>
              <w:ind w:left="656"/>
              <w:spacing w:after="0"/>
              <w:rPr>
                <w:sz w:val="20"/>
                <w:szCs w:val="20"/>
                <w:color w:val="auto"/>
              </w:rPr>
            </w:pPr>
            <w:r>
              <w:rPr>
                <w:rFonts w:ascii="Arial" w:cs="Arial" w:eastAsia="Arial" w:hAnsi="Arial"/>
                <w:sz w:val="25"/>
                <w:szCs w:val="25"/>
                <w:b w:val="1"/>
                <w:bCs w:val="1"/>
                <w:color w:val="FFFFFF"/>
                <w:w w:val="90"/>
              </w:rPr>
              <w:t>Operating Income Before Depreciation</w:t>
            </w:r>
          </w:p>
        </w:tc>
        <w:tc>
          <w:tcPr>
            <w:tcW w:w="0" w:type="dxa"/>
            <w:vAlign w:val="bottom"/>
          </w:tcPr>
          <w:p>
            <w:pPr>
              <w:spacing w:after="0"/>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4900" w:type="dxa"/>
            <w:vAlign w:val="bottom"/>
            <w:vMerge w:val="restart"/>
          </w:tcPr>
          <w:p>
            <w:pPr>
              <w:jc w:val="center"/>
              <w:ind w:left="716"/>
              <w:spacing w:after="0"/>
              <w:rPr>
                <w:sz w:val="20"/>
                <w:szCs w:val="20"/>
                <w:color w:val="auto"/>
              </w:rPr>
            </w:pPr>
            <w:r>
              <w:rPr>
                <w:rFonts w:ascii="Arial" w:cs="Arial" w:eastAsia="Arial" w:hAnsi="Arial"/>
                <w:sz w:val="25"/>
                <w:szCs w:val="25"/>
                <w:b w:val="1"/>
                <w:bCs w:val="1"/>
                <w:color w:val="FFFFFF"/>
                <w:w w:val="92"/>
              </w:rPr>
              <w:t>&amp; Amortization ($ millions)</w:t>
            </w:r>
          </w:p>
        </w:tc>
        <w:tc>
          <w:tcPr>
            <w:tcW w:w="0" w:type="dxa"/>
            <w:vAlign w:val="bottom"/>
          </w:tcPr>
          <w:p>
            <w:pPr>
              <w:spacing w:after="0"/>
              <w:rPr>
                <w:sz w:val="1"/>
                <w:szCs w:val="1"/>
                <w:color w:val="auto"/>
              </w:rPr>
            </w:pPr>
          </w:p>
        </w:tc>
      </w:tr>
      <w:tr>
        <w:trPr>
          <w:trHeight w:val="128"/>
        </w:trPr>
        <w:tc>
          <w:tcPr>
            <w:tcW w:w="4000" w:type="dxa"/>
            <w:vAlign w:val="bottom"/>
          </w:tcPr>
          <w:p>
            <w:pPr>
              <w:spacing w:after="0"/>
              <w:rPr>
                <w:sz w:val="11"/>
                <w:szCs w:val="11"/>
                <w:color w:val="auto"/>
              </w:rPr>
            </w:pPr>
          </w:p>
        </w:tc>
        <w:tc>
          <w:tcPr>
            <w:tcW w:w="4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Shentel Converged Services has been reclassed as discontinued operations. All results have been restated.</w:t>
      </w:r>
    </w:p>
    <w:p>
      <w:pPr>
        <w:jc w:val="right"/>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371475</wp:posOffset>
            </wp:positionV>
            <wp:extent cx="727075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20"/>
          </w:cols>
          <w:pgMar w:left="860" w:top="933" w:right="819" w:bottom="1440" w:gutter="0" w:footer="0" w:header="0"/>
        </w:sectPr>
      </w:pPr>
    </w:p>
    <w:bookmarkStart w:id="34" w:name="page35"/>
    <w:bookmarkEnd w:id="34"/>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Key Financial Results - Consolidated</w:t>
      </w:r>
    </w:p>
    <w:p>
      <w:pPr>
        <w:spacing w:after="0" w:line="1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Ending</w:t>
      </w:r>
    </w:p>
    <w:p>
      <w:pPr>
        <w:spacing w:after="0" w:line="188" w:lineRule="exact"/>
        <w:rPr>
          <w:sz w:val="20"/>
          <w:szCs w:val="20"/>
          <w:color w:val="auto"/>
        </w:rPr>
      </w:pPr>
    </w:p>
    <w:tbl>
      <w:tblPr>
        <w:tblLayout w:type="fixed"/>
        <w:tblInd w:w="1280" w:type="dxa"/>
        <w:tblCellMar>
          <w:top w:w="0" w:type="dxa"/>
          <w:left w:w="0" w:type="dxa"/>
          <w:bottom w:w="0" w:type="dxa"/>
          <w:right w:w="0" w:type="dxa"/>
        </w:tblCellMar>
      </w:tblPr>
      <w:tr>
        <w:trPr>
          <w:trHeight w:val="292"/>
        </w:trPr>
        <w:tc>
          <w:tcPr>
            <w:tcW w:w="4080" w:type="dxa"/>
            <w:vAlign w:val="bottom"/>
          </w:tcPr>
          <w:p>
            <w:pPr>
              <w:jc w:val="center"/>
              <w:ind w:right="1276"/>
              <w:spacing w:after="0"/>
              <w:rPr>
                <w:sz w:val="20"/>
                <w:szCs w:val="20"/>
                <w:color w:val="auto"/>
              </w:rPr>
            </w:pPr>
            <w:r>
              <w:rPr>
                <w:rFonts w:ascii="Arial" w:cs="Arial" w:eastAsia="Arial" w:hAnsi="Arial"/>
                <w:sz w:val="25"/>
                <w:szCs w:val="25"/>
                <w:b w:val="1"/>
                <w:bCs w:val="1"/>
                <w:color w:val="FFFFFF"/>
                <w:w w:val="90"/>
              </w:rPr>
              <w:t>Earnings Per Share</w:t>
            </w:r>
          </w:p>
        </w:tc>
        <w:tc>
          <w:tcPr>
            <w:tcW w:w="3480" w:type="dxa"/>
            <w:vAlign w:val="bottom"/>
          </w:tcPr>
          <w:p>
            <w:pPr>
              <w:jc w:val="center"/>
              <w:ind w:left="1256"/>
              <w:spacing w:after="0"/>
              <w:rPr>
                <w:sz w:val="20"/>
                <w:szCs w:val="20"/>
                <w:color w:val="auto"/>
              </w:rPr>
            </w:pPr>
            <w:r>
              <w:rPr>
                <w:rFonts w:ascii="Arial" w:cs="Arial" w:eastAsia="Arial" w:hAnsi="Arial"/>
                <w:sz w:val="25"/>
                <w:szCs w:val="25"/>
                <w:b w:val="1"/>
                <w:bCs w:val="1"/>
                <w:color w:val="FFFFFF"/>
                <w:w w:val="91"/>
              </w:rPr>
              <w:t>Earnings Per Share</w:t>
            </w:r>
          </w:p>
        </w:tc>
      </w:tr>
      <w:tr>
        <w:trPr>
          <w:trHeight w:val="464"/>
        </w:trPr>
        <w:tc>
          <w:tcPr>
            <w:tcW w:w="4080" w:type="dxa"/>
            <w:vAlign w:val="bottom"/>
          </w:tcPr>
          <w:p>
            <w:pPr>
              <w:jc w:val="center"/>
              <w:ind w:right="1276"/>
              <w:spacing w:after="0"/>
              <w:rPr>
                <w:sz w:val="20"/>
                <w:szCs w:val="20"/>
                <w:color w:val="auto"/>
              </w:rPr>
            </w:pPr>
            <w:r>
              <w:rPr>
                <w:rFonts w:ascii="Arial" w:cs="Arial" w:eastAsia="Arial" w:hAnsi="Arial"/>
                <w:sz w:val="25"/>
                <w:szCs w:val="25"/>
                <w:b w:val="1"/>
                <w:bCs w:val="1"/>
                <w:color w:val="FFFFFF"/>
                <w:w w:val="89"/>
              </w:rPr>
              <w:t>- Continuing Operations</w:t>
            </w:r>
            <w:r>
              <w:rPr>
                <w:rFonts w:ascii="Arial" w:cs="Arial" w:eastAsia="Arial" w:hAnsi="Arial"/>
                <w:sz w:val="34"/>
                <w:szCs w:val="34"/>
                <w:b w:val="1"/>
                <w:bCs w:val="1"/>
                <w:color w:val="FFFFFF"/>
                <w:w w:val="89"/>
                <w:vertAlign w:val="superscript"/>
              </w:rPr>
              <w:t>1</w:t>
            </w:r>
          </w:p>
        </w:tc>
        <w:tc>
          <w:tcPr>
            <w:tcW w:w="3480" w:type="dxa"/>
            <w:vAlign w:val="bottom"/>
          </w:tcPr>
          <w:p>
            <w:pPr>
              <w:jc w:val="center"/>
              <w:ind w:left="1256"/>
              <w:spacing w:after="0"/>
              <w:rPr>
                <w:sz w:val="20"/>
                <w:szCs w:val="20"/>
                <w:color w:val="auto"/>
              </w:rPr>
            </w:pPr>
            <w:r>
              <w:rPr>
                <w:rFonts w:ascii="Arial" w:cs="Arial" w:eastAsia="Arial" w:hAnsi="Arial"/>
                <w:sz w:val="25"/>
                <w:szCs w:val="25"/>
                <w:b w:val="1"/>
                <w:bCs w:val="1"/>
                <w:color w:val="FFFFFF"/>
                <w:w w:val="97"/>
              </w:rPr>
              <w:t>- Net Income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Shentel Converged Services has been reclassed as discontinued operations. All results have been restated.</w:t>
      </w:r>
    </w:p>
    <w:p>
      <w:pPr>
        <w:ind w:left="40"/>
        <w:spacing w:after="0" w:line="188" w:lineRule="auto"/>
        <w:rPr>
          <w:sz w:val="20"/>
          <w:szCs w:val="20"/>
          <w:color w:val="auto"/>
        </w:rPr>
      </w:pPr>
      <w:r>
        <w:rPr>
          <w:rFonts w:ascii="Arial" w:cs="Arial" w:eastAsia="Arial" w:hAnsi="Arial"/>
          <w:sz w:val="13"/>
          <w:szCs w:val="13"/>
          <w:color w:val="auto"/>
          <w:vertAlign w:val="superscript"/>
        </w:rPr>
        <w:t>2</w:t>
      </w:r>
      <w:r>
        <w:rPr>
          <w:rFonts w:ascii="Arial" w:cs="Arial" w:eastAsia="Arial" w:hAnsi="Arial"/>
          <w:sz w:val="10"/>
          <w:szCs w:val="10"/>
          <w:color w:val="auto"/>
        </w:rPr>
        <w:t xml:space="preserve"> Includes $10.7 million write down of Converged Service Business Unit ($0.45 per share) in Q1 2009</w:t>
      </w:r>
    </w:p>
    <w:p>
      <w:pPr>
        <w:jc w:val="right"/>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371475</wp:posOffset>
            </wp:positionV>
            <wp:extent cx="727075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68" w:right="819" w:bottom="1440" w:gutter="0" w:footer="0" w:header="0"/>
        </w:sectPr>
      </w:pPr>
    </w:p>
    <w:bookmarkStart w:id="35" w:name="page36"/>
    <w:bookmarkEnd w:id="35"/>
    <w:p>
      <w:pPr>
        <w:spacing w:after="0"/>
        <w:rPr>
          <w:sz w:val="20"/>
          <w:szCs w:val="20"/>
          <w:color w:val="auto"/>
        </w:rPr>
      </w:pPr>
      <w:r>
        <w:rPr>
          <w:rFonts w:ascii="Arial" w:cs="Arial" w:eastAsia="Arial" w:hAnsi="Arial"/>
          <w:sz w:val="46"/>
          <w:szCs w:val="46"/>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Jet BB Deal - Financial Highlights</w:t>
      </w:r>
    </w:p>
    <w:p>
      <w:pPr>
        <w:sectPr>
          <w:pgSz w:w="11900" w:h="16838" w:orient="portrait"/>
          <w:cols w:equalWidth="0" w:num="1">
            <w:col w:w="10380"/>
          </w:cols>
          <w:pgMar w:left="700" w:top="851" w:right="819" w:bottom="1440" w:gutter="0" w:footer="0" w:header="0"/>
        </w:sectPr>
      </w:pPr>
    </w:p>
    <w:p>
      <w:pPr>
        <w:spacing w:after="0" w:line="331" w:lineRule="exact"/>
        <w:rPr>
          <w:sz w:val="20"/>
          <w:szCs w:val="20"/>
          <w:color w:val="auto"/>
        </w:rPr>
      </w:pPr>
    </w:p>
    <w:p>
      <w:pPr>
        <w:jc w:val="both"/>
        <w:ind w:left="820" w:right="60" w:hanging="418"/>
        <w:spacing w:after="0" w:line="312" w:lineRule="auto"/>
        <w:tabs>
          <w:tab w:leader="none" w:pos="727" w:val="left"/>
        </w:tabs>
        <w:numPr>
          <w:ilvl w:val="0"/>
          <w:numId w:val="29"/>
        </w:numPr>
        <w:rPr>
          <w:rFonts w:ascii="Arial" w:cs="Arial" w:eastAsia="Arial" w:hAnsi="Arial"/>
          <w:sz w:val="33"/>
          <w:szCs w:val="33"/>
          <w:color w:val="840039"/>
        </w:rPr>
      </w:pPr>
      <w:r>
        <w:rPr>
          <w:rFonts w:ascii="Arial" w:cs="Arial" w:eastAsia="Arial" w:hAnsi="Arial"/>
          <w:sz w:val="33"/>
          <w:szCs w:val="33"/>
          <w:color w:val="auto"/>
        </w:rPr>
        <w:t>Operating Income before Interest and Depreciation</w:t>
      </w:r>
    </w:p>
    <w:p>
      <w:pPr>
        <w:spacing w:after="0" w:line="63" w:lineRule="exact"/>
        <w:rPr>
          <w:sz w:val="20"/>
          <w:szCs w:val="20"/>
          <w:color w:val="auto"/>
        </w:rPr>
      </w:pPr>
    </w:p>
    <w:p>
      <w:pPr>
        <w:ind w:left="1320" w:hanging="428"/>
        <w:spacing w:after="0" w:line="295" w:lineRule="auto"/>
        <w:tabs>
          <w:tab w:leader="none" w:pos="1201" w:val="left"/>
        </w:tabs>
        <w:numPr>
          <w:ilvl w:val="0"/>
          <w:numId w:val="30"/>
        </w:numPr>
        <w:rPr>
          <w:rFonts w:ascii="Arial" w:cs="Arial" w:eastAsia="Arial" w:hAnsi="Arial"/>
          <w:sz w:val="27"/>
          <w:szCs w:val="27"/>
          <w:color w:val="C0C0C0"/>
        </w:rPr>
      </w:pPr>
      <w:r>
        <w:rPr>
          <w:rFonts w:ascii="Arial" w:cs="Arial" w:eastAsia="Arial" w:hAnsi="Arial"/>
          <w:sz w:val="34"/>
          <w:szCs w:val="34"/>
          <w:color w:val="auto"/>
        </w:rPr>
        <w:t>$16.2 before Corporate office costs</w:t>
      </w:r>
    </w:p>
    <w:p>
      <w:pPr>
        <w:spacing w:after="0" w:line="76" w:lineRule="exact"/>
        <w:rPr>
          <w:rFonts w:ascii="Arial" w:cs="Arial" w:eastAsia="Arial" w:hAnsi="Arial"/>
          <w:sz w:val="27"/>
          <w:szCs w:val="27"/>
          <w:color w:val="C0C0C0"/>
        </w:rPr>
      </w:pPr>
    </w:p>
    <w:p>
      <w:pPr>
        <w:ind w:left="1320" w:right="260" w:hanging="428"/>
        <w:spacing w:after="0" w:line="312" w:lineRule="auto"/>
        <w:tabs>
          <w:tab w:leader="none" w:pos="1201" w:val="left"/>
        </w:tabs>
        <w:numPr>
          <w:ilvl w:val="0"/>
          <w:numId w:val="30"/>
        </w:numPr>
        <w:rPr>
          <w:rFonts w:ascii="Arial" w:cs="Arial" w:eastAsia="Arial" w:hAnsi="Arial"/>
          <w:sz w:val="27"/>
          <w:szCs w:val="27"/>
          <w:color w:val="C0C0C0"/>
        </w:rPr>
      </w:pPr>
      <w:r>
        <w:rPr>
          <w:rFonts w:ascii="Arial" w:cs="Arial" w:eastAsia="Arial" w:hAnsi="Arial"/>
          <w:sz w:val="33"/>
          <w:szCs w:val="33"/>
          <w:color w:val="auto"/>
        </w:rPr>
        <w:t>$14.6 after Corporate office costs</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333" w:hanging="333"/>
        <w:spacing w:after="0"/>
        <w:tabs>
          <w:tab w:leader="none" w:pos="333" w:val="left"/>
        </w:tabs>
        <w:numPr>
          <w:ilvl w:val="0"/>
          <w:numId w:val="31"/>
        </w:numPr>
        <w:rPr>
          <w:rFonts w:ascii="Arial" w:cs="Arial" w:eastAsia="Arial" w:hAnsi="Arial"/>
          <w:sz w:val="37"/>
          <w:szCs w:val="37"/>
          <w:color w:val="840039"/>
        </w:rPr>
      </w:pPr>
      <w:r>
        <w:rPr>
          <w:rFonts w:ascii="Arial" w:cs="Arial" w:eastAsia="Arial" w:hAnsi="Arial"/>
          <w:sz w:val="37"/>
          <w:szCs w:val="37"/>
          <w:color w:val="auto"/>
        </w:rPr>
        <w:t>Financing</w:t>
      </w:r>
    </w:p>
    <w:p>
      <w:pPr>
        <w:spacing w:after="0" w:line="216" w:lineRule="exact"/>
        <w:rPr>
          <w:sz w:val="20"/>
          <w:szCs w:val="20"/>
          <w:color w:val="auto"/>
        </w:rPr>
      </w:pPr>
    </w:p>
    <w:p>
      <w:pPr>
        <w:ind w:left="793" w:hanging="303"/>
        <w:spacing w:after="0"/>
        <w:tabs>
          <w:tab w:leader="none" w:pos="793" w:val="left"/>
        </w:tabs>
        <w:numPr>
          <w:ilvl w:val="0"/>
          <w:numId w:val="32"/>
        </w:numPr>
        <w:rPr>
          <w:rFonts w:ascii="Arial" w:cs="Arial" w:eastAsia="Arial" w:hAnsi="Arial"/>
          <w:sz w:val="27"/>
          <w:szCs w:val="27"/>
          <w:color w:val="C0C0C0"/>
        </w:rPr>
      </w:pPr>
      <w:r>
        <w:rPr>
          <w:rFonts w:ascii="Arial" w:cs="Arial" w:eastAsia="Arial" w:hAnsi="Arial"/>
          <w:sz w:val="33"/>
          <w:szCs w:val="33"/>
          <w:color w:val="auto"/>
        </w:rPr>
        <w:t>Syndicated debt deal</w:t>
      </w:r>
    </w:p>
    <w:p>
      <w:pPr>
        <w:spacing w:after="0" w:line="250" w:lineRule="exact"/>
        <w:rPr>
          <w:rFonts w:ascii="Arial" w:cs="Arial" w:eastAsia="Arial" w:hAnsi="Arial"/>
          <w:sz w:val="27"/>
          <w:szCs w:val="27"/>
          <w:color w:val="C0C0C0"/>
        </w:rPr>
      </w:pPr>
    </w:p>
    <w:p>
      <w:pPr>
        <w:ind w:left="793" w:hanging="303"/>
        <w:spacing w:after="0"/>
        <w:tabs>
          <w:tab w:leader="none" w:pos="793" w:val="left"/>
        </w:tabs>
        <w:numPr>
          <w:ilvl w:val="0"/>
          <w:numId w:val="32"/>
        </w:numPr>
        <w:rPr>
          <w:rFonts w:ascii="Arial" w:cs="Arial" w:eastAsia="Arial" w:hAnsi="Arial"/>
          <w:sz w:val="30"/>
          <w:szCs w:val="30"/>
          <w:color w:val="C0C0C0"/>
        </w:rPr>
      </w:pPr>
      <w:r>
        <w:rPr>
          <w:rFonts w:ascii="Arial" w:cs="Arial" w:eastAsia="Arial" w:hAnsi="Arial"/>
          <w:sz w:val="37"/>
          <w:szCs w:val="37"/>
          <w:color w:val="auto"/>
        </w:rPr>
        <w:t>$198m Term Loan</w:t>
      </w:r>
    </w:p>
    <w:p>
      <w:pPr>
        <w:spacing w:after="0" w:line="215" w:lineRule="exact"/>
        <w:rPr>
          <w:rFonts w:ascii="Arial" w:cs="Arial" w:eastAsia="Arial" w:hAnsi="Arial"/>
          <w:sz w:val="30"/>
          <w:szCs w:val="30"/>
          <w:color w:val="C0C0C0"/>
        </w:rPr>
      </w:pPr>
    </w:p>
    <w:p>
      <w:pPr>
        <w:ind w:left="913" w:right="1900" w:hanging="423"/>
        <w:spacing w:after="0" w:line="295" w:lineRule="auto"/>
        <w:tabs>
          <w:tab w:leader="none" w:pos="794" w:val="left"/>
        </w:tabs>
        <w:numPr>
          <w:ilvl w:val="0"/>
          <w:numId w:val="32"/>
        </w:numPr>
        <w:rPr>
          <w:rFonts w:ascii="Arial" w:cs="Arial" w:eastAsia="Arial" w:hAnsi="Arial"/>
          <w:sz w:val="27"/>
          <w:szCs w:val="27"/>
          <w:color w:val="C0C0C0"/>
        </w:rPr>
      </w:pPr>
      <w:r>
        <w:rPr>
          <w:rFonts w:ascii="Arial" w:cs="Arial" w:eastAsia="Arial" w:hAnsi="Arial"/>
          <w:sz w:val="34"/>
          <w:szCs w:val="34"/>
          <w:color w:val="auto"/>
        </w:rPr>
        <w:t>$50m Undrawn Revolver</w:t>
      </w:r>
    </w:p>
    <w:p>
      <w:pPr>
        <w:spacing w:after="0" w:line="76" w:lineRule="exact"/>
        <w:rPr>
          <w:rFonts w:ascii="Arial" w:cs="Arial" w:eastAsia="Arial" w:hAnsi="Arial"/>
          <w:sz w:val="27"/>
          <w:szCs w:val="27"/>
          <w:color w:val="C0C0C0"/>
        </w:rPr>
      </w:pPr>
    </w:p>
    <w:p>
      <w:pPr>
        <w:ind w:left="913" w:right="1260" w:hanging="423"/>
        <w:spacing w:after="0" w:line="238" w:lineRule="auto"/>
        <w:tabs>
          <w:tab w:leader="none" w:pos="794" w:val="left"/>
        </w:tabs>
        <w:numPr>
          <w:ilvl w:val="0"/>
          <w:numId w:val="32"/>
        </w:numPr>
        <w:rPr>
          <w:rFonts w:ascii="Arial" w:cs="Arial" w:eastAsia="Arial" w:hAnsi="Arial"/>
          <w:sz w:val="30"/>
          <w:szCs w:val="30"/>
          <w:color w:val="C0C0C0"/>
        </w:rPr>
      </w:pPr>
      <w:r>
        <w:rPr>
          <w:rFonts w:ascii="Arial" w:cs="Arial" w:eastAsia="Arial" w:hAnsi="Arial"/>
          <w:sz w:val="37"/>
          <w:szCs w:val="37"/>
          <w:color w:val="auto"/>
        </w:rPr>
        <w:t>Oversubscribed at more than 150% of needs</w:t>
      </w:r>
    </w:p>
    <w:p>
      <w:pPr>
        <w:spacing w:after="0" w:line="200" w:lineRule="exact"/>
        <w:rPr>
          <w:sz w:val="20"/>
          <w:szCs w:val="20"/>
          <w:color w:val="auto"/>
        </w:rPr>
      </w:pPr>
    </w:p>
    <w:p>
      <w:pPr>
        <w:sectPr>
          <w:pgSz w:w="11900" w:h="16838" w:orient="portrait"/>
          <w:cols w:equalWidth="0" w:num="2">
            <w:col w:w="4660" w:space="687"/>
            <w:col w:w="5033"/>
          </w:cols>
          <w:pgMar w:left="700" w:top="851"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20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403860</wp:posOffset>
            </wp:positionV>
            <wp:extent cx="727075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380"/>
          </w:cols>
          <w:pgMar w:left="700" w:top="851" w:right="81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Level of Debt - Acquisition Impact</w:t>
      </w:r>
    </w:p>
    <w:p>
      <w:pPr>
        <w:spacing w:after="0" w:line="1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Pro Forma for Periods Ending March 31, 2010</w:t>
      </w:r>
    </w:p>
    <w:p>
      <w:pPr>
        <w:spacing w:after="0" w:line="351" w:lineRule="exact"/>
        <w:rPr>
          <w:sz w:val="20"/>
          <w:szCs w:val="20"/>
          <w:color w:val="auto"/>
        </w:rPr>
      </w:pPr>
    </w:p>
    <w:p>
      <w:pPr>
        <w:ind w:left="1640"/>
        <w:spacing w:after="0"/>
        <w:tabs>
          <w:tab w:leader="none" w:pos="6640" w:val="left"/>
        </w:tabs>
        <w:rPr>
          <w:sz w:val="20"/>
          <w:szCs w:val="20"/>
          <w:color w:val="auto"/>
        </w:rPr>
      </w:pPr>
      <w:r>
        <w:rPr>
          <w:rFonts w:ascii="Arial" w:cs="Arial" w:eastAsia="Arial" w:hAnsi="Arial"/>
          <w:sz w:val="25"/>
          <w:szCs w:val="25"/>
          <w:b w:val="1"/>
          <w:bCs w:val="1"/>
          <w:color w:val="FFFFFF"/>
        </w:rPr>
        <w:t>Debt (in millions)</w:t>
      </w:r>
      <w:r>
        <w:rPr>
          <w:sz w:val="20"/>
          <w:szCs w:val="20"/>
          <w:color w:val="auto"/>
        </w:rPr>
        <w:tab/>
      </w:r>
      <w:r>
        <w:rPr>
          <w:rFonts w:ascii="Arial" w:cs="Arial" w:eastAsia="Arial" w:hAnsi="Arial"/>
          <w:sz w:val="23"/>
          <w:szCs w:val="23"/>
          <w:b w:val="1"/>
          <w:bCs w:val="1"/>
          <w:color w:val="FFFFFF"/>
        </w:rPr>
        <w:t>Debt to EBITDA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381635</wp:posOffset>
            </wp:positionV>
            <wp:extent cx="727075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360"/>
          </w:cols>
          <w:pgMar w:left="720" w:top="1038" w:right="81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880"/>
        <w:spacing w:after="0"/>
        <w:rPr>
          <w:sz w:val="20"/>
          <w:szCs w:val="20"/>
          <w:color w:val="auto"/>
        </w:rPr>
      </w:pPr>
      <w:r>
        <w:rPr>
          <w:rFonts w:ascii="Arial" w:cs="Arial" w:eastAsia="Arial" w:hAnsi="Arial"/>
          <w:sz w:val="112"/>
          <w:szCs w:val="112"/>
          <w:b w:val="1"/>
          <w:bCs w:val="1"/>
          <w:color w:val="840039"/>
        </w:rPr>
        <w:t>Q&amp;A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381635</wp:posOffset>
            </wp:positionV>
            <wp:extent cx="727075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9640"/>
          </w:cols>
          <w:pgMar w:left="1440" w:top="1440" w:right="81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860"/>
        <w:spacing w:after="0"/>
        <w:rPr>
          <w:sz w:val="20"/>
          <w:szCs w:val="20"/>
          <w:color w:val="auto"/>
        </w:rPr>
      </w:pPr>
      <w:r>
        <w:rPr>
          <w:rFonts w:ascii="Arial" w:cs="Arial" w:eastAsia="Arial" w:hAnsi="Arial"/>
          <w:sz w:val="112"/>
          <w:szCs w:val="112"/>
          <w:b w:val="1"/>
          <w:bCs w:val="1"/>
          <w:color w:val="840039"/>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381635</wp:posOffset>
            </wp:positionV>
            <wp:extent cx="727075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9640"/>
          </w:cols>
          <w:pgMar w:left="1440" w:top="1440" w:right="819" w:bottom="1440" w:gutter="0" w:footer="0" w:header="0"/>
        </w:sectPr>
      </w:pPr>
    </w:p>
    <w:bookmarkStart w:id="39" w:name="page40"/>
    <w:bookmarkEnd w:id="39"/>
    <w:p>
      <w:pP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Non-GAAP Financial Measure - Billed Revenue per Subscriber</w:t>
      </w:r>
    </w:p>
    <w:p>
      <w:pPr>
        <w:spacing w:after="0" w:line="25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Period 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1156" w:right="819" w:bottom="1440" w:gutter="0" w:footer="0" w:header="0"/>
        </w:sectPr>
      </w:pPr>
    </w:p>
    <w:bookmarkStart w:id="40" w:name="page41"/>
    <w:bookmarkEnd w:id="40"/>
    <w:p>
      <w:pP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Non-GAAP Financial Measure - OIBDA</w:t>
      </w:r>
    </w:p>
    <w:p>
      <w:pPr>
        <w:spacing w:after="0" w:line="25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Ended 3/31/2010</w:t>
      </w:r>
    </w:p>
    <w:p>
      <w:pPr>
        <w:spacing w:after="0" w:line="200" w:lineRule="exact"/>
        <w:rPr>
          <w:sz w:val="20"/>
          <w:szCs w:val="20"/>
          <w:color w:val="auto"/>
        </w:rPr>
      </w:pPr>
    </w:p>
    <w:p>
      <w:pPr>
        <w:spacing w:after="0" w:line="306" w:lineRule="exact"/>
        <w:rPr>
          <w:sz w:val="20"/>
          <w:szCs w:val="20"/>
          <w:color w:val="auto"/>
        </w:rPr>
      </w:pPr>
    </w:p>
    <w:tbl>
      <w:tblPr>
        <w:tblLayout w:type="fixed"/>
        <w:tblInd w:w="520" w:type="dxa"/>
        <w:tblCellMar>
          <w:top w:w="0" w:type="dxa"/>
          <w:left w:w="0" w:type="dxa"/>
          <w:bottom w:w="0" w:type="dxa"/>
          <w:right w:w="0" w:type="dxa"/>
        </w:tblCellMar>
      </w:tblPr>
      <w:tr>
        <w:trPr>
          <w:trHeight w:val="276"/>
        </w:trPr>
        <w:tc>
          <w:tcPr>
            <w:tcW w:w="3080" w:type="dxa"/>
            <w:vAlign w:val="bottom"/>
          </w:tcPr>
          <w:p>
            <w:pPr>
              <w:spacing w:after="0"/>
              <w:rPr>
                <w:sz w:val="20"/>
                <w:szCs w:val="20"/>
                <w:color w:val="auto"/>
              </w:rPr>
            </w:pPr>
            <w:r>
              <w:rPr>
                <w:rFonts w:ascii="Arial" w:cs="Arial" w:eastAsia="Arial" w:hAnsi="Arial"/>
                <w:sz w:val="22"/>
                <w:szCs w:val="22"/>
                <w:i w:val="1"/>
                <w:iCs w:val="1"/>
                <w:color w:val="auto"/>
              </w:rPr>
              <w:t>Dollars in thousands</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694"/>
        </w:trPr>
        <w:tc>
          <w:tcPr>
            <w:tcW w:w="308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22"/>
                <w:szCs w:val="22"/>
                <w:color w:val="auto"/>
              </w:rPr>
              <w:t>Wireless</w:t>
            </w:r>
          </w:p>
        </w:tc>
        <w:tc>
          <w:tcPr>
            <w:tcW w:w="1200" w:type="dxa"/>
            <w:vAlign w:val="bottom"/>
            <w:gridSpan w:val="3"/>
          </w:tcPr>
          <w:p>
            <w:pPr>
              <w:jc w:val="right"/>
              <w:ind w:right="280"/>
              <w:spacing w:after="0"/>
              <w:rPr>
                <w:sz w:val="20"/>
                <w:szCs w:val="20"/>
                <w:color w:val="auto"/>
              </w:rPr>
            </w:pPr>
            <w:r>
              <w:rPr>
                <w:rFonts w:ascii="Arial" w:cs="Arial" w:eastAsia="Arial" w:hAnsi="Arial"/>
                <w:sz w:val="22"/>
                <w:szCs w:val="22"/>
                <w:color w:val="auto"/>
              </w:rPr>
              <w:t>Wireline</w:t>
            </w:r>
          </w:p>
        </w:tc>
        <w:tc>
          <w:tcPr>
            <w:tcW w:w="24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22"/>
                <w:szCs w:val="22"/>
                <w:color w:val="auto"/>
                <w:w w:val="83"/>
              </w:rPr>
              <w:t>Cable</w:t>
            </w:r>
          </w:p>
        </w:tc>
        <w:tc>
          <w:tcPr>
            <w:tcW w:w="24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22"/>
                <w:szCs w:val="22"/>
                <w:color w:val="auto"/>
                <w:w w:val="87"/>
              </w:rPr>
              <w:t>Other</w:t>
            </w:r>
          </w:p>
        </w:tc>
        <w:tc>
          <w:tcPr>
            <w:tcW w:w="1480" w:type="dxa"/>
            <w:vAlign w:val="bottom"/>
            <w:gridSpan w:val="3"/>
          </w:tcPr>
          <w:p>
            <w:pPr>
              <w:jc w:val="right"/>
              <w:ind w:right="180"/>
              <w:spacing w:after="0"/>
              <w:rPr>
                <w:sz w:val="20"/>
                <w:szCs w:val="20"/>
                <w:color w:val="auto"/>
              </w:rPr>
            </w:pPr>
            <w:r>
              <w:rPr>
                <w:rFonts w:ascii="Arial" w:cs="Arial" w:eastAsia="Arial" w:hAnsi="Arial"/>
                <w:sz w:val="22"/>
                <w:szCs w:val="22"/>
                <w:color w:val="auto"/>
                <w:w w:val="99"/>
              </w:rPr>
              <w:t>Consolidated</w:t>
            </w:r>
          </w:p>
        </w:tc>
      </w:tr>
      <w:tr>
        <w:trPr>
          <w:trHeight w:val="20"/>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06"/>
        </w:trPr>
        <w:tc>
          <w:tcPr>
            <w:tcW w:w="3080" w:type="dxa"/>
            <w:vAlign w:val="bottom"/>
          </w:tcPr>
          <w:p>
            <w:pPr>
              <w:spacing w:after="0"/>
              <w:rPr>
                <w:sz w:val="20"/>
                <w:szCs w:val="20"/>
                <w:color w:val="auto"/>
              </w:rPr>
            </w:pPr>
            <w:r>
              <w:rPr>
                <w:rFonts w:ascii="Arial" w:cs="Arial" w:eastAsia="Arial" w:hAnsi="Arial"/>
                <w:sz w:val="22"/>
                <w:szCs w:val="22"/>
                <w:color w:val="auto"/>
              </w:rPr>
              <w:t>Operating Income</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22"/>
                <w:szCs w:val="22"/>
                <w:color w:val="auto"/>
                <w:w w:val="98"/>
              </w:rPr>
              <w:t>$40,459</w:t>
            </w:r>
          </w:p>
        </w:tc>
        <w:tc>
          <w:tcPr>
            <w:tcW w:w="1200" w:type="dxa"/>
            <w:vAlign w:val="bottom"/>
            <w:gridSpan w:val="3"/>
          </w:tcPr>
          <w:p>
            <w:pPr>
              <w:jc w:val="right"/>
              <w:ind w:right="140"/>
              <w:spacing w:after="0"/>
              <w:rPr>
                <w:sz w:val="20"/>
                <w:szCs w:val="20"/>
                <w:color w:val="auto"/>
              </w:rPr>
            </w:pPr>
            <w:r>
              <w:rPr>
                <w:rFonts w:ascii="Arial" w:cs="Arial" w:eastAsia="Arial" w:hAnsi="Arial"/>
                <w:sz w:val="22"/>
                <w:szCs w:val="22"/>
                <w:color w:val="auto"/>
              </w:rPr>
              <w:t>$12,711</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($7,172)</w:t>
            </w:r>
          </w:p>
        </w:tc>
        <w:tc>
          <w:tcPr>
            <w:tcW w:w="1040" w:type="dxa"/>
            <w:vAlign w:val="bottom"/>
            <w:gridSpan w:val="3"/>
          </w:tcPr>
          <w:p>
            <w:pPr>
              <w:jc w:val="right"/>
              <w:ind w:right="160"/>
              <w:spacing w:after="0"/>
              <w:rPr>
                <w:sz w:val="20"/>
                <w:szCs w:val="20"/>
                <w:color w:val="auto"/>
              </w:rPr>
            </w:pPr>
            <w:r>
              <w:rPr>
                <w:rFonts w:ascii="Arial" w:cs="Arial" w:eastAsia="Arial" w:hAnsi="Arial"/>
                <w:sz w:val="22"/>
                <w:szCs w:val="22"/>
                <w:color w:val="auto"/>
              </w:rPr>
              <w:t>($3,683)</w:t>
            </w:r>
          </w:p>
        </w:tc>
        <w:tc>
          <w:tcPr>
            <w:tcW w:w="1480" w:type="dxa"/>
            <w:vAlign w:val="bottom"/>
            <w:gridSpan w:val="3"/>
          </w:tcPr>
          <w:p>
            <w:pPr>
              <w:jc w:val="right"/>
              <w:ind w:right="120"/>
              <w:spacing w:after="0"/>
              <w:rPr>
                <w:sz w:val="20"/>
                <w:szCs w:val="20"/>
                <w:color w:val="auto"/>
              </w:rPr>
            </w:pPr>
            <w:r>
              <w:rPr>
                <w:rFonts w:ascii="Arial" w:cs="Arial" w:eastAsia="Arial" w:hAnsi="Arial"/>
                <w:sz w:val="22"/>
                <w:szCs w:val="22"/>
                <w:color w:val="auto"/>
              </w:rPr>
              <w:t>$42,315</w:t>
            </w:r>
          </w:p>
        </w:tc>
      </w:tr>
      <w:tr>
        <w:trPr>
          <w:trHeight w:val="373"/>
        </w:trPr>
        <w:tc>
          <w:tcPr>
            <w:tcW w:w="30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120" w:type="dxa"/>
            <w:vAlign w:val="bottom"/>
            <w:gridSpan w:val="3"/>
          </w:tcPr>
          <w:p>
            <w:pPr>
              <w:jc w:val="right"/>
              <w:ind w:right="180"/>
              <w:spacing w:after="0"/>
              <w:rPr>
                <w:sz w:val="20"/>
                <w:szCs w:val="20"/>
                <w:color w:val="auto"/>
              </w:rPr>
            </w:pPr>
            <w:r>
              <w:rPr>
                <w:rFonts w:ascii="Arial" w:cs="Arial" w:eastAsia="Arial" w:hAnsi="Arial"/>
                <w:sz w:val="22"/>
                <w:szCs w:val="22"/>
                <w:color w:val="auto"/>
              </w:rPr>
              <w:t>20,660</w:t>
            </w:r>
          </w:p>
        </w:tc>
        <w:tc>
          <w:tcPr>
            <w:tcW w:w="1200" w:type="dxa"/>
            <w:vAlign w:val="bottom"/>
            <w:gridSpan w:val="3"/>
          </w:tcPr>
          <w:p>
            <w:pPr>
              <w:jc w:val="right"/>
              <w:ind w:right="140"/>
              <w:spacing w:after="0"/>
              <w:rPr>
                <w:sz w:val="20"/>
                <w:szCs w:val="20"/>
                <w:color w:val="auto"/>
              </w:rPr>
            </w:pPr>
            <w:r>
              <w:rPr>
                <w:rFonts w:ascii="Arial" w:cs="Arial" w:eastAsia="Arial" w:hAnsi="Arial"/>
                <w:sz w:val="22"/>
                <w:szCs w:val="22"/>
                <w:color w:val="auto"/>
              </w:rPr>
              <w:t>8,090</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4,045</w:t>
            </w:r>
          </w:p>
        </w:tc>
        <w:tc>
          <w:tcPr>
            <w:tcW w:w="1040" w:type="dxa"/>
            <w:vAlign w:val="bottom"/>
            <w:gridSpan w:val="3"/>
          </w:tcPr>
          <w:p>
            <w:pPr>
              <w:jc w:val="right"/>
              <w:ind w:right="160"/>
              <w:spacing w:after="0"/>
              <w:rPr>
                <w:sz w:val="20"/>
                <w:szCs w:val="20"/>
                <w:color w:val="auto"/>
              </w:rPr>
            </w:pPr>
            <w:r>
              <w:rPr>
                <w:rFonts w:ascii="Arial" w:cs="Arial" w:eastAsia="Arial" w:hAnsi="Arial"/>
                <w:sz w:val="22"/>
                <w:szCs w:val="22"/>
                <w:color w:val="auto"/>
              </w:rPr>
              <w:t>308</w:t>
            </w:r>
          </w:p>
        </w:tc>
        <w:tc>
          <w:tcPr>
            <w:tcW w:w="1480" w:type="dxa"/>
            <w:vAlign w:val="bottom"/>
            <w:gridSpan w:val="3"/>
          </w:tcPr>
          <w:p>
            <w:pPr>
              <w:jc w:val="right"/>
              <w:ind w:right="120"/>
              <w:spacing w:after="0"/>
              <w:rPr>
                <w:sz w:val="20"/>
                <w:szCs w:val="20"/>
                <w:color w:val="auto"/>
              </w:rPr>
            </w:pPr>
            <w:r>
              <w:rPr>
                <w:rFonts w:ascii="Arial" w:cs="Arial" w:eastAsia="Arial" w:hAnsi="Arial"/>
                <w:sz w:val="22"/>
                <w:szCs w:val="22"/>
                <w:color w:val="auto"/>
              </w:rPr>
              <w:t>33,103</w:t>
            </w:r>
          </w:p>
        </w:tc>
      </w:tr>
      <w:tr>
        <w:trPr>
          <w:trHeight w:val="99"/>
        </w:trPr>
        <w:tc>
          <w:tcPr>
            <w:tcW w:w="3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r>
        <w:trPr>
          <w:trHeight w:val="406"/>
        </w:trPr>
        <w:tc>
          <w:tcPr>
            <w:tcW w:w="3080" w:type="dxa"/>
            <w:vAlign w:val="bottom"/>
          </w:tcPr>
          <w:p>
            <w:pPr>
              <w:spacing w:after="0"/>
              <w:rPr>
                <w:sz w:val="20"/>
                <w:szCs w:val="20"/>
                <w:color w:val="auto"/>
              </w:rPr>
            </w:pPr>
            <w:r>
              <w:rPr>
                <w:rFonts w:ascii="Arial" w:cs="Arial" w:eastAsia="Arial" w:hAnsi="Arial"/>
                <w:sz w:val="22"/>
                <w:szCs w:val="22"/>
                <w:color w:val="auto"/>
              </w:rPr>
              <w:t>OIBDA</w:t>
            </w:r>
          </w:p>
        </w:tc>
        <w:tc>
          <w:tcPr>
            <w:tcW w:w="1120" w:type="dxa"/>
            <w:vAlign w:val="bottom"/>
            <w:gridSpan w:val="3"/>
          </w:tcPr>
          <w:p>
            <w:pPr>
              <w:jc w:val="right"/>
              <w:ind w:right="180"/>
              <w:spacing w:after="0"/>
              <w:rPr>
                <w:sz w:val="20"/>
                <w:szCs w:val="20"/>
                <w:color w:val="auto"/>
              </w:rPr>
            </w:pPr>
            <w:r>
              <w:rPr>
                <w:rFonts w:ascii="Arial" w:cs="Arial" w:eastAsia="Arial" w:hAnsi="Arial"/>
                <w:sz w:val="22"/>
                <w:szCs w:val="22"/>
                <w:color w:val="auto"/>
              </w:rPr>
              <w:t>$61,119</w:t>
            </w:r>
          </w:p>
        </w:tc>
        <w:tc>
          <w:tcPr>
            <w:tcW w:w="1200" w:type="dxa"/>
            <w:vAlign w:val="bottom"/>
            <w:gridSpan w:val="3"/>
          </w:tcPr>
          <w:p>
            <w:pPr>
              <w:jc w:val="right"/>
              <w:ind w:right="140"/>
              <w:spacing w:after="0"/>
              <w:rPr>
                <w:sz w:val="20"/>
                <w:szCs w:val="20"/>
                <w:color w:val="auto"/>
              </w:rPr>
            </w:pPr>
            <w:r>
              <w:rPr>
                <w:rFonts w:ascii="Arial" w:cs="Arial" w:eastAsia="Arial" w:hAnsi="Arial"/>
                <w:sz w:val="22"/>
                <w:szCs w:val="22"/>
                <w:color w:val="auto"/>
              </w:rPr>
              <w:t>$20,801</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($3,127)</w:t>
            </w:r>
          </w:p>
        </w:tc>
        <w:tc>
          <w:tcPr>
            <w:tcW w:w="1040" w:type="dxa"/>
            <w:vAlign w:val="bottom"/>
            <w:gridSpan w:val="3"/>
          </w:tcPr>
          <w:p>
            <w:pPr>
              <w:jc w:val="right"/>
              <w:ind w:right="160"/>
              <w:spacing w:after="0"/>
              <w:rPr>
                <w:sz w:val="20"/>
                <w:szCs w:val="20"/>
                <w:color w:val="auto"/>
              </w:rPr>
            </w:pPr>
            <w:r>
              <w:rPr>
                <w:rFonts w:ascii="Arial" w:cs="Arial" w:eastAsia="Arial" w:hAnsi="Arial"/>
                <w:sz w:val="22"/>
                <w:szCs w:val="22"/>
                <w:color w:val="auto"/>
              </w:rPr>
              <w:t>($3,375)</w:t>
            </w:r>
          </w:p>
        </w:tc>
        <w:tc>
          <w:tcPr>
            <w:tcW w:w="1480" w:type="dxa"/>
            <w:vAlign w:val="bottom"/>
            <w:gridSpan w:val="3"/>
          </w:tcPr>
          <w:p>
            <w:pPr>
              <w:jc w:val="right"/>
              <w:ind w:right="120"/>
              <w:spacing w:after="0"/>
              <w:rPr>
                <w:sz w:val="20"/>
                <w:szCs w:val="20"/>
                <w:color w:val="auto"/>
              </w:rPr>
            </w:pPr>
            <w:r>
              <w:rPr>
                <w:rFonts w:ascii="Arial" w:cs="Arial" w:eastAsia="Arial" w:hAnsi="Arial"/>
                <w:sz w:val="22"/>
                <w:szCs w:val="22"/>
                <w:color w:val="auto"/>
              </w:rPr>
              <w:t>$75,418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1156" w:right="819" w:bottom="1440" w:gutter="0" w:footer="0" w:header="0"/>
        </w:sectPr>
      </w:pPr>
    </w:p>
    <w:bookmarkStart w:id="41" w:name="page42"/>
    <w:bookmarkEnd w:id="41"/>
    <w:p>
      <w:pP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Non-GAAP Financial Measure - OIBDA</w:t>
      </w:r>
    </w:p>
    <w:p>
      <w:pPr>
        <w:spacing w:after="0" w:line="25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Ended 3/31/2009</w:t>
      </w:r>
    </w:p>
    <w:p>
      <w:pPr>
        <w:spacing w:after="0" w:line="200" w:lineRule="exact"/>
        <w:rPr>
          <w:sz w:val="20"/>
          <w:szCs w:val="20"/>
          <w:color w:val="auto"/>
        </w:rPr>
      </w:pPr>
    </w:p>
    <w:p>
      <w:pPr>
        <w:spacing w:after="0" w:line="306" w:lineRule="exact"/>
        <w:rPr>
          <w:sz w:val="20"/>
          <w:szCs w:val="20"/>
          <w:color w:val="auto"/>
        </w:rPr>
      </w:pPr>
    </w:p>
    <w:tbl>
      <w:tblPr>
        <w:tblLayout w:type="fixed"/>
        <w:tblInd w:w="520" w:type="dxa"/>
        <w:tblCellMar>
          <w:top w:w="0" w:type="dxa"/>
          <w:left w:w="0" w:type="dxa"/>
          <w:bottom w:w="0" w:type="dxa"/>
          <w:right w:w="0" w:type="dxa"/>
        </w:tblCellMar>
      </w:tblPr>
      <w:tr>
        <w:trPr>
          <w:trHeight w:val="276"/>
        </w:trPr>
        <w:tc>
          <w:tcPr>
            <w:tcW w:w="3080" w:type="dxa"/>
            <w:vAlign w:val="bottom"/>
          </w:tcPr>
          <w:p>
            <w:pPr>
              <w:spacing w:after="0"/>
              <w:rPr>
                <w:sz w:val="20"/>
                <w:szCs w:val="20"/>
                <w:color w:val="auto"/>
              </w:rPr>
            </w:pPr>
            <w:r>
              <w:rPr>
                <w:rFonts w:ascii="Arial" w:cs="Arial" w:eastAsia="Arial" w:hAnsi="Arial"/>
                <w:sz w:val="22"/>
                <w:szCs w:val="22"/>
                <w:i w:val="1"/>
                <w:iCs w:val="1"/>
                <w:color w:val="auto"/>
              </w:rPr>
              <w:t>Dollars in thousands</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694"/>
        </w:trPr>
        <w:tc>
          <w:tcPr>
            <w:tcW w:w="308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22"/>
                <w:szCs w:val="22"/>
                <w:color w:val="auto"/>
              </w:rPr>
              <w:t>Wireless</w:t>
            </w:r>
          </w:p>
        </w:tc>
        <w:tc>
          <w:tcPr>
            <w:tcW w:w="1200" w:type="dxa"/>
            <w:vAlign w:val="bottom"/>
            <w:gridSpan w:val="3"/>
          </w:tcPr>
          <w:p>
            <w:pPr>
              <w:jc w:val="right"/>
              <w:ind w:right="280"/>
              <w:spacing w:after="0"/>
              <w:rPr>
                <w:sz w:val="20"/>
                <w:szCs w:val="20"/>
                <w:color w:val="auto"/>
              </w:rPr>
            </w:pPr>
            <w:r>
              <w:rPr>
                <w:rFonts w:ascii="Arial" w:cs="Arial" w:eastAsia="Arial" w:hAnsi="Arial"/>
                <w:sz w:val="22"/>
                <w:szCs w:val="22"/>
                <w:color w:val="auto"/>
              </w:rPr>
              <w:t>Wireline</w:t>
            </w:r>
          </w:p>
        </w:tc>
        <w:tc>
          <w:tcPr>
            <w:tcW w:w="24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22"/>
                <w:szCs w:val="22"/>
                <w:color w:val="auto"/>
                <w:w w:val="83"/>
              </w:rPr>
              <w:t>Cable</w:t>
            </w:r>
          </w:p>
        </w:tc>
        <w:tc>
          <w:tcPr>
            <w:tcW w:w="24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22"/>
                <w:szCs w:val="22"/>
                <w:color w:val="auto"/>
                <w:w w:val="87"/>
              </w:rPr>
              <w:t>Other</w:t>
            </w:r>
          </w:p>
        </w:tc>
        <w:tc>
          <w:tcPr>
            <w:tcW w:w="1480" w:type="dxa"/>
            <w:vAlign w:val="bottom"/>
            <w:gridSpan w:val="3"/>
          </w:tcPr>
          <w:p>
            <w:pPr>
              <w:jc w:val="right"/>
              <w:ind w:right="180"/>
              <w:spacing w:after="0"/>
              <w:rPr>
                <w:sz w:val="20"/>
                <w:szCs w:val="20"/>
                <w:color w:val="auto"/>
              </w:rPr>
            </w:pPr>
            <w:r>
              <w:rPr>
                <w:rFonts w:ascii="Arial" w:cs="Arial" w:eastAsia="Arial" w:hAnsi="Arial"/>
                <w:sz w:val="22"/>
                <w:szCs w:val="22"/>
                <w:color w:val="auto"/>
                <w:w w:val="99"/>
              </w:rPr>
              <w:t>Consolidated</w:t>
            </w:r>
          </w:p>
        </w:tc>
      </w:tr>
      <w:tr>
        <w:trPr>
          <w:trHeight w:val="20"/>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06"/>
        </w:trPr>
        <w:tc>
          <w:tcPr>
            <w:tcW w:w="3080" w:type="dxa"/>
            <w:vAlign w:val="bottom"/>
          </w:tcPr>
          <w:p>
            <w:pPr>
              <w:spacing w:after="0"/>
              <w:rPr>
                <w:sz w:val="20"/>
                <w:szCs w:val="20"/>
                <w:color w:val="auto"/>
              </w:rPr>
            </w:pPr>
            <w:r>
              <w:rPr>
                <w:rFonts w:ascii="Arial" w:cs="Arial" w:eastAsia="Arial" w:hAnsi="Arial"/>
                <w:sz w:val="22"/>
                <w:szCs w:val="22"/>
                <w:color w:val="auto"/>
              </w:rPr>
              <w:t>Operating Income</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22"/>
                <w:szCs w:val="22"/>
                <w:color w:val="auto"/>
                <w:w w:val="98"/>
              </w:rPr>
              <w:t>$40,082</w:t>
            </w:r>
          </w:p>
        </w:tc>
        <w:tc>
          <w:tcPr>
            <w:tcW w:w="1200" w:type="dxa"/>
            <w:vAlign w:val="bottom"/>
            <w:gridSpan w:val="3"/>
          </w:tcPr>
          <w:p>
            <w:pPr>
              <w:jc w:val="right"/>
              <w:ind w:right="140"/>
              <w:spacing w:after="0"/>
              <w:rPr>
                <w:sz w:val="20"/>
                <w:szCs w:val="20"/>
                <w:color w:val="auto"/>
              </w:rPr>
            </w:pPr>
            <w:r>
              <w:rPr>
                <w:rFonts w:ascii="Arial" w:cs="Arial" w:eastAsia="Arial" w:hAnsi="Arial"/>
                <w:sz w:val="22"/>
                <w:szCs w:val="22"/>
                <w:color w:val="auto"/>
              </w:rPr>
              <w:t>$13,926</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($1,684)</w:t>
            </w:r>
          </w:p>
        </w:tc>
        <w:tc>
          <w:tcPr>
            <w:tcW w:w="1040" w:type="dxa"/>
            <w:vAlign w:val="bottom"/>
            <w:gridSpan w:val="3"/>
          </w:tcPr>
          <w:p>
            <w:pPr>
              <w:jc w:val="right"/>
              <w:ind w:right="160"/>
              <w:spacing w:after="0"/>
              <w:rPr>
                <w:sz w:val="20"/>
                <w:szCs w:val="20"/>
                <w:color w:val="auto"/>
              </w:rPr>
            </w:pPr>
            <w:r>
              <w:rPr>
                <w:rFonts w:ascii="Arial" w:cs="Arial" w:eastAsia="Arial" w:hAnsi="Arial"/>
                <w:sz w:val="22"/>
                <w:szCs w:val="22"/>
                <w:color w:val="auto"/>
              </w:rPr>
              <w:t>($4,589)</w:t>
            </w:r>
          </w:p>
        </w:tc>
        <w:tc>
          <w:tcPr>
            <w:tcW w:w="1480" w:type="dxa"/>
            <w:vAlign w:val="bottom"/>
            <w:gridSpan w:val="3"/>
          </w:tcPr>
          <w:p>
            <w:pPr>
              <w:jc w:val="right"/>
              <w:ind w:right="120"/>
              <w:spacing w:after="0"/>
              <w:rPr>
                <w:sz w:val="20"/>
                <w:szCs w:val="20"/>
                <w:color w:val="auto"/>
              </w:rPr>
            </w:pPr>
            <w:r>
              <w:rPr>
                <w:rFonts w:ascii="Arial" w:cs="Arial" w:eastAsia="Arial" w:hAnsi="Arial"/>
                <w:sz w:val="22"/>
                <w:szCs w:val="22"/>
                <w:color w:val="auto"/>
              </w:rPr>
              <w:t>$47,735</w:t>
            </w:r>
          </w:p>
        </w:tc>
      </w:tr>
      <w:tr>
        <w:trPr>
          <w:trHeight w:val="373"/>
        </w:trPr>
        <w:tc>
          <w:tcPr>
            <w:tcW w:w="30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120" w:type="dxa"/>
            <w:vAlign w:val="bottom"/>
            <w:gridSpan w:val="3"/>
          </w:tcPr>
          <w:p>
            <w:pPr>
              <w:jc w:val="right"/>
              <w:ind w:right="180"/>
              <w:spacing w:after="0"/>
              <w:rPr>
                <w:sz w:val="20"/>
                <w:szCs w:val="20"/>
                <w:color w:val="auto"/>
              </w:rPr>
            </w:pPr>
            <w:r>
              <w:rPr>
                <w:rFonts w:ascii="Arial" w:cs="Arial" w:eastAsia="Arial" w:hAnsi="Arial"/>
                <w:sz w:val="22"/>
                <w:szCs w:val="22"/>
                <w:color w:val="auto"/>
              </w:rPr>
              <w:t>18,039</w:t>
            </w:r>
          </w:p>
        </w:tc>
        <w:tc>
          <w:tcPr>
            <w:tcW w:w="1200" w:type="dxa"/>
            <w:vAlign w:val="bottom"/>
            <w:gridSpan w:val="3"/>
          </w:tcPr>
          <w:p>
            <w:pPr>
              <w:jc w:val="right"/>
              <w:ind w:right="140"/>
              <w:spacing w:after="0"/>
              <w:rPr>
                <w:sz w:val="20"/>
                <w:szCs w:val="20"/>
                <w:color w:val="auto"/>
              </w:rPr>
            </w:pPr>
            <w:r>
              <w:rPr>
                <w:rFonts w:ascii="Arial" w:cs="Arial" w:eastAsia="Arial" w:hAnsi="Arial"/>
                <w:sz w:val="22"/>
                <w:szCs w:val="22"/>
                <w:color w:val="auto"/>
              </w:rPr>
              <w:t>8,071</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1,738</w:t>
            </w:r>
          </w:p>
        </w:tc>
        <w:tc>
          <w:tcPr>
            <w:tcW w:w="1040" w:type="dxa"/>
            <w:vAlign w:val="bottom"/>
            <w:gridSpan w:val="3"/>
          </w:tcPr>
          <w:p>
            <w:pPr>
              <w:jc w:val="right"/>
              <w:ind w:right="160"/>
              <w:spacing w:after="0"/>
              <w:rPr>
                <w:sz w:val="20"/>
                <w:szCs w:val="20"/>
                <w:color w:val="auto"/>
              </w:rPr>
            </w:pPr>
            <w:r>
              <w:rPr>
                <w:rFonts w:ascii="Arial" w:cs="Arial" w:eastAsia="Arial" w:hAnsi="Arial"/>
                <w:sz w:val="22"/>
                <w:szCs w:val="22"/>
                <w:color w:val="auto"/>
              </w:rPr>
              <w:t>315</w:t>
            </w:r>
          </w:p>
        </w:tc>
        <w:tc>
          <w:tcPr>
            <w:tcW w:w="1480" w:type="dxa"/>
            <w:vAlign w:val="bottom"/>
            <w:gridSpan w:val="3"/>
          </w:tcPr>
          <w:p>
            <w:pPr>
              <w:jc w:val="right"/>
              <w:ind w:right="120"/>
              <w:spacing w:after="0"/>
              <w:rPr>
                <w:sz w:val="20"/>
                <w:szCs w:val="20"/>
                <w:color w:val="auto"/>
              </w:rPr>
            </w:pPr>
            <w:r>
              <w:rPr>
                <w:rFonts w:ascii="Arial" w:cs="Arial" w:eastAsia="Arial" w:hAnsi="Arial"/>
                <w:sz w:val="22"/>
                <w:szCs w:val="22"/>
                <w:color w:val="auto"/>
              </w:rPr>
              <w:t>28,163</w:t>
            </w:r>
          </w:p>
        </w:tc>
      </w:tr>
      <w:tr>
        <w:trPr>
          <w:trHeight w:val="99"/>
        </w:trPr>
        <w:tc>
          <w:tcPr>
            <w:tcW w:w="3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r>
        <w:trPr>
          <w:trHeight w:val="406"/>
        </w:trPr>
        <w:tc>
          <w:tcPr>
            <w:tcW w:w="3080" w:type="dxa"/>
            <w:vAlign w:val="bottom"/>
          </w:tcPr>
          <w:p>
            <w:pPr>
              <w:spacing w:after="0"/>
              <w:rPr>
                <w:sz w:val="20"/>
                <w:szCs w:val="20"/>
                <w:color w:val="auto"/>
              </w:rPr>
            </w:pPr>
            <w:r>
              <w:rPr>
                <w:rFonts w:ascii="Arial" w:cs="Arial" w:eastAsia="Arial" w:hAnsi="Arial"/>
                <w:sz w:val="22"/>
                <w:szCs w:val="22"/>
                <w:color w:val="auto"/>
              </w:rPr>
              <w:t>OIBDA</w:t>
            </w:r>
          </w:p>
        </w:tc>
        <w:tc>
          <w:tcPr>
            <w:tcW w:w="1120" w:type="dxa"/>
            <w:vAlign w:val="bottom"/>
            <w:gridSpan w:val="3"/>
          </w:tcPr>
          <w:p>
            <w:pPr>
              <w:jc w:val="right"/>
              <w:ind w:right="180"/>
              <w:spacing w:after="0"/>
              <w:rPr>
                <w:sz w:val="20"/>
                <w:szCs w:val="20"/>
                <w:color w:val="auto"/>
              </w:rPr>
            </w:pPr>
            <w:r>
              <w:rPr>
                <w:rFonts w:ascii="Arial" w:cs="Arial" w:eastAsia="Arial" w:hAnsi="Arial"/>
                <w:sz w:val="22"/>
                <w:szCs w:val="22"/>
                <w:color w:val="auto"/>
              </w:rPr>
              <w:t>$58,121</w:t>
            </w:r>
          </w:p>
        </w:tc>
        <w:tc>
          <w:tcPr>
            <w:tcW w:w="1200" w:type="dxa"/>
            <w:vAlign w:val="bottom"/>
            <w:gridSpan w:val="3"/>
          </w:tcPr>
          <w:p>
            <w:pPr>
              <w:jc w:val="right"/>
              <w:ind w:right="140"/>
              <w:spacing w:after="0"/>
              <w:rPr>
                <w:sz w:val="20"/>
                <w:szCs w:val="20"/>
                <w:color w:val="auto"/>
              </w:rPr>
            </w:pPr>
            <w:r>
              <w:rPr>
                <w:rFonts w:ascii="Arial" w:cs="Arial" w:eastAsia="Arial" w:hAnsi="Arial"/>
                <w:sz w:val="22"/>
                <w:szCs w:val="22"/>
                <w:color w:val="auto"/>
              </w:rPr>
              <w:t>$21,997</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$54</w:t>
            </w:r>
          </w:p>
        </w:tc>
        <w:tc>
          <w:tcPr>
            <w:tcW w:w="1040" w:type="dxa"/>
            <w:vAlign w:val="bottom"/>
            <w:gridSpan w:val="3"/>
          </w:tcPr>
          <w:p>
            <w:pPr>
              <w:jc w:val="right"/>
              <w:ind w:right="160"/>
              <w:spacing w:after="0"/>
              <w:rPr>
                <w:sz w:val="20"/>
                <w:szCs w:val="20"/>
                <w:color w:val="auto"/>
              </w:rPr>
            </w:pPr>
            <w:r>
              <w:rPr>
                <w:rFonts w:ascii="Arial" w:cs="Arial" w:eastAsia="Arial" w:hAnsi="Arial"/>
                <w:sz w:val="22"/>
                <w:szCs w:val="22"/>
                <w:color w:val="auto"/>
              </w:rPr>
              <w:t>($4,274)</w:t>
            </w:r>
          </w:p>
        </w:tc>
        <w:tc>
          <w:tcPr>
            <w:tcW w:w="1480" w:type="dxa"/>
            <w:vAlign w:val="bottom"/>
            <w:gridSpan w:val="3"/>
          </w:tcPr>
          <w:p>
            <w:pPr>
              <w:jc w:val="right"/>
              <w:ind w:right="120"/>
              <w:spacing w:after="0"/>
              <w:rPr>
                <w:sz w:val="20"/>
                <w:szCs w:val="20"/>
                <w:color w:val="auto"/>
              </w:rPr>
            </w:pPr>
            <w:r>
              <w:rPr>
                <w:rFonts w:ascii="Arial" w:cs="Arial" w:eastAsia="Arial" w:hAnsi="Arial"/>
                <w:sz w:val="22"/>
                <w:szCs w:val="22"/>
                <w:color w:val="auto"/>
              </w:rPr>
              <w:t>$75,898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1156" w:right="819" w:bottom="1440" w:gutter="0" w:footer="0" w:header="0"/>
        </w:sectPr>
      </w:pPr>
    </w:p>
    <w:bookmarkStart w:id="42" w:name="page43"/>
    <w:bookmarkEnd w:id="42"/>
    <w:p>
      <w:pP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Non-GAAP Financial Measure - OIBDA</w:t>
      </w:r>
    </w:p>
    <w:p>
      <w:pPr>
        <w:spacing w:after="0" w:line="25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Ended 3/31/2008</w:t>
      </w:r>
    </w:p>
    <w:p>
      <w:pPr>
        <w:spacing w:after="0" w:line="200" w:lineRule="exact"/>
        <w:rPr>
          <w:sz w:val="20"/>
          <w:szCs w:val="20"/>
          <w:color w:val="auto"/>
        </w:rPr>
      </w:pPr>
    </w:p>
    <w:p>
      <w:pPr>
        <w:spacing w:after="0" w:line="306" w:lineRule="exact"/>
        <w:rPr>
          <w:sz w:val="20"/>
          <w:szCs w:val="20"/>
          <w:color w:val="auto"/>
        </w:rPr>
      </w:pPr>
    </w:p>
    <w:tbl>
      <w:tblPr>
        <w:tblLayout w:type="fixed"/>
        <w:tblInd w:w="520" w:type="dxa"/>
        <w:tblCellMar>
          <w:top w:w="0" w:type="dxa"/>
          <w:left w:w="0" w:type="dxa"/>
          <w:bottom w:w="0" w:type="dxa"/>
          <w:right w:w="0" w:type="dxa"/>
        </w:tblCellMar>
      </w:tblPr>
      <w:tr>
        <w:trPr>
          <w:trHeight w:val="276"/>
        </w:trPr>
        <w:tc>
          <w:tcPr>
            <w:tcW w:w="3080" w:type="dxa"/>
            <w:vAlign w:val="bottom"/>
          </w:tcPr>
          <w:p>
            <w:pPr>
              <w:spacing w:after="0"/>
              <w:rPr>
                <w:sz w:val="20"/>
                <w:szCs w:val="20"/>
                <w:color w:val="auto"/>
              </w:rPr>
            </w:pPr>
            <w:r>
              <w:rPr>
                <w:rFonts w:ascii="Arial" w:cs="Arial" w:eastAsia="Arial" w:hAnsi="Arial"/>
                <w:sz w:val="22"/>
                <w:szCs w:val="22"/>
                <w:i w:val="1"/>
                <w:iCs w:val="1"/>
                <w:color w:val="auto"/>
              </w:rPr>
              <w:t>Dollars in thousands</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694"/>
        </w:trPr>
        <w:tc>
          <w:tcPr>
            <w:tcW w:w="308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22"/>
                <w:szCs w:val="22"/>
                <w:color w:val="auto"/>
              </w:rPr>
              <w:t>Wireless</w:t>
            </w:r>
          </w:p>
        </w:tc>
        <w:tc>
          <w:tcPr>
            <w:tcW w:w="1200" w:type="dxa"/>
            <w:vAlign w:val="bottom"/>
            <w:gridSpan w:val="3"/>
          </w:tcPr>
          <w:p>
            <w:pPr>
              <w:jc w:val="right"/>
              <w:ind w:right="280"/>
              <w:spacing w:after="0"/>
              <w:rPr>
                <w:sz w:val="20"/>
                <w:szCs w:val="20"/>
                <w:color w:val="auto"/>
              </w:rPr>
            </w:pPr>
            <w:r>
              <w:rPr>
                <w:rFonts w:ascii="Arial" w:cs="Arial" w:eastAsia="Arial" w:hAnsi="Arial"/>
                <w:sz w:val="22"/>
                <w:szCs w:val="22"/>
                <w:color w:val="auto"/>
              </w:rPr>
              <w:t>Wireline</w:t>
            </w:r>
          </w:p>
        </w:tc>
        <w:tc>
          <w:tcPr>
            <w:tcW w:w="24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22"/>
                <w:szCs w:val="22"/>
                <w:color w:val="auto"/>
                <w:w w:val="83"/>
              </w:rPr>
              <w:t>Cable</w:t>
            </w:r>
          </w:p>
        </w:tc>
        <w:tc>
          <w:tcPr>
            <w:tcW w:w="24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22"/>
                <w:szCs w:val="22"/>
                <w:color w:val="auto"/>
                <w:w w:val="87"/>
              </w:rPr>
              <w:t>Other</w:t>
            </w:r>
          </w:p>
        </w:tc>
        <w:tc>
          <w:tcPr>
            <w:tcW w:w="1480" w:type="dxa"/>
            <w:vAlign w:val="bottom"/>
            <w:gridSpan w:val="3"/>
          </w:tcPr>
          <w:p>
            <w:pPr>
              <w:jc w:val="right"/>
              <w:ind w:right="180"/>
              <w:spacing w:after="0"/>
              <w:rPr>
                <w:sz w:val="20"/>
                <w:szCs w:val="20"/>
                <w:color w:val="auto"/>
              </w:rPr>
            </w:pPr>
            <w:r>
              <w:rPr>
                <w:rFonts w:ascii="Arial" w:cs="Arial" w:eastAsia="Arial" w:hAnsi="Arial"/>
                <w:sz w:val="22"/>
                <w:szCs w:val="22"/>
                <w:color w:val="auto"/>
                <w:w w:val="99"/>
              </w:rPr>
              <w:t>Consolidated</w:t>
            </w:r>
          </w:p>
        </w:tc>
      </w:tr>
      <w:tr>
        <w:trPr>
          <w:trHeight w:val="20"/>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06"/>
        </w:trPr>
        <w:tc>
          <w:tcPr>
            <w:tcW w:w="3080" w:type="dxa"/>
            <w:vAlign w:val="bottom"/>
          </w:tcPr>
          <w:p>
            <w:pPr>
              <w:spacing w:after="0"/>
              <w:rPr>
                <w:sz w:val="20"/>
                <w:szCs w:val="20"/>
                <w:color w:val="auto"/>
              </w:rPr>
            </w:pPr>
            <w:r>
              <w:rPr>
                <w:rFonts w:ascii="Arial" w:cs="Arial" w:eastAsia="Arial" w:hAnsi="Arial"/>
                <w:sz w:val="22"/>
                <w:szCs w:val="22"/>
                <w:color w:val="auto"/>
              </w:rPr>
              <w:t>Operating Income</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22"/>
                <w:szCs w:val="22"/>
                <w:color w:val="auto"/>
                <w:w w:val="98"/>
              </w:rPr>
              <w:t>$29,739</w:t>
            </w:r>
          </w:p>
        </w:tc>
        <w:tc>
          <w:tcPr>
            <w:tcW w:w="1200" w:type="dxa"/>
            <w:vAlign w:val="bottom"/>
            <w:gridSpan w:val="3"/>
          </w:tcPr>
          <w:p>
            <w:pPr>
              <w:jc w:val="right"/>
              <w:ind w:right="140"/>
              <w:spacing w:after="0"/>
              <w:rPr>
                <w:sz w:val="20"/>
                <w:szCs w:val="20"/>
                <w:color w:val="auto"/>
              </w:rPr>
            </w:pPr>
            <w:r>
              <w:rPr>
                <w:rFonts w:ascii="Arial" w:cs="Arial" w:eastAsia="Arial" w:hAnsi="Arial"/>
                <w:sz w:val="22"/>
                <w:szCs w:val="22"/>
                <w:color w:val="auto"/>
              </w:rPr>
              <w:t>$14,199</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($1,336)</w:t>
            </w:r>
          </w:p>
        </w:tc>
        <w:tc>
          <w:tcPr>
            <w:tcW w:w="1040" w:type="dxa"/>
            <w:vAlign w:val="bottom"/>
            <w:gridSpan w:val="3"/>
          </w:tcPr>
          <w:p>
            <w:pPr>
              <w:jc w:val="right"/>
              <w:ind w:right="160"/>
              <w:spacing w:after="0"/>
              <w:rPr>
                <w:sz w:val="20"/>
                <w:szCs w:val="20"/>
                <w:color w:val="auto"/>
              </w:rPr>
            </w:pPr>
            <w:r>
              <w:rPr>
                <w:rFonts w:ascii="Arial" w:cs="Arial" w:eastAsia="Arial" w:hAnsi="Arial"/>
                <w:sz w:val="22"/>
                <w:szCs w:val="22"/>
                <w:color w:val="auto"/>
              </w:rPr>
              <w:t>($5,082)</w:t>
            </w:r>
          </w:p>
        </w:tc>
        <w:tc>
          <w:tcPr>
            <w:tcW w:w="1480" w:type="dxa"/>
            <w:vAlign w:val="bottom"/>
            <w:gridSpan w:val="3"/>
          </w:tcPr>
          <w:p>
            <w:pPr>
              <w:jc w:val="right"/>
              <w:ind w:right="120"/>
              <w:spacing w:after="0"/>
              <w:rPr>
                <w:sz w:val="20"/>
                <w:szCs w:val="20"/>
                <w:color w:val="auto"/>
              </w:rPr>
            </w:pPr>
            <w:r>
              <w:rPr>
                <w:rFonts w:ascii="Arial" w:cs="Arial" w:eastAsia="Arial" w:hAnsi="Arial"/>
                <w:sz w:val="22"/>
                <w:szCs w:val="22"/>
                <w:color w:val="auto"/>
              </w:rPr>
              <w:t>$37,520</w:t>
            </w:r>
          </w:p>
        </w:tc>
      </w:tr>
      <w:tr>
        <w:trPr>
          <w:trHeight w:val="373"/>
        </w:trPr>
        <w:tc>
          <w:tcPr>
            <w:tcW w:w="30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120" w:type="dxa"/>
            <w:vAlign w:val="bottom"/>
            <w:gridSpan w:val="3"/>
          </w:tcPr>
          <w:p>
            <w:pPr>
              <w:jc w:val="right"/>
              <w:ind w:right="180"/>
              <w:spacing w:after="0"/>
              <w:rPr>
                <w:sz w:val="20"/>
                <w:szCs w:val="20"/>
                <w:color w:val="auto"/>
              </w:rPr>
            </w:pPr>
            <w:r>
              <w:rPr>
                <w:rFonts w:ascii="Arial" w:cs="Arial" w:eastAsia="Arial" w:hAnsi="Arial"/>
                <w:sz w:val="22"/>
                <w:szCs w:val="22"/>
                <w:color w:val="auto"/>
              </w:rPr>
              <w:t>16,629</w:t>
            </w:r>
          </w:p>
        </w:tc>
        <w:tc>
          <w:tcPr>
            <w:tcW w:w="1200" w:type="dxa"/>
            <w:vAlign w:val="bottom"/>
            <w:gridSpan w:val="3"/>
          </w:tcPr>
          <w:p>
            <w:pPr>
              <w:jc w:val="right"/>
              <w:ind w:right="140"/>
              <w:spacing w:after="0"/>
              <w:rPr>
                <w:sz w:val="20"/>
                <w:szCs w:val="20"/>
                <w:color w:val="auto"/>
              </w:rPr>
            </w:pPr>
            <w:r>
              <w:rPr>
                <w:rFonts w:ascii="Arial" w:cs="Arial" w:eastAsia="Arial" w:hAnsi="Arial"/>
                <w:sz w:val="22"/>
                <w:szCs w:val="22"/>
                <w:color w:val="auto"/>
              </w:rPr>
              <w:t>6,468</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1,035</w:t>
            </w:r>
          </w:p>
        </w:tc>
        <w:tc>
          <w:tcPr>
            <w:tcW w:w="1040" w:type="dxa"/>
            <w:vAlign w:val="bottom"/>
            <w:gridSpan w:val="3"/>
          </w:tcPr>
          <w:p>
            <w:pPr>
              <w:jc w:val="right"/>
              <w:ind w:right="160"/>
              <w:spacing w:after="0"/>
              <w:rPr>
                <w:sz w:val="20"/>
                <w:szCs w:val="20"/>
                <w:color w:val="auto"/>
              </w:rPr>
            </w:pPr>
            <w:r>
              <w:rPr>
                <w:rFonts w:ascii="Arial" w:cs="Arial" w:eastAsia="Arial" w:hAnsi="Arial"/>
                <w:sz w:val="22"/>
                <w:szCs w:val="22"/>
                <w:color w:val="auto"/>
              </w:rPr>
              <w:t>263</w:t>
            </w:r>
          </w:p>
        </w:tc>
        <w:tc>
          <w:tcPr>
            <w:tcW w:w="1480" w:type="dxa"/>
            <w:vAlign w:val="bottom"/>
            <w:gridSpan w:val="3"/>
          </w:tcPr>
          <w:p>
            <w:pPr>
              <w:jc w:val="right"/>
              <w:ind w:right="120"/>
              <w:spacing w:after="0"/>
              <w:rPr>
                <w:sz w:val="20"/>
                <w:szCs w:val="20"/>
                <w:color w:val="auto"/>
              </w:rPr>
            </w:pPr>
            <w:r>
              <w:rPr>
                <w:rFonts w:ascii="Arial" w:cs="Arial" w:eastAsia="Arial" w:hAnsi="Arial"/>
                <w:sz w:val="22"/>
                <w:szCs w:val="22"/>
                <w:color w:val="auto"/>
              </w:rPr>
              <w:t>24,395</w:t>
            </w:r>
          </w:p>
        </w:tc>
      </w:tr>
      <w:tr>
        <w:trPr>
          <w:trHeight w:val="99"/>
        </w:trPr>
        <w:tc>
          <w:tcPr>
            <w:tcW w:w="3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r>
        <w:trPr>
          <w:trHeight w:val="406"/>
        </w:trPr>
        <w:tc>
          <w:tcPr>
            <w:tcW w:w="3080" w:type="dxa"/>
            <w:vAlign w:val="bottom"/>
          </w:tcPr>
          <w:p>
            <w:pPr>
              <w:spacing w:after="0"/>
              <w:rPr>
                <w:sz w:val="20"/>
                <w:szCs w:val="20"/>
                <w:color w:val="auto"/>
              </w:rPr>
            </w:pPr>
            <w:r>
              <w:rPr>
                <w:rFonts w:ascii="Arial" w:cs="Arial" w:eastAsia="Arial" w:hAnsi="Arial"/>
                <w:sz w:val="22"/>
                <w:szCs w:val="22"/>
                <w:color w:val="auto"/>
              </w:rPr>
              <w:t>OIBDA</w:t>
            </w:r>
          </w:p>
        </w:tc>
        <w:tc>
          <w:tcPr>
            <w:tcW w:w="1120" w:type="dxa"/>
            <w:vAlign w:val="bottom"/>
            <w:gridSpan w:val="3"/>
          </w:tcPr>
          <w:p>
            <w:pPr>
              <w:jc w:val="right"/>
              <w:ind w:right="180"/>
              <w:spacing w:after="0"/>
              <w:rPr>
                <w:sz w:val="20"/>
                <w:szCs w:val="20"/>
                <w:color w:val="auto"/>
              </w:rPr>
            </w:pPr>
            <w:r>
              <w:rPr>
                <w:rFonts w:ascii="Arial" w:cs="Arial" w:eastAsia="Arial" w:hAnsi="Arial"/>
                <w:sz w:val="22"/>
                <w:szCs w:val="22"/>
                <w:color w:val="auto"/>
              </w:rPr>
              <w:t>$46,368</w:t>
            </w:r>
          </w:p>
        </w:tc>
        <w:tc>
          <w:tcPr>
            <w:tcW w:w="1200" w:type="dxa"/>
            <w:vAlign w:val="bottom"/>
            <w:gridSpan w:val="3"/>
          </w:tcPr>
          <w:p>
            <w:pPr>
              <w:jc w:val="right"/>
              <w:ind w:right="140"/>
              <w:spacing w:after="0"/>
              <w:rPr>
                <w:sz w:val="20"/>
                <w:szCs w:val="20"/>
                <w:color w:val="auto"/>
              </w:rPr>
            </w:pPr>
            <w:r>
              <w:rPr>
                <w:rFonts w:ascii="Arial" w:cs="Arial" w:eastAsia="Arial" w:hAnsi="Arial"/>
                <w:sz w:val="22"/>
                <w:szCs w:val="22"/>
                <w:color w:val="auto"/>
              </w:rPr>
              <w:t>$20,667</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($301)</w:t>
            </w:r>
          </w:p>
        </w:tc>
        <w:tc>
          <w:tcPr>
            <w:tcW w:w="1040" w:type="dxa"/>
            <w:vAlign w:val="bottom"/>
            <w:gridSpan w:val="3"/>
          </w:tcPr>
          <w:p>
            <w:pPr>
              <w:jc w:val="right"/>
              <w:ind w:right="160"/>
              <w:spacing w:after="0"/>
              <w:rPr>
                <w:sz w:val="20"/>
                <w:szCs w:val="20"/>
                <w:color w:val="auto"/>
              </w:rPr>
            </w:pPr>
            <w:r>
              <w:rPr>
                <w:rFonts w:ascii="Arial" w:cs="Arial" w:eastAsia="Arial" w:hAnsi="Arial"/>
                <w:sz w:val="22"/>
                <w:szCs w:val="22"/>
                <w:color w:val="auto"/>
              </w:rPr>
              <w:t>($4,819)</w:t>
            </w:r>
          </w:p>
        </w:tc>
        <w:tc>
          <w:tcPr>
            <w:tcW w:w="1480" w:type="dxa"/>
            <w:vAlign w:val="bottom"/>
            <w:gridSpan w:val="3"/>
          </w:tcPr>
          <w:p>
            <w:pPr>
              <w:jc w:val="right"/>
              <w:ind w:right="120"/>
              <w:spacing w:after="0"/>
              <w:rPr>
                <w:sz w:val="20"/>
                <w:szCs w:val="20"/>
                <w:color w:val="auto"/>
              </w:rPr>
            </w:pPr>
            <w:r>
              <w:rPr>
                <w:rFonts w:ascii="Arial" w:cs="Arial" w:eastAsia="Arial" w:hAnsi="Arial"/>
                <w:sz w:val="22"/>
                <w:szCs w:val="22"/>
                <w:color w:val="auto"/>
              </w:rPr>
              <w:t>$61,915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381635</wp:posOffset>
            </wp:positionV>
            <wp:extent cx="7270750"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1156" w:right="819" w:bottom="1440" w:gutter="0" w:footer="0" w:header="0"/>
        </w:sectPr>
      </w:pPr>
    </w:p>
    <w:bookmarkStart w:id="43" w:name="page44"/>
    <w:bookmarkEnd w:id="43"/>
    <w:p>
      <w:pPr>
        <w:spacing w:after="0"/>
        <w:rPr>
          <w:sz w:val="20"/>
          <w:szCs w:val="20"/>
          <w:color w:val="auto"/>
        </w:rPr>
      </w:pPr>
      <w:r>
        <w:rPr>
          <w:rFonts w:ascii="Arial" w:cs="Arial" w:eastAsia="Arial" w:hAnsi="Arial"/>
          <w:sz w:val="62"/>
          <w:szCs w:val="62"/>
          <w:b w:val="1"/>
          <w:bCs w:val="1"/>
          <w:color w:val="840039"/>
        </w:rPr>
        <w:drawing>
          <wp:anchor simplePos="0" relativeHeight="251657728" behindDoc="1" locked="0" layoutInCell="0" allowOverlap="1">
            <wp:simplePos x="0" y="0"/>
            <wp:positionH relativeFrom="page">
              <wp:posOffset>229870</wp:posOffset>
            </wp:positionH>
            <wp:positionV relativeFrom="page">
              <wp:posOffset>170180</wp:posOffset>
            </wp:positionV>
            <wp:extent cx="7109460" cy="53320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109460" cy="5332095"/>
                    </a:xfrm>
                    <a:prstGeom prst="rect">
                      <a:avLst/>
                    </a:prstGeom>
                    <a:noFill/>
                  </pic:spPr>
                </pic:pic>
              </a:graphicData>
            </a:graphic>
          </wp:anchor>
        </w:drawing>
        <w:t>Jefferies</w:t>
      </w:r>
    </w:p>
    <w:p>
      <w:pPr>
        <w:spacing w:after="0" w:line="121" w:lineRule="exact"/>
        <w:rPr>
          <w:sz w:val="20"/>
          <w:szCs w:val="20"/>
          <w:color w:val="auto"/>
        </w:rPr>
      </w:pPr>
    </w:p>
    <w:p>
      <w:pPr>
        <w:spacing w:after="0"/>
        <w:rPr>
          <w:sz w:val="20"/>
          <w:szCs w:val="20"/>
          <w:color w:val="auto"/>
        </w:rPr>
      </w:pPr>
      <w:r>
        <w:rPr>
          <w:rFonts w:ascii="Arial" w:cs="Arial" w:eastAsia="Arial" w:hAnsi="Arial"/>
          <w:sz w:val="42"/>
          <w:szCs w:val="42"/>
          <w:b w:val="1"/>
          <w:bCs w:val="1"/>
          <w:color w:val="auto"/>
        </w:rPr>
        <w:t>Global Internet, Media, &amp; Telecom Conference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42"/>
          <w:szCs w:val="42"/>
          <w:b w:val="1"/>
          <w:bCs w:val="1"/>
          <w:color w:val="auto"/>
        </w:rPr>
        <w:t>May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840105</wp:posOffset>
            </wp:positionV>
            <wp:extent cx="728535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5355" cy="20320"/>
                    </a:xfrm>
                    <a:prstGeom prst="rect">
                      <a:avLst/>
                    </a:prstGeom>
                    <a:noFill/>
                  </pic:spPr>
                </pic:pic>
              </a:graphicData>
            </a:graphic>
          </wp:anchor>
        </w:drawing>
      </w:r>
    </w:p>
    <w:sectPr>
      <w:pgSz w:w="11900" w:h="16838" w:orient="portrait"/>
      <w:cols w:equalWidth="0" w:num="1">
        <w:col w:w="10220"/>
      </w:cols>
      <w:pgMar w:left="920" w:top="101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o"/>
      <w:numFmt w:val="bullet"/>
      <w:start w:val="1"/>
    </w:lvl>
  </w:abstractNum>
  <w:abstractNum w:abstractNumId="1">
    <w:nsid w:val="25E45D32"/>
    <w:multiLevelType w:val="hybridMultilevel"/>
    <w:lvl w:ilvl="0">
      <w:lvlJc w:val="left"/>
      <w:lvlText w:val="n"/>
      <w:numFmt w:val="bullet"/>
      <w:start w:val="1"/>
    </w:lvl>
  </w:abstractNum>
  <w:abstractNum w:abstractNumId="2">
    <w:nsid w:val="519B500D"/>
    <w:multiLevelType w:val="hybridMultilevel"/>
    <w:lvl w:ilvl="0">
      <w:lvlJc w:val="left"/>
      <w:lvlText w:val="n"/>
      <w:numFmt w:val="bullet"/>
      <w:start w:val="1"/>
    </w:lvl>
  </w:abstractNum>
  <w:abstractNum w:abstractNumId="3">
    <w:nsid w:val="431BD7B7"/>
    <w:multiLevelType w:val="hybridMultilevel"/>
    <w:lvl w:ilvl="0">
      <w:lvlJc w:val="left"/>
      <w:lvlText w:val="u"/>
      <w:numFmt w:val="bullet"/>
      <w:start w:val="1"/>
    </w:lvl>
  </w:abstractNum>
  <w:abstractNum w:abstractNumId="4">
    <w:nsid w:val="3F2DBA31"/>
    <w:multiLevelType w:val="hybridMultilevel"/>
    <w:lvl w:ilvl="0">
      <w:lvlJc w:val="left"/>
      <w:lvlText w:val="n"/>
      <w:numFmt w:val="bullet"/>
      <w:start w:val="1"/>
    </w:lvl>
  </w:abstractNum>
  <w:abstractNum w:abstractNumId="5">
    <w:nsid w:val="7C83E458"/>
    <w:multiLevelType w:val="hybridMultilevel"/>
    <w:lvl w:ilvl="0">
      <w:lvlJc w:val="left"/>
      <w:lvlText w:val="u"/>
      <w:numFmt w:val="bullet"/>
      <w:start w:val="1"/>
    </w:lvl>
  </w:abstractNum>
  <w:abstractNum w:abstractNumId="6">
    <w:nsid w:val="257130A3"/>
    <w:multiLevelType w:val="hybridMultilevel"/>
    <w:lvl w:ilvl="0">
      <w:lvlJc w:val="left"/>
      <w:lvlText w:val="n"/>
      <w:numFmt w:val="bullet"/>
      <w:start w:val="1"/>
    </w:lvl>
  </w:abstractNum>
  <w:abstractNum w:abstractNumId="7">
    <w:nsid w:val="62BBD95A"/>
    <w:multiLevelType w:val="hybridMultilevel"/>
    <w:lvl w:ilvl="0">
      <w:lvlJc w:val="left"/>
      <w:lvlText w:val="u"/>
      <w:numFmt w:val="bullet"/>
      <w:start w:val="1"/>
    </w:lvl>
  </w:abstractNum>
  <w:abstractNum w:abstractNumId="8">
    <w:nsid w:val="436C6125"/>
    <w:multiLevelType w:val="hybridMultilevel"/>
    <w:lvl w:ilvl="0">
      <w:lvlJc w:val="left"/>
      <w:lvlText w:val="•"/>
      <w:numFmt w:val="bullet"/>
      <w:start w:val="1"/>
    </w:lvl>
    <w:lvl w:ilvl="1">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bullet"/>
      <w:start w:val="1"/>
    </w:lvl>
  </w:abstractNum>
  <w:abstractNum w:abstractNumId="11">
    <w:nsid w:val="721DA317"/>
    <w:multiLevelType w:val="hybridMultilevel"/>
    <w:lvl w:ilvl="0">
      <w:lvlJc w:val="left"/>
      <w:lvlText w:val="n"/>
      <w:numFmt w:val="bullet"/>
      <w:start w:val="1"/>
    </w:lvl>
  </w:abstractNum>
  <w:abstractNum w:abstractNumId="12">
    <w:nsid w:val="2443A858"/>
    <w:multiLevelType w:val="hybridMultilevel"/>
    <w:lvl w:ilvl="0">
      <w:lvlJc w:val="left"/>
      <w:lvlText w:val="n"/>
      <w:numFmt w:val="bullet"/>
      <w:start w:val="1"/>
    </w:lvl>
  </w:abstractNum>
  <w:abstractNum w:abstractNumId="13">
    <w:nsid w:val="2D1D5AE9"/>
    <w:multiLevelType w:val="hybridMultilevel"/>
    <w:lvl w:ilvl="0">
      <w:lvlJc w:val="left"/>
      <w:lvlText w:val="u"/>
      <w:numFmt w:val="bullet"/>
      <w:start w:val="1"/>
    </w:lvl>
  </w:abstractNum>
  <w:abstractNum w:abstractNumId="14">
    <w:nsid w:val="6763845E"/>
    <w:multiLevelType w:val="hybridMultilevel"/>
    <w:lvl w:ilvl="0">
      <w:lvlJc w:val="left"/>
      <w:lvlText w:val="n"/>
      <w:numFmt w:val="bullet"/>
      <w:start w:val="1"/>
    </w:lvl>
  </w:abstractNum>
  <w:abstractNum w:abstractNumId="15">
    <w:nsid w:val="75A2A8D4"/>
    <w:multiLevelType w:val="hybridMultilevel"/>
    <w:lvl w:ilvl="0">
      <w:lvlJc w:val="left"/>
      <w:lvlText w:val="u"/>
      <w:numFmt w:val="bullet"/>
      <w:start w:val="1"/>
    </w:lvl>
  </w:abstractNum>
  <w:abstractNum w:abstractNumId="16">
    <w:nsid w:val="8EDBDAB"/>
    <w:multiLevelType w:val="hybridMultilevel"/>
    <w:lvl w:ilvl="0">
      <w:lvlJc w:val="left"/>
      <w:lvlText w:val="n"/>
      <w:numFmt w:val="bullet"/>
      <w:start w:val="1"/>
    </w:lvl>
  </w:abstractNum>
  <w:abstractNum w:abstractNumId="17">
    <w:nsid w:val="79838CB2"/>
    <w:multiLevelType w:val="hybridMultilevel"/>
    <w:lvl w:ilvl="0">
      <w:lvlJc w:val="left"/>
      <w:lvlText w:val="u"/>
      <w:numFmt w:val="bullet"/>
      <w:start w:val="1"/>
    </w:lvl>
  </w:abstractNum>
  <w:abstractNum w:abstractNumId="18">
    <w:nsid w:val="4353D0CD"/>
    <w:multiLevelType w:val="hybridMultilevel"/>
    <w:lvl w:ilvl="0">
      <w:lvlJc w:val="left"/>
      <w:lvlText w:val="n"/>
      <w:numFmt w:val="bullet"/>
      <w:start w:val="1"/>
    </w:lvl>
  </w:abstractNum>
  <w:abstractNum w:abstractNumId="19">
    <w:nsid w:val="B03E0C6"/>
    <w:multiLevelType w:val="hybridMultilevel"/>
    <w:lvl w:ilvl="0">
      <w:lvlJc w:val="left"/>
      <w:lvlText w:val="n"/>
      <w:numFmt w:val="bullet"/>
      <w:start w:val="1"/>
    </w:lvl>
  </w:abstractNum>
  <w:abstractNum w:abstractNumId="20">
    <w:nsid w:val="189A769B"/>
    <w:multiLevelType w:val="hybridMultilevel"/>
    <w:lvl w:ilvl="0">
      <w:lvlJc w:val="left"/>
      <w:lvlText w:val="n"/>
      <w:numFmt w:val="bullet"/>
      <w:start w:val="1"/>
    </w:lvl>
  </w:abstractNum>
  <w:abstractNum w:abstractNumId="21">
    <w:nsid w:val="54E49EB4"/>
    <w:multiLevelType w:val="hybridMultilevel"/>
    <w:lvl w:ilvl="0">
      <w:lvlJc w:val="left"/>
      <w:lvlText w:val="u"/>
      <w:numFmt w:val="bullet"/>
      <w:start w:val="1"/>
    </w:lvl>
  </w:abstractNum>
  <w:abstractNum w:abstractNumId="22">
    <w:nsid w:val="71F32454"/>
    <w:multiLevelType w:val="hybridMultilevel"/>
    <w:lvl w:ilvl="0">
      <w:lvlJc w:val="left"/>
      <w:lvlText w:val="n"/>
      <w:numFmt w:val="bullet"/>
      <w:start w:val="1"/>
    </w:lvl>
  </w:abstractNum>
  <w:abstractNum w:abstractNumId="23">
    <w:nsid w:val="2CA88611"/>
    <w:multiLevelType w:val="hybridMultilevel"/>
    <w:lvl w:ilvl="0">
      <w:lvlJc w:val="left"/>
      <w:lvlText w:val="u"/>
      <w:numFmt w:val="bullet"/>
      <w:start w:val="1"/>
    </w:lvl>
  </w:abstractNum>
  <w:abstractNum w:abstractNumId="24">
    <w:nsid w:val="836C40E"/>
    <w:multiLevelType w:val="hybridMultilevel"/>
    <w:lvl w:ilvl="0">
      <w:lvlJc w:val="left"/>
      <w:lvlText w:val="n"/>
      <w:numFmt w:val="bullet"/>
      <w:start w:val="1"/>
    </w:lvl>
  </w:abstractNum>
  <w:abstractNum w:abstractNumId="25">
    <w:nsid w:val="2901D82"/>
    <w:multiLevelType w:val="hybridMultilevel"/>
    <w:lvl w:ilvl="0">
      <w:lvlJc w:val="left"/>
      <w:lvlText w:val="n"/>
      <w:numFmt w:val="bullet"/>
      <w:start w:val="1"/>
    </w:lvl>
  </w:abstractNum>
  <w:abstractNum w:abstractNumId="26">
    <w:nsid w:val="3A95F874"/>
    <w:multiLevelType w:val="hybridMultilevel"/>
    <w:lvl w:ilvl="0">
      <w:lvlJc w:val="left"/>
      <w:lvlText w:val="u"/>
      <w:numFmt w:val="bullet"/>
      <w:start w:val="1"/>
    </w:lvl>
  </w:abstractNum>
  <w:abstractNum w:abstractNumId="27">
    <w:nsid w:val="8138641"/>
    <w:multiLevelType w:val="hybridMultilevel"/>
    <w:lvl w:ilvl="0">
      <w:lvlJc w:val="left"/>
      <w:lvlText w:val="1"/>
      <w:numFmt w:val="bullet"/>
      <w:start w:val="1"/>
    </w:lvl>
  </w:abstractNum>
  <w:abstractNum w:abstractNumId="28">
    <w:nsid w:val="1E7FF521"/>
    <w:multiLevelType w:val="hybridMultilevel"/>
    <w:lvl w:ilvl="0">
      <w:lvlJc w:val="left"/>
      <w:lvlText w:val="n"/>
      <w:numFmt w:val="bullet"/>
      <w:start w:val="1"/>
    </w:lvl>
  </w:abstractNum>
  <w:abstractNum w:abstractNumId="29">
    <w:nsid w:val="7C3DBD3D"/>
    <w:multiLevelType w:val="hybridMultilevel"/>
    <w:lvl w:ilvl="0">
      <w:lvlJc w:val="left"/>
      <w:lvlText w:val="u"/>
      <w:numFmt w:val="bullet"/>
      <w:start w:val="1"/>
    </w:lvl>
  </w:abstractNum>
  <w:abstractNum w:abstractNumId="30">
    <w:nsid w:val="737B8DDC"/>
    <w:multiLevelType w:val="hybridMultilevel"/>
    <w:lvl w:ilvl="0">
      <w:lvlJc w:val="left"/>
      <w:lvlText w:val="n"/>
      <w:numFmt w:val="bullet"/>
      <w:start w:val="1"/>
    </w:lvl>
  </w:abstractNum>
  <w:abstractNum w:abstractNumId="31">
    <w:nsid w:val="6CEAF087"/>
    <w:multiLevelType w:val="hybridMultilevel"/>
    <w:lvl w:ilvl="0">
      <w:lvlJc w:val="left"/>
      <w:lvlText w:val="u"/>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2019-12-10T04:35:19Z</dcterms:created>
  <dcterms:modified xsi:type="dcterms:W3CDTF">2019-12-10T04:35:19Z</dcterms:modified>
</cp:coreProperties>
</file>