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37" w:lineRule="exact"/>
        <w:rPr>
          <w:sz w:val="24"/>
          <w:szCs w:val="24"/>
          <w:color w:val="auto"/>
        </w:rPr>
      </w:pPr>
    </w:p>
    <w:p>
      <w:pPr>
        <w:jc w:val="center"/>
        <w:ind w:right="-363"/>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63"/>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363"/>
        <w:spacing w:after="0"/>
        <w:rPr>
          <w:sz w:val="20"/>
          <w:szCs w:val="20"/>
          <w:color w:val="auto"/>
        </w:rPr>
      </w:pPr>
      <w:r>
        <w:rPr>
          <w:rFonts w:ascii="Arial" w:cs="Arial" w:eastAsia="Arial" w:hAnsi="Arial"/>
          <w:sz w:val="29"/>
          <w:szCs w:val="29"/>
          <w:b w:val="1"/>
          <w:bCs w:val="1"/>
          <w:color w:val="auto"/>
        </w:rPr>
        <w:t>FORM 8-K</w:t>
      </w:r>
    </w:p>
    <w:p>
      <w:pPr>
        <w:spacing w:after="0" w:line="227"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12" w:lineRule="exact"/>
        <w:rPr>
          <w:sz w:val="24"/>
          <w:szCs w:val="24"/>
          <w:color w:val="auto"/>
        </w:rPr>
      </w:pPr>
    </w:p>
    <w:p>
      <w:pPr>
        <w:jc w:val="center"/>
        <w:ind w:right="-363"/>
        <w:spacing w:after="0"/>
        <w:rPr>
          <w:sz w:val="20"/>
          <w:szCs w:val="20"/>
          <w:color w:val="auto"/>
        </w:rPr>
      </w:pPr>
      <w:r>
        <w:rPr>
          <w:rFonts w:ascii="Arial" w:cs="Arial" w:eastAsia="Arial" w:hAnsi="Arial"/>
          <w:sz w:val="16"/>
          <w:szCs w:val="16"/>
          <w:color w:val="auto"/>
        </w:rPr>
        <w:t>Date of Report (Date of earliest event reported): May 6, 2010</w:t>
      </w:r>
    </w:p>
    <w:p>
      <w:pPr>
        <w:spacing w:after="0" w:line="21" w:lineRule="exact"/>
        <w:rPr>
          <w:sz w:val="24"/>
          <w:szCs w:val="24"/>
          <w:color w:val="auto"/>
        </w:rPr>
      </w:pPr>
    </w:p>
    <w:p>
      <w:pPr>
        <w:ind w:left="4964"/>
        <w:spacing w:after="0"/>
        <w:rPr>
          <w:sz w:val="20"/>
          <w:szCs w:val="20"/>
          <w:color w:val="auto"/>
        </w:rPr>
      </w:pPr>
      <w:r>
        <w:rPr>
          <w:rFonts w:ascii="Arial" w:cs="Arial" w:eastAsia="Arial" w:hAnsi="Arial"/>
          <w:sz w:val="16"/>
          <w:szCs w:val="16"/>
          <w:b w:val="1"/>
          <w:bCs w:val="1"/>
          <w:color w:val="auto"/>
        </w:rPr>
        <w:t>___________________</w:t>
      </w:r>
    </w:p>
    <w:p>
      <w:pPr>
        <w:spacing w:after="0" w:line="196" w:lineRule="exact"/>
        <w:rPr>
          <w:sz w:val="24"/>
          <w:szCs w:val="24"/>
          <w:color w:val="auto"/>
        </w:rPr>
      </w:pPr>
    </w:p>
    <w:p>
      <w:pPr>
        <w:ind w:left="2344"/>
        <w:spacing w:after="0"/>
        <w:rPr>
          <w:sz w:val="20"/>
          <w:szCs w:val="20"/>
          <w:color w:val="auto"/>
        </w:rPr>
      </w:pPr>
      <w:r>
        <w:rPr>
          <w:rFonts w:ascii="Arial" w:cs="Arial" w:eastAsia="Arial" w:hAnsi="Arial"/>
          <w:sz w:val="34"/>
          <w:szCs w:val="34"/>
          <w:color w:val="auto"/>
        </w:rPr>
        <w:t>Shenandoah Telecommunications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110490</wp:posOffset>
            </wp:positionV>
            <wp:extent cx="365125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51250" cy="20320"/>
                    </a:xfrm>
                    <a:prstGeom prst="rect">
                      <a:avLst/>
                    </a:prstGeom>
                    <a:noFill/>
                  </pic:spPr>
                </pic:pic>
              </a:graphicData>
            </a:graphic>
          </wp:anchor>
        </w:drawing>
      </w:r>
    </w:p>
    <w:p>
      <w:pPr>
        <w:spacing w:after="0" w:line="261"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5" w:lineRule="exact"/>
        <w:rPr>
          <w:sz w:val="24"/>
          <w:szCs w:val="24"/>
          <w:color w:val="auto"/>
        </w:rPr>
      </w:pPr>
    </w:p>
    <w:p>
      <w:pPr>
        <w:ind w:left="5004"/>
        <w:spacing w:after="0"/>
        <w:rPr>
          <w:sz w:val="20"/>
          <w:szCs w:val="20"/>
          <w:color w:val="auto"/>
        </w:rPr>
      </w:pPr>
      <w:r>
        <w:rPr>
          <w:rFonts w:ascii="Arial" w:cs="Arial" w:eastAsia="Arial" w:hAnsi="Arial"/>
          <w:sz w:val="16"/>
          <w:szCs w:val="16"/>
          <w:b w:val="1"/>
          <w:bCs w:val="1"/>
          <w:color w:val="auto"/>
        </w:rPr>
        <w:t>__________________</w:t>
      </w:r>
    </w:p>
    <w:p>
      <w:pPr>
        <w:sectPr>
          <w:pgSz w:w="11900" w:h="16838" w:orient="portrait"/>
          <w:cols w:equalWidth="0" w:num="1">
            <w:col w:w="11084"/>
          </w:cols>
          <w:pgMar w:left="236" w:top="286" w:right="579" w:bottom="1440" w:gutter="0" w:footer="0" w:header="0"/>
        </w:sectPr>
      </w:pPr>
    </w:p>
    <w:p>
      <w:pPr>
        <w:spacing w:after="0" w:line="208" w:lineRule="exact"/>
        <w:rPr>
          <w:sz w:val="24"/>
          <w:szCs w:val="24"/>
          <w:color w:val="auto"/>
        </w:rPr>
      </w:pPr>
    </w:p>
    <w:p>
      <w:pPr>
        <w:jc w:val="center"/>
        <w:ind w:right="496"/>
        <w:spacing w:after="0"/>
        <w:rPr>
          <w:sz w:val="20"/>
          <w:szCs w:val="20"/>
          <w:color w:val="auto"/>
        </w:rPr>
      </w:pPr>
      <w:r>
        <w:rPr>
          <w:rFonts w:ascii="Arial" w:cs="Arial" w:eastAsia="Arial" w:hAnsi="Arial"/>
          <w:sz w:val="16"/>
          <w:szCs w:val="16"/>
          <w:b w:val="1"/>
          <w:bCs w:val="1"/>
          <w:color w:val="auto"/>
        </w:rPr>
        <w:t>Virginia</w:t>
      </w:r>
    </w:p>
    <w:p>
      <w:pPr>
        <w:spacing w:after="0" w:line="25" w:lineRule="exact"/>
        <w:rPr>
          <w:sz w:val="24"/>
          <w:szCs w:val="24"/>
          <w:color w:val="auto"/>
        </w:rPr>
      </w:pPr>
    </w:p>
    <w:p>
      <w:pPr>
        <w:jc w:val="center"/>
        <w:ind w:right="496"/>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0-9881</w:t>
      </w:r>
    </w:p>
    <w:p>
      <w:pPr>
        <w:spacing w:after="0" w:line="25"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54-1162807</w:t>
      </w:r>
    </w:p>
    <w:p>
      <w:pPr>
        <w:spacing w:after="0" w:line="25" w:lineRule="exact"/>
        <w:rPr>
          <w:sz w:val="24"/>
          <w:szCs w:val="24"/>
          <w:color w:val="auto"/>
        </w:rPr>
      </w:pPr>
    </w:p>
    <w:p>
      <w:pPr>
        <w:jc w:val="center"/>
        <w:ind w:right="42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224" w:space="720"/>
            <w:col w:w="2800" w:space="720"/>
            <w:col w:w="2620"/>
          </w:cols>
          <w:pgMar w:left="236" w:top="286" w:right="579" w:bottom="1440" w:gutter="0" w:footer="0" w:header="0"/>
          <w:type w:val="continuous"/>
        </w:sectPr>
      </w:pPr>
    </w:p>
    <w:p>
      <w:pPr>
        <w:spacing w:after="0" w:line="236" w:lineRule="exact"/>
        <w:rPr>
          <w:sz w:val="24"/>
          <w:szCs w:val="24"/>
          <w:color w:val="auto"/>
        </w:rPr>
      </w:pPr>
    </w:p>
    <w:p>
      <w:pPr>
        <w:jc w:val="center"/>
        <w:ind w:right="1936"/>
        <w:spacing w:after="0"/>
        <w:rPr>
          <w:sz w:val="20"/>
          <w:szCs w:val="20"/>
          <w:color w:val="auto"/>
        </w:rPr>
      </w:pPr>
      <w:r>
        <w:rPr>
          <w:rFonts w:ascii="Arial" w:cs="Arial" w:eastAsia="Arial" w:hAnsi="Arial"/>
          <w:sz w:val="16"/>
          <w:szCs w:val="16"/>
          <w:b w:val="1"/>
          <w:bCs w:val="1"/>
          <w:color w:val="auto"/>
        </w:rPr>
        <w:t>500 Shentel Way</w:t>
      </w:r>
    </w:p>
    <w:p>
      <w:pPr>
        <w:spacing w:after="0" w:line="25" w:lineRule="exact"/>
        <w:rPr>
          <w:sz w:val="24"/>
          <w:szCs w:val="24"/>
          <w:color w:val="auto"/>
        </w:rPr>
      </w:pPr>
    </w:p>
    <w:p>
      <w:pPr>
        <w:jc w:val="center"/>
        <w:ind w:right="1936"/>
        <w:spacing w:after="0"/>
        <w:rPr>
          <w:sz w:val="20"/>
          <w:szCs w:val="20"/>
          <w:color w:val="auto"/>
        </w:rPr>
      </w:pPr>
      <w:r>
        <w:rPr>
          <w:rFonts w:ascii="Arial" w:cs="Arial" w:eastAsia="Arial" w:hAnsi="Arial"/>
          <w:sz w:val="16"/>
          <w:szCs w:val="16"/>
          <w:b w:val="1"/>
          <w:bCs w:val="1"/>
          <w:color w:val="auto"/>
        </w:rPr>
        <w:t>P.O. Box 459</w:t>
      </w:r>
    </w:p>
    <w:p>
      <w:pPr>
        <w:spacing w:after="0" w:line="8" w:lineRule="exact"/>
        <w:rPr>
          <w:sz w:val="24"/>
          <w:szCs w:val="24"/>
          <w:color w:val="auto"/>
        </w:rPr>
      </w:pPr>
    </w:p>
    <w:p>
      <w:pPr>
        <w:jc w:val="center"/>
        <w:ind w:right="1936"/>
        <w:spacing w:after="0"/>
        <w:rPr>
          <w:sz w:val="20"/>
          <w:szCs w:val="20"/>
          <w:color w:val="auto"/>
        </w:rPr>
      </w:pPr>
      <w:r>
        <w:rPr>
          <w:rFonts w:ascii="Arial" w:cs="Arial" w:eastAsia="Arial" w:hAnsi="Arial"/>
          <w:sz w:val="16"/>
          <w:szCs w:val="16"/>
          <w:b w:val="1"/>
          <w:bCs w:val="1"/>
          <w:color w:val="auto"/>
        </w:rPr>
        <w:t>Edinburg, VA</w:t>
      </w:r>
    </w:p>
    <w:p>
      <w:pPr>
        <w:spacing w:after="0" w:line="8" w:lineRule="exact"/>
        <w:rPr>
          <w:sz w:val="24"/>
          <w:szCs w:val="24"/>
          <w:color w:val="auto"/>
        </w:rPr>
      </w:pPr>
    </w:p>
    <w:p>
      <w:pPr>
        <w:jc w:val="center"/>
        <w:ind w:right="193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22824</w:t>
      </w:r>
    </w:p>
    <w:p>
      <w:pPr>
        <w:spacing w:after="0" w:line="25" w:lineRule="exact"/>
        <w:rPr>
          <w:sz w:val="24"/>
          <w:szCs w:val="24"/>
          <w:color w:val="auto"/>
        </w:rPr>
      </w:pPr>
    </w:p>
    <w:p>
      <w:pPr>
        <w:jc w:val="center"/>
        <w:ind w:right="21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64" w:space="720"/>
            <w:col w:w="2800"/>
          </w:cols>
          <w:pgMar w:left="236" w:top="286" w:right="579" w:bottom="1440" w:gutter="0" w:footer="0" w:header="0"/>
          <w:type w:val="continuous"/>
        </w:sectPr>
      </w:pPr>
    </w:p>
    <w:p>
      <w:pPr>
        <w:spacing w:after="0" w:line="31" w:lineRule="exact"/>
        <w:rPr>
          <w:sz w:val="24"/>
          <w:szCs w:val="24"/>
          <w:color w:val="auto"/>
        </w:rPr>
      </w:pPr>
    </w:p>
    <w:p>
      <w:pPr>
        <w:ind w:left="4"/>
        <w:spacing w:after="0"/>
        <w:rPr>
          <w:sz w:val="20"/>
          <w:szCs w:val="20"/>
          <w:color w:val="auto"/>
        </w:rPr>
      </w:pPr>
      <w:r>
        <w:rPr>
          <w:rFonts w:ascii="Arial" w:cs="Arial" w:eastAsia="Arial" w:hAnsi="Arial"/>
          <w:sz w:val="14"/>
          <w:szCs w:val="14"/>
          <w:b w:val="1"/>
          <w:bCs w:val="1"/>
          <w:color w:val="auto"/>
        </w:rPr>
        <w:t>Registrant’s telephone number, including area code: (540) 984-4141</w:t>
      </w:r>
    </w:p>
    <w:p>
      <w:pPr>
        <w:sectPr>
          <w:pgSz w:w="11900" w:h="16838" w:orient="portrait"/>
          <w:cols w:equalWidth="0" w:num="1">
            <w:col w:w="11084"/>
          </w:cols>
          <w:pgMar w:left="236" w:top="286" w:right="579" w:bottom="1440" w:gutter="0" w:footer="0" w:header="0"/>
          <w:type w:val="continuous"/>
        </w:sectPr>
      </w:pPr>
    </w:p>
    <w:p>
      <w:pPr>
        <w:spacing w:after="0" w:line="200" w:lineRule="exact"/>
        <w:rPr>
          <w:sz w:val="24"/>
          <w:szCs w:val="24"/>
          <w:color w:val="auto"/>
        </w:rPr>
      </w:pPr>
    </w:p>
    <w:p>
      <w:pPr>
        <w:spacing w:after="0" w:line="264"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74295</wp:posOffset>
            </wp:positionV>
            <wp:extent cx="291909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9095" cy="20320"/>
                    </a:xfrm>
                    <a:prstGeom prst="rect">
                      <a:avLst/>
                    </a:prstGeom>
                    <a:noFill/>
                  </pic:spPr>
                </pic:pic>
              </a:graphicData>
            </a:graphic>
          </wp:anchor>
        </w:drawing>
      </w:r>
    </w:p>
    <w:p>
      <w:pPr>
        <w:spacing w:after="0" w:line="204"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28" w:lineRule="exact"/>
        <w:rPr>
          <w:sz w:val="24"/>
          <w:szCs w:val="24"/>
          <w:color w:val="auto"/>
        </w:rPr>
      </w:pPr>
    </w:p>
    <w:p>
      <w:pPr>
        <w:ind w:left="4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88" w:lineRule="exact"/>
        <w:rPr>
          <w:sz w:val="24"/>
          <w:szCs w:val="24"/>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26694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40640"/>
                    </a:xfrm>
                    <a:prstGeom prst="rect">
                      <a:avLst/>
                    </a:prstGeom>
                    <a:noFill/>
                  </pic:spPr>
                </pic:pic>
              </a:graphicData>
            </a:graphic>
          </wp:anchor>
        </w:drawing>
      </w:r>
    </w:p>
    <w:p>
      <w:pPr>
        <w:spacing w:after="0" w:line="369" w:lineRule="exact"/>
        <w:rPr>
          <w:sz w:val="24"/>
          <w:szCs w:val="24"/>
          <w:color w:val="auto"/>
        </w:rPr>
      </w:pPr>
    </w:p>
    <w:p>
      <w:pPr>
        <w:jc w:val="center"/>
        <w:ind w:right="-343"/>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4"/>
          </w:cols>
          <w:pgMar w:left="236" w:top="286"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28" w:lineRule="exact"/>
        <w:rPr>
          <w:sz w:val="20"/>
          <w:szCs w:val="20"/>
          <w:color w:val="auto"/>
        </w:rPr>
      </w:pPr>
    </w:p>
    <w:p>
      <w:pPr>
        <w:ind w:right="240"/>
        <w:spacing w:after="0" w:line="351" w:lineRule="auto"/>
        <w:rPr>
          <w:sz w:val="20"/>
          <w:szCs w:val="20"/>
          <w:color w:val="auto"/>
        </w:rPr>
      </w:pPr>
      <w:r>
        <w:rPr>
          <w:rFonts w:ascii="Arial" w:cs="Arial" w:eastAsia="Arial" w:hAnsi="Arial"/>
          <w:sz w:val="14"/>
          <w:szCs w:val="14"/>
          <w:color w:val="auto"/>
        </w:rPr>
        <w:t>The following information is furnished pursuant to Regulation FD: On May 6, 2010, Shenandoah Telecommunications Company held its first quarter 2010 earnings release conference call. The materials attached hereto as Exhibit 99.1 were utilized during the conference call. These materials are also available on the Company’s website.</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These materials may contain forward-looking statements about Shenandoah Telecommunications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undertakes no obligation to revise or update such statements to reflect current events or circumstances after the date hereof, or to reflect the occurrence of unanticipated events.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is furnished with this Current Report on Form 8-K.</w:t>
      </w:r>
    </w:p>
    <w:p>
      <w:pPr>
        <w:spacing w:after="0" w:line="220" w:lineRule="exact"/>
        <w:rPr>
          <w:sz w:val="20"/>
          <w:szCs w:val="20"/>
          <w:color w:val="auto"/>
        </w:rPr>
      </w:pPr>
    </w:p>
    <w:p>
      <w:pPr>
        <w:ind w:left="280"/>
        <w:spacing w:after="0"/>
        <w:tabs>
          <w:tab w:leader="none" w:pos="840" w:val="left"/>
        </w:tabs>
        <w:rPr>
          <w:sz w:val="20"/>
          <w:szCs w:val="20"/>
          <w:color w:val="auto"/>
        </w:rPr>
      </w:pPr>
      <w:r>
        <w:rPr>
          <w:rFonts w:ascii="Arial" w:cs="Arial" w:eastAsia="Arial" w:hAnsi="Arial"/>
          <w:sz w:val="16"/>
          <w:szCs w:val="16"/>
          <w:b w:val="1"/>
          <w:bCs w:val="1"/>
          <w:u w:val="single" w:color="auto"/>
          <w:color w:val="0000EE"/>
        </w:rPr>
        <w:t>99.1</w:t>
      </w:r>
      <w:r>
        <w:rPr>
          <w:sz w:val="20"/>
          <w:szCs w:val="20"/>
          <w:color w:val="auto"/>
        </w:rPr>
        <w:tab/>
      </w:r>
      <w:r>
        <w:rPr>
          <w:rFonts w:ascii="Arial" w:cs="Arial" w:eastAsia="Arial" w:hAnsi="Arial"/>
          <w:sz w:val="14"/>
          <w:szCs w:val="14"/>
          <w:b w:val="1"/>
          <w:bCs w:val="1"/>
          <w:color w:val="auto"/>
        </w:rPr>
        <w:t>First Quarter 2010 Earnings Release Conference Call Slides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SIGNATURE</w:t>
      </w:r>
    </w:p>
    <w:p>
      <w:pPr>
        <w:spacing w:after="0" w:line="228"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SHENANDOAH TELECOMMUNICATIONS COMPANY</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28" w:lineRule="exact"/>
        <w:rPr>
          <w:sz w:val="20"/>
          <w:szCs w:val="20"/>
          <w:color w:val="auto"/>
        </w:rPr>
      </w:pPr>
    </w:p>
    <w:p>
      <w:pPr>
        <w:ind w:left="420"/>
        <w:spacing w:after="0"/>
        <w:tabs>
          <w:tab w:leader="none" w:pos="5700" w:val="left"/>
        </w:tabs>
        <w:rPr>
          <w:sz w:val="20"/>
          <w:szCs w:val="20"/>
          <w:color w:val="auto"/>
        </w:rPr>
      </w:pPr>
      <w:r>
        <w:rPr>
          <w:rFonts w:ascii="Arial" w:cs="Arial" w:eastAsia="Arial" w:hAnsi="Arial"/>
          <w:sz w:val="16"/>
          <w:szCs w:val="16"/>
          <w:color w:val="auto"/>
        </w:rPr>
        <w:t>May 6, 2010</w:t>
      </w:r>
      <w:r>
        <w:rPr>
          <w:sz w:val="20"/>
          <w:szCs w:val="20"/>
          <w:color w:val="auto"/>
        </w:rPr>
        <w:tab/>
      </w:r>
      <w:r>
        <w:rPr>
          <w:rFonts w:ascii="Arial" w:cs="Arial" w:eastAsia="Arial" w:hAnsi="Arial"/>
          <w:sz w:val="14"/>
          <w:szCs w:val="14"/>
          <w:color w:val="auto"/>
        </w:rPr>
        <w:t>/S/ 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13335</wp:posOffset>
            </wp:positionV>
            <wp:extent cx="1815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5465" cy="15240"/>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Adele M. Skolits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Vice President - Finance and</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(Duly Authorized Officer)</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28218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28218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2180" cy="3302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14605</wp:posOffset>
            </wp:positionV>
            <wp:extent cx="7317740" cy="5492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Arial" w:cs="Arial" w:eastAsia="Arial" w:hAnsi="Arial"/>
          <w:sz w:val="44"/>
          <w:szCs w:val="44"/>
          <w:b w:val="1"/>
          <w:bCs w:val="1"/>
          <w:color w:val="840039"/>
        </w:rPr>
        <w:t>1Q 2010 Earnings Conference Call</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30"/>
          <w:szCs w:val="30"/>
          <w:b w:val="1"/>
          <w:bCs w:val="1"/>
          <w:color w:val="auto"/>
        </w:rPr>
        <w:t>May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415925</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259" w:right="219" w:bottom="1440" w:gutter="0" w:footer="0" w:header="0"/>
        </w:sectPr>
      </w:pPr>
    </w:p>
    <w:bookmarkStart w:id="3" w:name="page4"/>
    <w:bookmarkEnd w:id="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 w:right="1260"/>
        <w:spacing w:after="0" w:line="255" w:lineRule="auto"/>
        <w:rPr>
          <w:sz w:val="20"/>
          <w:szCs w:val="20"/>
          <w:color w:val="auto"/>
        </w:rPr>
      </w:pPr>
      <w:r>
        <w:rPr>
          <w:rFonts w:ascii="Arial" w:cs="Arial" w:eastAsia="Arial" w:hAnsi="Arial"/>
          <w:sz w:val="23"/>
          <w:szCs w:val="23"/>
          <w:color w:val="auto"/>
        </w:rPr>
        <w:t>This presentation includes “forward-looking statements” within the meaning of Section 27A of the Securities Act and Section 21E of the Securities Exchange Act of 1934, as amended,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similar words, or by discussions of strategy or risks and uncertainties. These statements are based on current expectations of future events. If underlying assumptions prove inaccurate or unknown risks or uncertainties materialize, actual results could vary materially from the Company’s expectations and projections. Important factors that could cause actual results to differ materially from such forward-looking statements include, without limitation, risks related to the following:</w:t>
      </w:r>
    </w:p>
    <w:p>
      <w:pPr>
        <w:spacing w:after="0" w:line="99" w:lineRule="exact"/>
        <w:rPr>
          <w:sz w:val="20"/>
          <w:szCs w:val="20"/>
          <w:color w:val="auto"/>
        </w:rPr>
      </w:pPr>
    </w:p>
    <w:p>
      <w:pPr>
        <w:ind w:left="380" w:right="3920"/>
        <w:spacing w:after="0" w:line="393" w:lineRule="auto"/>
        <w:rPr>
          <w:sz w:val="20"/>
          <w:szCs w:val="20"/>
          <w:color w:val="auto"/>
        </w:rPr>
      </w:pPr>
      <w:r>
        <w:rPr>
          <w:rFonts w:ascii="Arial" w:cs="Arial" w:eastAsia="Arial" w:hAnsi="Arial"/>
          <w:sz w:val="25"/>
          <w:szCs w:val="25"/>
          <w:color w:val="840039"/>
        </w:rPr>
        <w:t>q</w:t>
      </w:r>
      <w:r>
        <w:rPr>
          <w:rFonts w:ascii="Arial" w:cs="Arial" w:eastAsia="Arial" w:hAnsi="Arial"/>
          <w:sz w:val="25"/>
          <w:szCs w:val="25"/>
          <w:color w:val="000000"/>
        </w:rPr>
        <w:t>Increasing competition in the communications industry; and</w:t>
      </w:r>
      <w:r>
        <w:rPr>
          <w:rFonts w:ascii="Arial" w:cs="Arial" w:eastAsia="Arial" w:hAnsi="Arial"/>
          <w:sz w:val="25"/>
          <w:szCs w:val="25"/>
          <w:color w:val="840039"/>
        </w:rPr>
        <w:t xml:space="preserve"> q</w:t>
      </w:r>
      <w:r>
        <w:rPr>
          <w:rFonts w:ascii="Arial" w:cs="Arial" w:eastAsia="Arial" w:hAnsi="Arial"/>
          <w:sz w:val="25"/>
          <w:szCs w:val="25"/>
          <w:color w:val="000000"/>
        </w:rPr>
        <w:t>A complex and uncertain regulatory environment.</w:t>
      </w:r>
    </w:p>
    <w:p>
      <w:pPr>
        <w:spacing w:after="0" w:line="92" w:lineRule="exact"/>
        <w:rPr>
          <w:sz w:val="20"/>
          <w:szCs w:val="20"/>
          <w:color w:val="auto"/>
        </w:rPr>
      </w:pPr>
    </w:p>
    <w:p>
      <w:pPr>
        <w:ind w:left="380" w:right="1240"/>
        <w:spacing w:after="0" w:line="229" w:lineRule="auto"/>
        <w:rPr>
          <w:sz w:val="20"/>
          <w:szCs w:val="20"/>
          <w:color w:val="auto"/>
        </w:rPr>
      </w:pPr>
      <w:r>
        <w:rPr>
          <w:rFonts w:ascii="Arial" w:cs="Arial" w:eastAsia="Arial" w:hAnsi="Arial"/>
          <w:sz w:val="26"/>
          <w:szCs w:val="26"/>
          <w:color w:val="auto"/>
        </w:rPr>
        <w:t>A further list and description of these risks, uncertainties and other factors can be found in the Company’s SEC filings which are available online at www.sec.gov, www.shentel.com or on request from the Company. The Company does not undertake to update any forward-looking statements as a result of new information or future events or developments.</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4" w:name="page5"/>
    <w:bookmarkEnd w:id="4"/>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0" w:right="1140"/>
        <w:spacing w:after="0" w:line="255" w:lineRule="auto"/>
        <w:rPr>
          <w:sz w:val="20"/>
          <w:szCs w:val="20"/>
          <w:color w:val="auto"/>
        </w:rPr>
      </w:pPr>
      <w:r>
        <w:rPr>
          <w:rFonts w:ascii="Arial" w:cs="Arial" w:eastAsia="Arial" w:hAnsi="Arial"/>
          <w:sz w:val="23"/>
          <w:szCs w:val="23"/>
          <w:color w:val="auto"/>
        </w:rPr>
        <w:t>Included in this presentation are certain non-GAAP financial measures that are not determined in accordance with US generally accepted accounting principles. These financial performance measures are not indicative of cash provided or used by operating activities and exclude the effects of certain operating, capital and financing costs and may differ from comparable information provided by other companies, and they should not be considered in isolation, as an alternative to, or more meaningful than measures of financial performance determined in accordance with US generally accepted accounting principles. These financial performance measures are commonly used in the industry and are presented because Shentel believes they provide relevant and useful information to investors. Shentel utilizes these financial performance measures to assess its ability to meet future capital expenditure and working capital requirements, to incur indebtedness if necessary, return investment to shareholders and to fund continued growth. Shentel also uses these financial performance measures to evaluate the performance of its businesses and for budget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80"/>
        <w:spacing w:after="0"/>
        <w:rPr>
          <w:sz w:val="20"/>
          <w:szCs w:val="20"/>
          <w:color w:val="auto"/>
        </w:rPr>
      </w:pPr>
      <w:r>
        <w:rPr>
          <w:rFonts w:ascii="Arial" w:cs="Arial" w:eastAsia="Arial" w:hAnsi="Arial"/>
          <w:sz w:val="58"/>
          <w:szCs w:val="58"/>
          <w:b w:val="1"/>
          <w:bCs w:val="1"/>
          <w:color w:val="840039"/>
        </w:rPr>
        <w:t>Chris French</w:t>
      </w:r>
    </w:p>
    <w:p>
      <w:pPr>
        <w:spacing w:after="0" w:line="200" w:lineRule="exact"/>
        <w:rPr>
          <w:sz w:val="20"/>
          <w:szCs w:val="20"/>
          <w:color w:val="auto"/>
        </w:rPr>
      </w:pPr>
    </w:p>
    <w:p>
      <w:pPr>
        <w:spacing w:after="0" w:line="326" w:lineRule="exact"/>
        <w:rPr>
          <w:sz w:val="20"/>
          <w:szCs w:val="20"/>
          <w:color w:val="auto"/>
        </w:rPr>
      </w:pPr>
    </w:p>
    <w:p>
      <w:pPr>
        <w:ind w:left="2380"/>
        <w:spacing w:after="0"/>
        <w:rPr>
          <w:sz w:val="20"/>
          <w:szCs w:val="20"/>
          <w:color w:val="auto"/>
        </w:rPr>
      </w:pPr>
      <w:r>
        <w:rPr>
          <w:rFonts w:ascii="Arial" w:cs="Arial" w:eastAsia="Arial" w:hAnsi="Arial"/>
          <w:sz w:val="58"/>
          <w:szCs w:val="58"/>
          <w:color w:val="auto"/>
        </w:rPr>
        <w:t>CEO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6" w:name="page7"/>
    <w:bookmarkEnd w:id="6"/>
    <w:p>
      <w:pPr>
        <w:spacing w:after="0"/>
        <w:rPr>
          <w:sz w:val="20"/>
          <w:szCs w:val="20"/>
          <w:color w:val="auto"/>
        </w:rPr>
      </w:pPr>
      <w:r>
        <w:rPr>
          <w:rFonts w:ascii="Arial" w:cs="Arial" w:eastAsia="Arial" w:hAnsi="Arial"/>
          <w:sz w:val="38"/>
          <w:szCs w:val="38"/>
          <w:b w:val="1"/>
          <w:bCs w:val="1"/>
          <w:color w:val="auto"/>
        </w:rPr>
        <w:t>1Q ‘10 Highlights</w:t>
      </w:r>
    </w:p>
    <w:p>
      <w:pPr>
        <w:spacing w:after="0" w:line="324"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FFFFFF"/>
        </w:rPr>
        <w:t>Net Income</w:t>
      </w:r>
    </w:p>
    <w:p>
      <w:pPr>
        <w:spacing w:after="0" w:line="39"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FFFFFF"/>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4"/>
        <w:spacing w:after="0"/>
        <w:rPr>
          <w:sz w:val="20"/>
          <w:szCs w:val="20"/>
          <w:color w:val="auto"/>
        </w:rPr>
      </w:pPr>
      <w:r>
        <w:rPr>
          <w:rFonts w:ascii="Arial" w:cs="Arial" w:eastAsia="Arial" w:hAnsi="Arial"/>
          <w:sz w:val="20"/>
          <w:szCs w:val="20"/>
          <w:b w:val="1"/>
          <w:bCs w:val="1"/>
          <w:color w:val="FFFFFF"/>
        </w:rPr>
        <w:t>Net Income from Continuing Operations</w:t>
      </w:r>
    </w:p>
    <w:p>
      <w:pPr>
        <w:spacing w:after="0" w:line="60" w:lineRule="exact"/>
        <w:rPr>
          <w:sz w:val="20"/>
          <w:szCs w:val="20"/>
          <w:color w:val="auto"/>
        </w:rPr>
      </w:pPr>
    </w:p>
    <w:p>
      <w:pPr>
        <w:jc w:val="center"/>
        <w:ind w:right="54"/>
        <w:spacing w:after="0"/>
        <w:rPr>
          <w:sz w:val="20"/>
          <w:szCs w:val="20"/>
          <w:color w:val="auto"/>
        </w:rPr>
      </w:pPr>
      <w:r>
        <w:rPr>
          <w:rFonts w:ascii="Arial" w:cs="Arial" w:eastAsia="Arial" w:hAnsi="Arial"/>
          <w:sz w:val="22"/>
          <w:szCs w:val="22"/>
          <w:b w:val="1"/>
          <w:bCs w:val="1"/>
          <w:color w:val="FFFFFF"/>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6" w:right="840" w:hanging="426"/>
        <w:spacing w:after="0" w:line="245" w:lineRule="auto"/>
        <w:tabs>
          <w:tab w:leader="none" w:pos="318" w:val="left"/>
        </w:tabs>
        <w:numPr>
          <w:ilvl w:val="0"/>
          <w:numId w:val="2"/>
        </w:numPr>
        <w:rPr>
          <w:rFonts w:ascii="Arial" w:cs="Arial" w:eastAsia="Arial" w:hAnsi="Arial"/>
          <w:sz w:val="29"/>
          <w:szCs w:val="29"/>
          <w:color w:val="840039"/>
        </w:rPr>
      </w:pPr>
      <w:r>
        <w:rPr>
          <w:rFonts w:ascii="Arial" w:cs="Arial" w:eastAsia="Arial" w:hAnsi="Arial"/>
          <w:sz w:val="29"/>
          <w:szCs w:val="29"/>
          <w:b w:val="1"/>
          <w:bCs w:val="1"/>
          <w:color w:val="840039"/>
        </w:rPr>
        <w:t xml:space="preserve">Net Income - </w:t>
      </w:r>
      <w:r>
        <w:rPr>
          <w:rFonts w:ascii="Arial" w:cs="Arial" w:eastAsia="Arial" w:hAnsi="Arial"/>
          <w:sz w:val="29"/>
          <w:szCs w:val="29"/>
          <w:color w:val="000000"/>
        </w:rPr>
        <w:t>1Q 2010 net income of</w:t>
      </w:r>
      <w:r>
        <w:rPr>
          <w:rFonts w:ascii="Arial" w:cs="Arial" w:eastAsia="Arial" w:hAnsi="Arial"/>
          <w:sz w:val="29"/>
          <w:szCs w:val="29"/>
          <w:b w:val="1"/>
          <w:bCs w:val="1"/>
          <w:color w:val="840039"/>
        </w:rPr>
        <w:t xml:space="preserve"> </w:t>
      </w:r>
      <w:r>
        <w:rPr>
          <w:rFonts w:ascii="Arial" w:cs="Arial" w:eastAsia="Arial" w:hAnsi="Arial"/>
          <w:sz w:val="29"/>
          <w:szCs w:val="29"/>
          <w:color w:val="000000"/>
        </w:rPr>
        <w:t>$6.8 million</w:t>
      </w:r>
    </w:p>
    <w:p>
      <w:pPr>
        <w:spacing w:after="0" w:line="244" w:lineRule="exact"/>
        <w:rPr>
          <w:rFonts w:ascii="Arial" w:cs="Arial" w:eastAsia="Arial" w:hAnsi="Arial"/>
          <w:sz w:val="29"/>
          <w:szCs w:val="29"/>
          <w:color w:val="840039"/>
        </w:rPr>
      </w:pPr>
    </w:p>
    <w:p>
      <w:pPr>
        <w:ind w:left="426" w:right="760" w:hanging="426"/>
        <w:spacing w:after="0" w:line="243" w:lineRule="auto"/>
        <w:tabs>
          <w:tab w:leader="none" w:pos="318" w:val="left"/>
        </w:tabs>
        <w:numPr>
          <w:ilvl w:val="0"/>
          <w:numId w:val="2"/>
        </w:numPr>
        <w:rPr>
          <w:rFonts w:ascii="Arial" w:cs="Arial" w:eastAsia="Arial" w:hAnsi="Arial"/>
          <w:sz w:val="28"/>
          <w:szCs w:val="28"/>
          <w:color w:val="840039"/>
        </w:rPr>
      </w:pPr>
      <w:r>
        <w:rPr>
          <w:rFonts w:ascii="Arial" w:cs="Arial" w:eastAsia="Arial" w:hAnsi="Arial"/>
          <w:sz w:val="28"/>
          <w:szCs w:val="28"/>
          <w:b w:val="1"/>
          <w:bCs w:val="1"/>
          <w:color w:val="840039"/>
        </w:rPr>
        <w:t xml:space="preserve">Operating results - </w:t>
      </w:r>
      <w:r>
        <w:rPr>
          <w:rFonts w:ascii="Arial" w:cs="Arial" w:eastAsia="Arial" w:hAnsi="Arial"/>
          <w:sz w:val="28"/>
          <w:szCs w:val="28"/>
          <w:color w:val="000000"/>
        </w:rPr>
        <w:t>Net income from</w:t>
      </w:r>
      <w:r>
        <w:rPr>
          <w:rFonts w:ascii="Arial" w:cs="Arial" w:eastAsia="Arial" w:hAnsi="Arial"/>
          <w:sz w:val="28"/>
          <w:szCs w:val="28"/>
          <w:b w:val="1"/>
          <w:bCs w:val="1"/>
          <w:color w:val="840039"/>
        </w:rPr>
        <w:t xml:space="preserve"> </w:t>
      </w:r>
      <w:r>
        <w:rPr>
          <w:rFonts w:ascii="Arial" w:cs="Arial" w:eastAsia="Arial" w:hAnsi="Arial"/>
          <w:sz w:val="28"/>
          <w:szCs w:val="28"/>
          <w:color w:val="000000"/>
        </w:rPr>
        <w:t>continuing operations of $6.6 million up 7%, with wireless up 4%</w:t>
      </w:r>
    </w:p>
    <w:p>
      <w:pPr>
        <w:spacing w:after="0" w:line="283" w:lineRule="exact"/>
        <w:rPr>
          <w:rFonts w:ascii="Arial" w:cs="Arial" w:eastAsia="Arial" w:hAnsi="Arial"/>
          <w:sz w:val="28"/>
          <w:szCs w:val="28"/>
          <w:color w:val="840039"/>
        </w:rPr>
      </w:pPr>
    </w:p>
    <w:p>
      <w:pPr>
        <w:ind w:left="426" w:right="900" w:hanging="426"/>
        <w:spacing w:after="0" w:line="245" w:lineRule="auto"/>
        <w:tabs>
          <w:tab w:leader="none" w:pos="318" w:val="left"/>
        </w:tabs>
        <w:numPr>
          <w:ilvl w:val="0"/>
          <w:numId w:val="2"/>
        </w:numPr>
        <w:rPr>
          <w:rFonts w:ascii="Arial" w:cs="Arial" w:eastAsia="Arial" w:hAnsi="Arial"/>
          <w:sz w:val="29"/>
          <w:szCs w:val="29"/>
          <w:color w:val="840039"/>
        </w:rPr>
      </w:pPr>
      <w:r>
        <w:rPr>
          <w:rFonts w:ascii="Arial" w:cs="Arial" w:eastAsia="Arial" w:hAnsi="Arial"/>
          <w:sz w:val="29"/>
          <w:szCs w:val="29"/>
          <w:b w:val="1"/>
          <w:bCs w:val="1"/>
          <w:color w:val="840039"/>
        </w:rPr>
        <w:t xml:space="preserve">Cable Loss - </w:t>
      </w:r>
      <w:r>
        <w:rPr>
          <w:rFonts w:ascii="Arial" w:cs="Arial" w:eastAsia="Arial" w:hAnsi="Arial"/>
          <w:sz w:val="29"/>
          <w:szCs w:val="29"/>
          <w:color w:val="000000"/>
        </w:rPr>
        <w:t>Net loss from the cable</w:t>
      </w:r>
      <w:r>
        <w:rPr>
          <w:rFonts w:ascii="Arial" w:cs="Arial" w:eastAsia="Arial" w:hAnsi="Arial"/>
          <w:sz w:val="29"/>
          <w:szCs w:val="29"/>
          <w:b w:val="1"/>
          <w:bCs w:val="1"/>
          <w:color w:val="840039"/>
        </w:rPr>
        <w:t xml:space="preserve"> </w:t>
      </w:r>
      <w:r>
        <w:rPr>
          <w:rFonts w:ascii="Arial" w:cs="Arial" w:eastAsia="Arial" w:hAnsi="Arial"/>
          <w:sz w:val="29"/>
          <w:szCs w:val="29"/>
          <w:color w:val="000000"/>
        </w:rPr>
        <w:t>segment of $1.3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-3009265</wp:posOffset>
            </wp:positionV>
            <wp:extent cx="7317740" cy="5492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606" w:lineRule="exact"/>
        <w:rPr>
          <w:sz w:val="20"/>
          <w:szCs w:val="20"/>
          <w:color w:val="auto"/>
        </w:rPr>
      </w:pPr>
    </w:p>
    <w:p>
      <w:pPr>
        <w:sectPr>
          <w:pgSz w:w="11900" w:h="16838" w:orient="portrait"/>
          <w:cols w:equalWidth="0" w:num="2">
            <w:col w:w="4394" w:space="720"/>
            <w:col w:w="5486"/>
          </w:cols>
          <w:pgMar w:left="600" w:top="99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5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411480</wp:posOffset>
            </wp:positionV>
            <wp:extent cx="726694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1Q ’10 Wireless Highlights</w:t>
      </w: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99"/>
        </w:trPr>
        <w:tc>
          <w:tcPr>
            <w:tcW w:w="5600" w:type="dxa"/>
            <w:vAlign w:val="bottom"/>
          </w:tcPr>
          <w:p>
            <w:pPr>
              <w:spacing w:after="0"/>
              <w:rPr>
                <w:sz w:val="20"/>
                <w:szCs w:val="20"/>
                <w:color w:val="auto"/>
              </w:rPr>
            </w:pPr>
            <w:r>
              <w:rPr>
                <w:rFonts w:ascii="Arial" w:cs="Arial" w:eastAsia="Arial" w:hAnsi="Arial"/>
                <w:sz w:val="26"/>
                <w:szCs w:val="26"/>
                <w:color w:val="840039"/>
              </w:rPr>
              <w:t xml:space="preserve">n  </w:t>
            </w:r>
            <w:r>
              <w:rPr>
                <w:rFonts w:ascii="Arial" w:cs="Arial" w:eastAsia="Arial" w:hAnsi="Arial"/>
                <w:sz w:val="26"/>
                <w:szCs w:val="26"/>
                <w:b w:val="1"/>
                <w:bCs w:val="1"/>
                <w:color w:val="840039"/>
              </w:rPr>
              <w:t>Steady Wireless growth</w:t>
            </w:r>
            <w:r>
              <w:rPr>
                <w:rFonts w:ascii="Arial" w:cs="Arial" w:eastAsia="Arial" w:hAnsi="Arial"/>
                <w:sz w:val="26"/>
                <w:szCs w:val="26"/>
                <w:color w:val="840039"/>
              </w:rPr>
              <w:t xml:space="preserve"> - </w:t>
            </w:r>
            <w:r>
              <w:rPr>
                <w:rFonts w:ascii="Arial" w:cs="Arial" w:eastAsia="Arial" w:hAnsi="Arial"/>
                <w:sz w:val="26"/>
                <w:szCs w:val="26"/>
                <w:color w:val="000000"/>
              </w:rPr>
              <w:t>customers</w:t>
            </w:r>
          </w:p>
        </w:tc>
        <w:tc>
          <w:tcPr>
            <w:tcW w:w="3540" w:type="dxa"/>
            <w:vAlign w:val="bottom"/>
          </w:tcPr>
          <w:p>
            <w:pPr>
              <w:ind w:left="1400"/>
              <w:spacing w:after="0"/>
              <w:rPr>
                <w:sz w:val="20"/>
                <w:szCs w:val="20"/>
                <w:color w:val="auto"/>
              </w:rPr>
            </w:pPr>
            <w:r>
              <w:rPr>
                <w:rFonts w:ascii="Arial" w:cs="Arial" w:eastAsia="Arial" w:hAnsi="Arial"/>
                <w:sz w:val="22"/>
                <w:szCs w:val="22"/>
                <w:b w:val="1"/>
                <w:bCs w:val="1"/>
                <w:color w:val="FFFFFF"/>
                <w:w w:val="89"/>
              </w:rPr>
              <w:t>PCS Customers (000s)</w:t>
            </w:r>
          </w:p>
        </w:tc>
      </w:tr>
      <w:tr>
        <w:trPr>
          <w:trHeight w:val="276"/>
        </w:trPr>
        <w:tc>
          <w:tcPr>
            <w:tcW w:w="5600" w:type="dxa"/>
            <w:vAlign w:val="bottom"/>
          </w:tcPr>
          <w:p>
            <w:pPr>
              <w:ind w:left="440"/>
              <w:spacing w:after="0" w:line="276" w:lineRule="exact"/>
              <w:rPr>
                <w:sz w:val="20"/>
                <w:szCs w:val="20"/>
                <w:color w:val="auto"/>
              </w:rPr>
            </w:pPr>
            <w:r>
              <w:rPr>
                <w:rFonts w:ascii="Arial" w:cs="Arial" w:eastAsia="Arial" w:hAnsi="Arial"/>
                <w:sz w:val="26"/>
                <w:szCs w:val="26"/>
                <w:color w:val="auto"/>
              </w:rPr>
              <w:t>up 5% in the last year, net adds up</w:t>
            </w:r>
          </w:p>
        </w:tc>
        <w:tc>
          <w:tcPr>
            <w:tcW w:w="3540" w:type="dxa"/>
            <w:vAlign w:val="bottom"/>
          </w:tcPr>
          <w:p>
            <w:pPr>
              <w:spacing w:after="0"/>
              <w:rPr>
                <w:sz w:val="24"/>
                <w:szCs w:val="24"/>
                <w:color w:val="auto"/>
              </w:rPr>
            </w:pPr>
          </w:p>
        </w:tc>
      </w:tr>
      <w:tr>
        <w:trPr>
          <w:trHeight w:val="326"/>
        </w:trPr>
        <w:tc>
          <w:tcPr>
            <w:tcW w:w="5600" w:type="dxa"/>
            <w:vAlign w:val="bottom"/>
          </w:tcPr>
          <w:p>
            <w:pPr>
              <w:ind w:left="440"/>
              <w:spacing w:after="0"/>
              <w:rPr>
                <w:sz w:val="20"/>
                <w:szCs w:val="20"/>
                <w:color w:val="auto"/>
              </w:rPr>
            </w:pPr>
            <w:r>
              <w:rPr>
                <w:rFonts w:ascii="Arial" w:cs="Arial" w:eastAsia="Arial" w:hAnsi="Arial"/>
                <w:sz w:val="26"/>
                <w:szCs w:val="26"/>
                <w:color w:val="auto"/>
              </w:rPr>
              <w:t>7% this quarter</w:t>
            </w:r>
          </w:p>
        </w:tc>
        <w:tc>
          <w:tcPr>
            <w:tcW w:w="3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304"/>
        </w:trPr>
        <w:tc>
          <w:tcPr>
            <w:tcW w:w="3740" w:type="dxa"/>
            <w:vAlign w:val="bottom"/>
          </w:tcPr>
          <w:p>
            <w:pPr>
              <w:spacing w:after="0"/>
              <w:rPr>
                <w:sz w:val="20"/>
                <w:szCs w:val="20"/>
                <w:color w:val="auto"/>
              </w:rPr>
            </w:pPr>
            <w:r>
              <w:rPr>
                <w:rFonts w:ascii="Arial" w:cs="Arial" w:eastAsia="Arial" w:hAnsi="Arial"/>
                <w:sz w:val="26"/>
                <w:szCs w:val="26"/>
                <w:color w:val="840039"/>
              </w:rPr>
              <w:t xml:space="preserve">n  </w:t>
            </w:r>
            <w:r>
              <w:rPr>
                <w:rFonts w:ascii="Arial" w:cs="Arial" w:eastAsia="Arial" w:hAnsi="Arial"/>
                <w:sz w:val="26"/>
                <w:szCs w:val="26"/>
                <w:b w:val="1"/>
                <w:bCs w:val="1"/>
                <w:color w:val="840039"/>
              </w:rPr>
              <w:t>Quarterly churn improves -</w:t>
            </w:r>
          </w:p>
        </w:tc>
        <w:tc>
          <w:tcPr>
            <w:tcW w:w="640" w:type="dxa"/>
            <w:vAlign w:val="bottom"/>
          </w:tcPr>
          <w:p>
            <w:pPr>
              <w:ind w:left="340"/>
              <w:spacing w:after="0"/>
              <w:rPr>
                <w:sz w:val="20"/>
                <w:szCs w:val="20"/>
                <w:color w:val="auto"/>
              </w:rPr>
            </w:pPr>
            <w:r>
              <w:rPr>
                <w:rFonts w:ascii="Arial" w:cs="Arial" w:eastAsia="Arial" w:hAnsi="Arial"/>
                <w:sz w:val="26"/>
                <w:szCs w:val="26"/>
                <w:color w:val="auto"/>
                <w:w w:val="80"/>
              </w:rPr>
              <w:t>Q1</w:t>
            </w:r>
          </w:p>
        </w:tc>
      </w:tr>
    </w:tbl>
    <w:p>
      <w:pPr>
        <w:ind w:left="460"/>
        <w:spacing w:after="0" w:line="221" w:lineRule="auto"/>
        <w:rPr>
          <w:sz w:val="20"/>
          <w:szCs w:val="20"/>
          <w:color w:val="auto"/>
        </w:rPr>
      </w:pPr>
      <w:r>
        <w:rPr>
          <w:rFonts w:ascii="Arial" w:cs="Arial" w:eastAsia="Arial" w:hAnsi="Arial"/>
          <w:sz w:val="26"/>
          <w:szCs w:val="26"/>
          <w:color w:val="auto"/>
        </w:rPr>
        <w:t>‘10 churn of 1.91% compared to</w:t>
      </w:r>
    </w:p>
    <w:p>
      <w:pPr>
        <w:ind w:left="460"/>
        <w:spacing w:after="0" w:line="222" w:lineRule="auto"/>
        <w:rPr>
          <w:sz w:val="20"/>
          <w:szCs w:val="20"/>
          <w:color w:val="auto"/>
        </w:rPr>
      </w:pPr>
      <w:r>
        <w:rPr>
          <w:rFonts w:ascii="Arial" w:cs="Arial" w:eastAsia="Arial" w:hAnsi="Arial"/>
          <w:sz w:val="26"/>
          <w:szCs w:val="26"/>
          <w:color w:val="auto"/>
        </w:rPr>
        <w:t>1.99% for Q4 ‘09 and 2.15% for Q1</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6"/>
          <w:szCs w:val="26"/>
          <w:color w:val="auto"/>
        </w:rPr>
        <w:t>’09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right="6240" w:hanging="440"/>
        <w:spacing w:after="0" w:line="287" w:lineRule="auto"/>
        <w:tabs>
          <w:tab w:leader="none" w:pos="396" w:val="left"/>
        </w:tabs>
        <w:numPr>
          <w:ilvl w:val="0"/>
          <w:numId w:val="3"/>
        </w:numPr>
        <w:rPr>
          <w:rFonts w:ascii="Arial" w:cs="Arial" w:eastAsia="Arial" w:hAnsi="Arial"/>
          <w:sz w:val="22"/>
          <w:szCs w:val="22"/>
          <w:color w:val="840039"/>
        </w:rPr>
      </w:pPr>
      <w:r>
        <w:rPr>
          <w:rFonts w:ascii="Arial" w:cs="Arial" w:eastAsia="Arial" w:hAnsi="Arial"/>
          <w:sz w:val="22"/>
          <w:szCs w:val="22"/>
          <w:b w:val="1"/>
          <w:bCs w:val="1"/>
          <w:color w:val="840039"/>
        </w:rPr>
        <w:t xml:space="preserve">Wireless upgrades completed - </w:t>
      </w:r>
      <w:r>
        <w:rPr>
          <w:rFonts w:ascii="Arial" w:cs="Arial" w:eastAsia="Arial" w:hAnsi="Arial"/>
          <w:sz w:val="22"/>
          <w:szCs w:val="22"/>
          <w:color w:val="000000"/>
        </w:rPr>
        <w:t>Capital Spending reduced as wireless high speed data upgrade and coverage improvement programs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8" w:name="page9"/>
    <w:bookmarkEnd w:id="8"/>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1Q ’10 Other Highlights</w:t>
      </w:r>
    </w:p>
    <w:p>
      <w:pPr>
        <w:spacing w:after="0" w:line="200" w:lineRule="exact"/>
        <w:rPr>
          <w:sz w:val="20"/>
          <w:szCs w:val="20"/>
          <w:color w:val="auto"/>
        </w:rPr>
      </w:pPr>
    </w:p>
    <w:p>
      <w:pPr>
        <w:spacing w:after="0" w:line="238" w:lineRule="exact"/>
        <w:rPr>
          <w:sz w:val="20"/>
          <w:szCs w:val="20"/>
          <w:color w:val="auto"/>
        </w:rPr>
      </w:pPr>
    </w:p>
    <w:p>
      <w:pPr>
        <w:ind w:left="460" w:right="2060" w:hanging="440"/>
        <w:spacing w:after="0" w:line="236" w:lineRule="auto"/>
        <w:tabs>
          <w:tab w:leader="none" w:pos="396" w:val="left"/>
        </w:tabs>
        <w:numPr>
          <w:ilvl w:val="0"/>
          <w:numId w:val="4"/>
        </w:numPr>
        <w:rPr>
          <w:rFonts w:ascii="Arial" w:cs="Arial" w:eastAsia="Arial" w:hAnsi="Arial"/>
          <w:sz w:val="26"/>
          <w:szCs w:val="26"/>
          <w:color w:val="840039"/>
        </w:rPr>
      </w:pPr>
      <w:r>
        <w:rPr>
          <w:rFonts w:ascii="Arial" w:cs="Arial" w:eastAsia="Arial" w:hAnsi="Arial"/>
          <w:sz w:val="26"/>
          <w:szCs w:val="26"/>
          <w:b w:val="1"/>
          <w:bCs w:val="1"/>
          <w:color w:val="840039"/>
        </w:rPr>
        <w:t xml:space="preserve">Cable Triple Play - </w:t>
      </w:r>
      <w:r>
        <w:rPr>
          <w:rFonts w:ascii="Arial" w:cs="Arial" w:eastAsia="Arial" w:hAnsi="Arial"/>
          <w:sz w:val="26"/>
          <w:szCs w:val="26"/>
          <w:color w:val="000000"/>
        </w:rPr>
        <w:t>68% of acquired</w:t>
      </w:r>
      <w:r>
        <w:rPr>
          <w:rFonts w:ascii="Arial" w:cs="Arial" w:eastAsia="Arial" w:hAnsi="Arial"/>
          <w:sz w:val="26"/>
          <w:szCs w:val="26"/>
          <w:b w:val="1"/>
          <w:bCs w:val="1"/>
          <w:color w:val="840039"/>
        </w:rPr>
        <w:t xml:space="preserve"> </w:t>
      </w:r>
      <w:r>
        <w:rPr>
          <w:rFonts w:ascii="Arial" w:cs="Arial" w:eastAsia="Arial" w:hAnsi="Arial"/>
          <w:sz w:val="26"/>
          <w:szCs w:val="26"/>
          <w:color w:val="000000"/>
        </w:rPr>
        <w:t>homes passed upgraded through March 31</w:t>
      </w:r>
    </w:p>
    <w:p>
      <w:pPr>
        <w:spacing w:after="0" w:line="259" w:lineRule="exact"/>
        <w:rPr>
          <w:rFonts w:ascii="Arial" w:cs="Arial" w:eastAsia="Arial" w:hAnsi="Arial"/>
          <w:sz w:val="26"/>
          <w:szCs w:val="26"/>
          <w:color w:val="840039"/>
        </w:rPr>
      </w:pPr>
    </w:p>
    <w:p>
      <w:pPr>
        <w:ind w:left="460" w:right="2080" w:hanging="440"/>
        <w:spacing w:after="0" w:line="271" w:lineRule="auto"/>
        <w:tabs>
          <w:tab w:leader="none" w:pos="396" w:val="left"/>
        </w:tabs>
        <w:numPr>
          <w:ilvl w:val="0"/>
          <w:numId w:val="4"/>
        </w:numPr>
        <w:rPr>
          <w:rFonts w:ascii="Arial" w:cs="Arial" w:eastAsia="Arial" w:hAnsi="Arial"/>
          <w:sz w:val="23"/>
          <w:szCs w:val="23"/>
          <w:color w:val="840039"/>
        </w:rPr>
      </w:pPr>
      <w:r>
        <w:rPr>
          <w:rFonts w:ascii="Arial" w:cs="Arial" w:eastAsia="Arial" w:hAnsi="Arial"/>
          <w:sz w:val="23"/>
          <w:szCs w:val="23"/>
          <w:b w:val="1"/>
          <w:bCs w:val="1"/>
          <w:color w:val="840039"/>
        </w:rPr>
        <w:t xml:space="preserve">North River commitments delivered - </w:t>
      </w:r>
      <w:r>
        <w:rPr>
          <w:rFonts w:ascii="Arial" w:cs="Arial" w:eastAsia="Arial" w:hAnsi="Arial"/>
          <w:sz w:val="23"/>
          <w:szCs w:val="23"/>
          <w:color w:val="000000"/>
        </w:rPr>
        <w:t>DSL service available to</w:t>
      </w:r>
      <w:r>
        <w:rPr>
          <w:rFonts w:ascii="Arial" w:cs="Arial" w:eastAsia="Arial" w:hAnsi="Arial"/>
          <w:sz w:val="23"/>
          <w:szCs w:val="23"/>
          <w:b w:val="1"/>
          <w:bCs w:val="1"/>
          <w:color w:val="840039"/>
        </w:rPr>
        <w:t xml:space="preserve"> </w:t>
      </w:r>
      <w:r>
        <w:rPr>
          <w:rFonts w:ascii="Arial" w:cs="Arial" w:eastAsia="Arial" w:hAnsi="Arial"/>
          <w:sz w:val="23"/>
          <w:szCs w:val="23"/>
          <w:color w:val="000000"/>
        </w:rPr>
        <w:t>100% of North River customers, up from 50% at year end</w:t>
      </w:r>
    </w:p>
    <w:p>
      <w:pPr>
        <w:spacing w:after="0" w:line="222" w:lineRule="exact"/>
        <w:rPr>
          <w:rFonts w:ascii="Arial" w:cs="Arial" w:eastAsia="Arial" w:hAnsi="Arial"/>
          <w:sz w:val="23"/>
          <w:szCs w:val="23"/>
          <w:color w:val="840039"/>
        </w:rPr>
      </w:pPr>
    </w:p>
    <w:p>
      <w:pPr>
        <w:ind w:left="460" w:right="1960" w:hanging="440"/>
        <w:spacing w:after="0" w:line="248" w:lineRule="auto"/>
        <w:tabs>
          <w:tab w:leader="none" w:pos="460" w:val="left"/>
        </w:tabs>
        <w:numPr>
          <w:ilvl w:val="0"/>
          <w:numId w:val="4"/>
        </w:numPr>
        <w:rPr>
          <w:rFonts w:ascii="Arial" w:cs="Arial" w:eastAsia="Arial" w:hAnsi="Arial"/>
          <w:sz w:val="26"/>
          <w:szCs w:val="26"/>
          <w:color w:val="840039"/>
        </w:rPr>
      </w:pPr>
      <w:r>
        <w:rPr>
          <w:rFonts w:ascii="Arial" w:cs="Arial" w:eastAsia="Arial" w:hAnsi="Arial"/>
          <w:sz w:val="26"/>
          <w:szCs w:val="26"/>
          <w:b w:val="1"/>
          <w:bCs w:val="1"/>
          <w:color w:val="840039"/>
        </w:rPr>
        <w:t xml:space="preserve">Substantial DSL growth - </w:t>
      </w:r>
      <w:r>
        <w:rPr>
          <w:rFonts w:ascii="Arial" w:cs="Arial" w:eastAsia="Arial" w:hAnsi="Arial"/>
          <w:sz w:val="26"/>
          <w:szCs w:val="26"/>
          <w:color w:val="000000"/>
        </w:rPr>
        <w:t>DSL subs</w:t>
      </w:r>
      <w:r>
        <w:rPr>
          <w:rFonts w:ascii="Arial" w:cs="Arial" w:eastAsia="Arial" w:hAnsi="Arial"/>
          <w:sz w:val="26"/>
          <w:szCs w:val="26"/>
          <w:b w:val="1"/>
          <w:bCs w:val="1"/>
          <w:color w:val="840039"/>
        </w:rPr>
        <w:t xml:space="preserve"> </w:t>
      </w:r>
      <w:r>
        <w:rPr>
          <w:rFonts w:ascii="Arial" w:cs="Arial" w:eastAsia="Arial" w:hAnsi="Arial"/>
          <w:sz w:val="26"/>
          <w:szCs w:val="26"/>
          <w:color w:val="000000"/>
        </w:rPr>
        <w:t>up 5% in Q1 2010</w:t>
      </w:r>
    </w:p>
    <w:p>
      <w:pPr>
        <w:spacing w:after="0" w:line="258" w:lineRule="exact"/>
        <w:rPr>
          <w:rFonts w:ascii="Arial" w:cs="Arial" w:eastAsia="Arial" w:hAnsi="Arial"/>
          <w:sz w:val="26"/>
          <w:szCs w:val="26"/>
          <w:color w:val="840039"/>
        </w:rPr>
      </w:pPr>
    </w:p>
    <w:p>
      <w:pPr>
        <w:ind w:left="460" w:right="2480" w:hanging="440"/>
        <w:spacing w:after="0" w:line="236" w:lineRule="auto"/>
        <w:tabs>
          <w:tab w:leader="none" w:pos="396" w:val="left"/>
        </w:tabs>
        <w:numPr>
          <w:ilvl w:val="0"/>
          <w:numId w:val="4"/>
        </w:numPr>
        <w:rPr>
          <w:rFonts w:ascii="Arial" w:cs="Arial" w:eastAsia="Arial" w:hAnsi="Arial"/>
          <w:sz w:val="26"/>
          <w:szCs w:val="26"/>
          <w:color w:val="840039"/>
        </w:rPr>
      </w:pPr>
      <w:r>
        <w:rPr>
          <w:rFonts w:ascii="Arial" w:cs="Arial" w:eastAsia="Arial" w:hAnsi="Arial"/>
          <w:sz w:val="26"/>
          <w:szCs w:val="26"/>
          <w:b w:val="1"/>
          <w:bCs w:val="1"/>
          <w:color w:val="840039"/>
        </w:rPr>
        <w:t xml:space="preserve">Discontinued Operations - </w:t>
      </w:r>
      <w:r>
        <w:rPr>
          <w:rFonts w:ascii="Arial" w:cs="Arial" w:eastAsia="Arial" w:hAnsi="Arial"/>
          <w:sz w:val="26"/>
          <w:szCs w:val="26"/>
          <w:color w:val="000000"/>
        </w:rPr>
        <w:t>Converged Services sale process continues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1964690</wp:posOffset>
            </wp:positionV>
            <wp:extent cx="72669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DSL Customers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ectPr>
          <w:pgSz w:w="11900" w:h="16838" w:orient="portrait"/>
          <w:cols w:equalWidth="0" w:num="2">
            <w:col w:w="6280" w:space="720"/>
            <w:col w:w="3600"/>
          </w:cols>
          <w:pgMar w:left="600" w:top="990" w:right="6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0"/>
        <w:spacing w:after="0"/>
        <w:rPr>
          <w:sz w:val="20"/>
          <w:szCs w:val="20"/>
          <w:color w:val="auto"/>
        </w:rPr>
      </w:pPr>
      <w:r>
        <w:rPr>
          <w:rFonts w:ascii="Arial" w:cs="Arial" w:eastAsia="Arial" w:hAnsi="Arial"/>
          <w:sz w:val="58"/>
          <w:szCs w:val="58"/>
          <w:b w:val="1"/>
          <w:bCs w:val="1"/>
          <w:color w:val="840039"/>
        </w:rPr>
        <w:t>Adele Skolits</w:t>
      </w:r>
    </w:p>
    <w:p>
      <w:pPr>
        <w:spacing w:after="0" w:line="200" w:lineRule="exact"/>
        <w:rPr>
          <w:sz w:val="20"/>
          <w:szCs w:val="20"/>
          <w:color w:val="auto"/>
        </w:rPr>
      </w:pPr>
    </w:p>
    <w:p>
      <w:pPr>
        <w:spacing w:after="0" w:line="326" w:lineRule="exact"/>
        <w:rPr>
          <w:sz w:val="20"/>
          <w:szCs w:val="20"/>
          <w:color w:val="auto"/>
        </w:rPr>
      </w:pPr>
    </w:p>
    <w:p>
      <w:pPr>
        <w:ind w:left="1800"/>
        <w:spacing w:after="0"/>
        <w:rPr>
          <w:sz w:val="20"/>
          <w:szCs w:val="20"/>
          <w:color w:val="auto"/>
        </w:rPr>
      </w:pPr>
      <w:r>
        <w:rPr>
          <w:rFonts w:ascii="Arial" w:cs="Arial" w:eastAsia="Arial" w:hAnsi="Arial"/>
          <w:sz w:val="58"/>
          <w:szCs w:val="58"/>
          <w:color w:val="auto"/>
        </w:rPr>
        <w:t>CFO and VP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10" w:name="page11"/>
    <w:bookmarkEnd w:id="10"/>
    <w:p>
      <w:pPr>
        <w:spacing w:after="0"/>
        <w:rPr>
          <w:sz w:val="20"/>
          <w:szCs w:val="20"/>
          <w:color w:val="auto"/>
        </w:rPr>
      </w:pPr>
      <w:r>
        <w:rPr>
          <w:rFonts w:ascii="Arial" w:cs="Arial" w:eastAsia="Arial" w:hAnsi="Arial"/>
          <w:sz w:val="38"/>
          <w:szCs w:val="38"/>
          <w:b w:val="1"/>
          <w:bCs w:val="1"/>
          <w:color w:val="auto"/>
        </w:rPr>
        <w:t>EPS</w:t>
      </w:r>
    </w:p>
    <w:p>
      <w:pPr>
        <w:spacing w:after="0" w:line="372" w:lineRule="exact"/>
        <w:rPr>
          <w:sz w:val="20"/>
          <w:szCs w:val="20"/>
          <w:color w:val="auto"/>
        </w:rPr>
      </w:pPr>
    </w:p>
    <w:p>
      <w:pPr>
        <w:jc w:val="center"/>
        <w:ind w:left="510"/>
        <w:spacing w:after="0"/>
        <w:rPr>
          <w:sz w:val="20"/>
          <w:szCs w:val="20"/>
          <w:color w:val="auto"/>
        </w:rPr>
      </w:pPr>
      <w:r>
        <w:rPr>
          <w:rFonts w:ascii="Arial" w:cs="Arial" w:eastAsia="Arial" w:hAnsi="Arial"/>
          <w:sz w:val="20"/>
          <w:szCs w:val="20"/>
          <w:b w:val="1"/>
          <w:bCs w:val="1"/>
          <w:color w:val="FFFFFF"/>
        </w:rPr>
        <w:t>Earnings per Share from Continuing</w:t>
      </w:r>
    </w:p>
    <w:p>
      <w:pPr>
        <w:spacing w:after="0" w:line="60" w:lineRule="exact"/>
        <w:rPr>
          <w:sz w:val="20"/>
          <w:szCs w:val="20"/>
          <w:color w:val="auto"/>
        </w:rPr>
      </w:pPr>
    </w:p>
    <w:p>
      <w:pPr>
        <w:jc w:val="center"/>
        <w:ind w:left="510"/>
        <w:spacing w:after="0"/>
        <w:rPr>
          <w:sz w:val="20"/>
          <w:szCs w:val="20"/>
          <w:color w:val="auto"/>
        </w:rPr>
      </w:pPr>
      <w:r>
        <w:rPr>
          <w:rFonts w:ascii="Arial" w:cs="Arial" w:eastAsia="Arial" w:hAnsi="Arial"/>
          <w:sz w:val="22"/>
          <w:szCs w:val="22"/>
          <w:b w:val="1"/>
          <w:bCs w:val="1"/>
          <w:color w:val="FFFFFF"/>
        </w:rPr>
        <w:t>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FFFFFF"/>
        </w:rPr>
        <w:t>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0" w:right="1000" w:hanging="430"/>
        <w:spacing w:after="0" w:line="236" w:lineRule="auto"/>
        <w:tabs>
          <w:tab w:leader="none" w:pos="366" w:val="left"/>
        </w:tabs>
        <w:numPr>
          <w:ilvl w:val="0"/>
          <w:numId w:val="5"/>
        </w:numPr>
        <w:rPr>
          <w:rFonts w:ascii="Arial" w:cs="Arial" w:eastAsia="Arial" w:hAnsi="Arial"/>
          <w:sz w:val="26"/>
          <w:szCs w:val="26"/>
          <w:color w:val="840039"/>
        </w:rPr>
      </w:pPr>
      <w:r>
        <w:rPr>
          <w:rFonts w:ascii="Arial" w:cs="Arial" w:eastAsia="Arial" w:hAnsi="Arial"/>
          <w:sz w:val="26"/>
          <w:szCs w:val="26"/>
          <w:b w:val="1"/>
          <w:bCs w:val="1"/>
          <w:color w:val="840039"/>
        </w:rPr>
        <w:t xml:space="preserve">Solid Earnings- </w:t>
      </w:r>
      <w:r>
        <w:rPr>
          <w:rFonts w:ascii="Arial" w:cs="Arial" w:eastAsia="Arial" w:hAnsi="Arial"/>
          <w:sz w:val="26"/>
          <w:szCs w:val="26"/>
          <w:color w:val="000000"/>
        </w:rPr>
        <w:t>EPS from</w:t>
      </w:r>
      <w:r>
        <w:rPr>
          <w:rFonts w:ascii="Arial" w:cs="Arial" w:eastAsia="Arial" w:hAnsi="Arial"/>
          <w:sz w:val="26"/>
          <w:szCs w:val="26"/>
          <w:b w:val="1"/>
          <w:bCs w:val="1"/>
          <w:color w:val="840039"/>
        </w:rPr>
        <w:t xml:space="preserve"> </w:t>
      </w:r>
      <w:r>
        <w:rPr>
          <w:rFonts w:ascii="Arial" w:cs="Arial" w:eastAsia="Arial" w:hAnsi="Arial"/>
          <w:sz w:val="26"/>
          <w:szCs w:val="26"/>
          <w:color w:val="000000"/>
        </w:rPr>
        <w:t>continuing operations of $.28 in 1Q ’10, up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-1541145</wp:posOffset>
            </wp:positionV>
            <wp:extent cx="7317740" cy="5492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892" w:lineRule="exact"/>
        <w:rPr>
          <w:sz w:val="20"/>
          <w:szCs w:val="20"/>
          <w:color w:val="auto"/>
        </w:rPr>
      </w:pPr>
    </w:p>
    <w:p>
      <w:pPr>
        <w:sectPr>
          <w:pgSz w:w="11900" w:h="16838" w:orient="portrait"/>
          <w:cols w:equalWidth="0" w:num="2">
            <w:col w:w="4790" w:space="720"/>
            <w:col w:w="5090"/>
          </w:cols>
          <w:pgMar w:left="600" w:top="99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5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411480</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Profitability</w:t>
      </w:r>
    </w:p>
    <w:p>
      <w:pPr>
        <w:spacing w:after="0" w:line="200" w:lineRule="exact"/>
        <w:rPr>
          <w:sz w:val="20"/>
          <w:szCs w:val="20"/>
          <w:color w:val="auto"/>
        </w:rPr>
      </w:pPr>
    </w:p>
    <w:p>
      <w:pPr>
        <w:spacing w:after="0" w:line="286" w:lineRule="exact"/>
        <w:rPr>
          <w:sz w:val="20"/>
          <w:szCs w:val="20"/>
          <w:color w:val="auto"/>
        </w:rPr>
      </w:pPr>
    </w:p>
    <w:p>
      <w:pPr>
        <w:ind w:left="2640"/>
        <w:spacing w:after="0"/>
        <w:rPr>
          <w:sz w:val="20"/>
          <w:szCs w:val="20"/>
          <w:color w:val="auto"/>
        </w:rPr>
      </w:pPr>
      <w:r>
        <w:rPr>
          <w:rFonts w:ascii="Arial" w:cs="Arial" w:eastAsia="Arial" w:hAnsi="Arial"/>
          <w:sz w:val="26"/>
          <w:szCs w:val="26"/>
          <w:b w:val="1"/>
          <w:bCs w:val="1"/>
          <w:color w:val="FFFFFF"/>
        </w:rPr>
        <w:t>OIBDA for the Quarter Ended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12" w:name="page13"/>
    <w:bookmarkEnd w:id="12"/>
    <w:p>
      <w:pPr>
        <w:spacing w:after="0"/>
        <w:rPr>
          <w:sz w:val="20"/>
          <w:szCs w:val="20"/>
          <w:color w:val="auto"/>
        </w:rPr>
      </w:pPr>
      <w:r>
        <w:rPr>
          <w:rFonts w:ascii="Arial" w:cs="Arial" w:eastAsia="Arial" w:hAnsi="Arial"/>
          <w:sz w:val="38"/>
          <w:szCs w:val="38"/>
          <w:b w:val="1"/>
          <w:bCs w:val="1"/>
          <w:color w:val="auto"/>
        </w:rPr>
        <w:t>OIBDA</w:t>
      </w:r>
    </w:p>
    <w:p>
      <w:pPr>
        <w:spacing w:after="0" w:line="396" w:lineRule="exact"/>
        <w:rPr>
          <w:sz w:val="20"/>
          <w:szCs w:val="20"/>
          <w:color w:val="auto"/>
        </w:rPr>
      </w:pPr>
    </w:p>
    <w:p>
      <w:pPr>
        <w:jc w:val="center"/>
        <w:ind w:left="220"/>
        <w:spacing w:after="0"/>
        <w:rPr>
          <w:sz w:val="20"/>
          <w:szCs w:val="20"/>
          <w:color w:val="auto"/>
        </w:rPr>
      </w:pPr>
      <w:r>
        <w:rPr>
          <w:rFonts w:ascii="Arial" w:cs="Arial" w:eastAsia="Arial" w:hAnsi="Arial"/>
          <w:sz w:val="23"/>
          <w:szCs w:val="23"/>
          <w:color w:val="FFFFFF"/>
        </w:rPr>
        <w:t>Change between 1Q’09and 1Q’10</w:t>
      </w:r>
    </w:p>
    <w:p>
      <w:pPr>
        <w:spacing w:after="0" w:line="135" w:lineRule="exact"/>
        <w:rPr>
          <w:sz w:val="20"/>
          <w:szCs w:val="20"/>
          <w:color w:val="auto"/>
        </w:rPr>
      </w:pPr>
    </w:p>
    <w:p>
      <w:pPr>
        <w:ind w:left="2120"/>
        <w:spacing w:after="0"/>
        <w:rPr>
          <w:sz w:val="20"/>
          <w:szCs w:val="20"/>
          <w:color w:val="auto"/>
        </w:rPr>
      </w:pPr>
      <w:r>
        <w:rPr>
          <w:rFonts w:ascii="Arial" w:cs="Arial" w:eastAsia="Arial" w:hAnsi="Arial"/>
          <w:sz w:val="19"/>
          <w:szCs w:val="19"/>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9"/>
          <w:szCs w:val="29"/>
          <w:b w:val="1"/>
          <w:bCs w:val="1"/>
          <w:color w:val="840039"/>
        </w:rPr>
        <w:t>Wireless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-1309370</wp:posOffset>
            </wp:positionV>
            <wp:extent cx="7317740" cy="549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63" w:lineRule="exact"/>
        <w:rPr>
          <w:sz w:val="20"/>
          <w:szCs w:val="20"/>
          <w:color w:val="auto"/>
        </w:rPr>
      </w:pPr>
    </w:p>
    <w:p>
      <w:pPr>
        <w:jc w:val="both"/>
        <w:ind w:left="1020" w:right="1240" w:hanging="441"/>
        <w:spacing w:after="0" w:line="300" w:lineRule="auto"/>
        <w:tabs>
          <w:tab w:leader="none" w:pos="948" w:val="left"/>
        </w:tabs>
        <w:numPr>
          <w:ilvl w:val="0"/>
          <w:numId w:val="6"/>
        </w:numPr>
        <w:rPr>
          <w:rFonts w:ascii="Arial" w:cs="Arial" w:eastAsia="Arial" w:hAnsi="Arial"/>
          <w:sz w:val="25"/>
          <w:szCs w:val="25"/>
          <w:color w:val="840039"/>
        </w:rPr>
      </w:pPr>
      <w:r>
        <w:rPr>
          <w:rFonts w:ascii="Arial" w:cs="Arial" w:eastAsia="Arial" w:hAnsi="Arial"/>
          <w:sz w:val="25"/>
          <w:szCs w:val="25"/>
          <w:color w:val="auto"/>
        </w:rPr>
        <w:t>Average customers and service revenues up 5%</w:t>
      </w:r>
    </w:p>
    <w:p>
      <w:pPr>
        <w:spacing w:after="0" w:line="2" w:lineRule="exact"/>
        <w:rPr>
          <w:rFonts w:ascii="Arial" w:cs="Arial" w:eastAsia="Arial" w:hAnsi="Arial"/>
          <w:sz w:val="25"/>
          <w:szCs w:val="25"/>
          <w:color w:val="840039"/>
        </w:rPr>
      </w:pPr>
    </w:p>
    <w:p>
      <w:pPr>
        <w:ind w:left="1020" w:right="1620" w:hanging="441"/>
        <w:spacing w:after="0" w:line="267" w:lineRule="auto"/>
        <w:tabs>
          <w:tab w:leader="none" w:pos="948" w:val="left"/>
        </w:tabs>
        <w:numPr>
          <w:ilvl w:val="0"/>
          <w:numId w:val="6"/>
        </w:numPr>
        <w:rPr>
          <w:rFonts w:ascii="Arial" w:cs="Arial" w:eastAsia="Arial" w:hAnsi="Arial"/>
          <w:sz w:val="25"/>
          <w:szCs w:val="25"/>
          <w:color w:val="840039"/>
        </w:rPr>
      </w:pPr>
      <w:r>
        <w:rPr>
          <w:rFonts w:ascii="Arial" w:cs="Arial" w:eastAsia="Arial" w:hAnsi="Arial"/>
          <w:sz w:val="25"/>
          <w:szCs w:val="25"/>
          <w:color w:val="auto"/>
        </w:rPr>
        <w:t>Operating costs associated with PCS network upgrades</w:t>
      </w:r>
    </w:p>
    <w:p>
      <w:pPr>
        <w:spacing w:after="0" w:line="2" w:lineRule="exact"/>
        <w:rPr>
          <w:sz w:val="20"/>
          <w:szCs w:val="20"/>
          <w:color w:val="auto"/>
        </w:rPr>
      </w:pPr>
    </w:p>
    <w:p>
      <w:pPr>
        <w:spacing w:after="0"/>
        <w:rPr>
          <w:sz w:val="20"/>
          <w:szCs w:val="20"/>
          <w:color w:val="auto"/>
        </w:rPr>
      </w:pPr>
      <w:r>
        <w:rPr>
          <w:rFonts w:ascii="Arial" w:cs="Arial" w:eastAsia="Arial" w:hAnsi="Arial"/>
          <w:sz w:val="29"/>
          <w:szCs w:val="29"/>
          <w:b w:val="1"/>
          <w:bCs w:val="1"/>
          <w:color w:val="840039"/>
        </w:rPr>
        <w:t>Wireline</w:t>
      </w:r>
    </w:p>
    <w:p>
      <w:pPr>
        <w:spacing w:after="0" w:line="51" w:lineRule="exact"/>
        <w:rPr>
          <w:sz w:val="20"/>
          <w:szCs w:val="20"/>
          <w:color w:val="auto"/>
        </w:rPr>
      </w:pPr>
    </w:p>
    <w:p>
      <w:pPr>
        <w:ind w:left="940" w:hanging="361"/>
        <w:spacing w:after="0"/>
        <w:tabs>
          <w:tab w:leader="none" w:pos="940" w:val="left"/>
        </w:tabs>
        <w:numPr>
          <w:ilvl w:val="0"/>
          <w:numId w:val="7"/>
        </w:numPr>
        <w:rPr>
          <w:rFonts w:ascii="Arial" w:cs="Arial" w:eastAsia="Arial" w:hAnsi="Arial"/>
          <w:sz w:val="29"/>
          <w:szCs w:val="29"/>
          <w:color w:val="840039"/>
        </w:rPr>
      </w:pPr>
      <w:r>
        <w:rPr>
          <w:rFonts w:ascii="Arial" w:cs="Arial" w:eastAsia="Arial" w:hAnsi="Arial"/>
          <w:sz w:val="29"/>
          <w:szCs w:val="29"/>
          <w:color w:val="auto"/>
        </w:rPr>
        <w:t>Service revenues up 3%</w:t>
      </w:r>
    </w:p>
    <w:p>
      <w:pPr>
        <w:spacing w:after="0" w:line="2" w:lineRule="exact"/>
        <w:rPr>
          <w:rFonts w:ascii="Arial" w:cs="Arial" w:eastAsia="Arial" w:hAnsi="Arial"/>
          <w:sz w:val="29"/>
          <w:szCs w:val="29"/>
          <w:color w:val="840039"/>
        </w:rPr>
      </w:pPr>
    </w:p>
    <w:p>
      <w:pPr>
        <w:spacing w:after="0"/>
        <w:rPr>
          <w:rFonts w:ascii="Arial" w:cs="Arial" w:eastAsia="Arial" w:hAnsi="Arial"/>
          <w:sz w:val="29"/>
          <w:szCs w:val="29"/>
          <w:color w:val="840039"/>
        </w:rPr>
      </w:pPr>
      <w:r>
        <w:rPr>
          <w:rFonts w:ascii="Arial" w:cs="Arial" w:eastAsia="Arial" w:hAnsi="Arial"/>
          <w:sz w:val="29"/>
          <w:szCs w:val="29"/>
          <w:b w:val="1"/>
          <w:bCs w:val="1"/>
          <w:color w:val="840039"/>
        </w:rPr>
        <w:t>Cable</w:t>
      </w:r>
    </w:p>
    <w:p>
      <w:pPr>
        <w:spacing w:after="0" w:line="50" w:lineRule="exact"/>
        <w:rPr>
          <w:rFonts w:ascii="Arial" w:cs="Arial" w:eastAsia="Arial" w:hAnsi="Arial"/>
          <w:sz w:val="29"/>
          <w:szCs w:val="29"/>
          <w:color w:val="840039"/>
        </w:rPr>
      </w:pPr>
    </w:p>
    <w:p>
      <w:pPr>
        <w:ind w:left="1020" w:right="1440" w:hanging="441"/>
        <w:spacing w:after="0" w:line="232" w:lineRule="auto"/>
        <w:tabs>
          <w:tab w:leader="none" w:pos="948" w:val="left"/>
        </w:tabs>
        <w:numPr>
          <w:ilvl w:val="0"/>
          <w:numId w:val="7"/>
        </w:numPr>
        <w:rPr>
          <w:rFonts w:ascii="Arial" w:cs="Arial" w:eastAsia="Arial" w:hAnsi="Arial"/>
          <w:sz w:val="29"/>
          <w:szCs w:val="29"/>
          <w:color w:val="840039"/>
        </w:rPr>
      </w:pPr>
      <w:r>
        <w:rPr>
          <w:rFonts w:ascii="Arial" w:cs="Arial" w:eastAsia="Arial" w:hAnsi="Arial"/>
          <w:sz w:val="29"/>
          <w:szCs w:val="29"/>
          <w:color w:val="auto"/>
        </w:rPr>
        <w:t>Revenues up despite having sold 7% of the RGU’s</w:t>
      </w:r>
    </w:p>
    <w:p>
      <w:pPr>
        <w:spacing w:after="0" w:line="53" w:lineRule="exact"/>
        <w:rPr>
          <w:rFonts w:ascii="Arial" w:cs="Arial" w:eastAsia="Arial" w:hAnsi="Arial"/>
          <w:sz w:val="29"/>
          <w:szCs w:val="29"/>
          <w:color w:val="840039"/>
        </w:rPr>
      </w:pPr>
    </w:p>
    <w:p>
      <w:pPr>
        <w:ind w:left="1020" w:right="1180" w:hanging="441"/>
        <w:spacing w:after="0" w:line="254" w:lineRule="auto"/>
        <w:tabs>
          <w:tab w:leader="none" w:pos="948" w:val="left"/>
        </w:tabs>
        <w:numPr>
          <w:ilvl w:val="0"/>
          <w:numId w:val="7"/>
        </w:numPr>
        <w:rPr>
          <w:rFonts w:ascii="Arial" w:cs="Arial" w:eastAsia="Arial" w:hAnsi="Arial"/>
          <w:sz w:val="26"/>
          <w:szCs w:val="26"/>
          <w:color w:val="840039"/>
        </w:rPr>
      </w:pPr>
      <w:r>
        <w:rPr>
          <w:rFonts w:ascii="Arial" w:cs="Arial" w:eastAsia="Arial" w:hAnsi="Arial"/>
          <w:sz w:val="26"/>
          <w:szCs w:val="26"/>
          <w:color w:val="auto"/>
        </w:rPr>
        <w:t>Increased costs associated with network upgrades and adding 1,172 net adds in Q1’10 vs. loss of 69 in Q1’09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396875</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4980" w:space="720"/>
            <w:col w:w="4980"/>
          </w:cols>
          <w:pgMar w:left="600" w:top="990" w:right="619" w:bottom="1440" w:gutter="0" w:footer="0" w:header="0"/>
        </w:sectPr>
      </w:pPr>
    </w:p>
    <w:bookmarkStart w:id="13" w:name="page14"/>
    <w:bookmarkEnd w:id="13"/>
    <w:p>
      <w:pPr>
        <w:spacing w:after="0"/>
        <w:rPr>
          <w:sz w:val="20"/>
          <w:szCs w:val="20"/>
          <w:color w:val="auto"/>
        </w:rPr>
      </w:pPr>
      <w:r>
        <w:rPr>
          <w:rFonts w:ascii="Arial" w:cs="Arial" w:eastAsia="Arial" w:hAnsi="Arial"/>
          <w:sz w:val="38"/>
          <w:szCs w:val="38"/>
          <w:b w:val="1"/>
          <w:b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560" w:right="1940" w:hanging="431"/>
        <w:spacing w:after="0" w:line="281" w:lineRule="auto"/>
        <w:tabs>
          <w:tab w:leader="none" w:pos="496" w:val="left"/>
        </w:tabs>
        <w:numPr>
          <w:ilvl w:val="0"/>
          <w:numId w:val="8"/>
        </w:numPr>
        <w:rPr>
          <w:rFonts w:ascii="Arial" w:cs="Arial" w:eastAsia="Arial" w:hAnsi="Arial"/>
          <w:sz w:val="23"/>
          <w:szCs w:val="23"/>
          <w:color w:val="840039"/>
        </w:rPr>
      </w:pPr>
      <w:r>
        <w:rPr>
          <w:rFonts w:ascii="Arial" w:cs="Arial" w:eastAsia="Arial" w:hAnsi="Arial"/>
          <w:sz w:val="23"/>
          <w:szCs w:val="23"/>
          <w:b w:val="1"/>
          <w:bCs w:val="1"/>
          <w:color w:val="840039"/>
        </w:rPr>
        <w:t xml:space="preserve">Operating cash flow - </w:t>
      </w:r>
      <w:r>
        <w:rPr>
          <w:rFonts w:ascii="Arial" w:cs="Arial" w:eastAsia="Arial" w:hAnsi="Arial"/>
          <w:sz w:val="23"/>
          <w:szCs w:val="23"/>
          <w:color w:val="000000"/>
        </w:rPr>
        <w:t>Lower due</w:t>
      </w:r>
      <w:r>
        <w:rPr>
          <w:rFonts w:ascii="Arial" w:cs="Arial" w:eastAsia="Arial" w:hAnsi="Arial"/>
          <w:sz w:val="23"/>
          <w:szCs w:val="23"/>
          <w:b w:val="1"/>
          <w:bCs w:val="1"/>
          <w:color w:val="840039"/>
        </w:rPr>
        <w:t xml:space="preserve"> </w:t>
      </w:r>
      <w:r>
        <w:rPr>
          <w:rFonts w:ascii="Arial" w:cs="Arial" w:eastAsia="Arial" w:hAnsi="Arial"/>
          <w:sz w:val="23"/>
          <w:szCs w:val="23"/>
          <w:color w:val="000000"/>
        </w:rPr>
        <w:t>to timing of payments vendor, tax and Sprint payments</w:t>
      </w:r>
    </w:p>
    <w:p>
      <w:pPr>
        <w:spacing w:after="0" w:line="212" w:lineRule="exact"/>
        <w:rPr>
          <w:rFonts w:ascii="Arial" w:cs="Arial" w:eastAsia="Arial" w:hAnsi="Arial"/>
          <w:sz w:val="23"/>
          <w:szCs w:val="23"/>
          <w:color w:val="840039"/>
        </w:rPr>
      </w:pPr>
    </w:p>
    <w:p>
      <w:pPr>
        <w:ind w:left="560" w:right="2220" w:hanging="431"/>
        <w:spacing w:after="0" w:line="271" w:lineRule="auto"/>
        <w:tabs>
          <w:tab w:leader="none" w:pos="496" w:val="left"/>
        </w:tabs>
        <w:numPr>
          <w:ilvl w:val="0"/>
          <w:numId w:val="8"/>
        </w:numPr>
        <w:rPr>
          <w:rFonts w:ascii="Arial" w:cs="Arial" w:eastAsia="Arial" w:hAnsi="Arial"/>
          <w:sz w:val="23"/>
          <w:szCs w:val="23"/>
          <w:color w:val="840039"/>
        </w:rPr>
      </w:pPr>
      <w:r>
        <w:rPr>
          <w:rFonts w:ascii="Arial" w:cs="Arial" w:eastAsia="Arial" w:hAnsi="Arial"/>
          <w:sz w:val="23"/>
          <w:szCs w:val="23"/>
          <w:b w:val="1"/>
          <w:bCs w:val="1"/>
          <w:color w:val="840039"/>
        </w:rPr>
        <w:t xml:space="preserve">Capex </w:t>
      </w:r>
      <w:r>
        <w:rPr>
          <w:rFonts w:ascii="Arial" w:cs="Arial" w:eastAsia="Arial" w:hAnsi="Arial"/>
          <w:sz w:val="23"/>
          <w:szCs w:val="23"/>
          <w:color w:val="840039"/>
        </w:rPr>
        <w:t>- E</w:t>
      </w:r>
      <w:r>
        <w:rPr>
          <w:rFonts w:ascii="Arial" w:cs="Arial" w:eastAsia="Arial" w:hAnsi="Arial"/>
          <w:sz w:val="23"/>
          <w:szCs w:val="23"/>
          <w:color w:val="000000"/>
        </w:rPr>
        <w:t>xpenditures flat with</w:t>
      </w:r>
      <w:r>
        <w:rPr>
          <w:rFonts w:ascii="Arial" w:cs="Arial" w:eastAsia="Arial" w:hAnsi="Arial"/>
          <w:sz w:val="23"/>
          <w:szCs w:val="23"/>
          <w:b w:val="1"/>
          <w:bCs w:val="1"/>
          <w:color w:val="840039"/>
        </w:rPr>
        <w:t xml:space="preserve"> </w:t>
      </w:r>
      <w:r>
        <w:rPr>
          <w:rFonts w:ascii="Arial" w:cs="Arial" w:eastAsia="Arial" w:hAnsi="Arial"/>
          <w:sz w:val="23"/>
          <w:szCs w:val="23"/>
          <w:color w:val="000000"/>
        </w:rPr>
        <w:t>Q1’09 and lower than previous quarters as Wireless network improvements slow</w:t>
      </w:r>
    </w:p>
    <w:p>
      <w:pPr>
        <w:spacing w:after="0" w:line="234" w:lineRule="exact"/>
        <w:rPr>
          <w:rFonts w:ascii="Arial" w:cs="Arial" w:eastAsia="Arial" w:hAnsi="Arial"/>
          <w:sz w:val="23"/>
          <w:szCs w:val="23"/>
          <w:color w:val="840039"/>
        </w:rPr>
      </w:pPr>
    </w:p>
    <w:p>
      <w:pPr>
        <w:ind w:left="560" w:right="1840" w:hanging="431"/>
        <w:spacing w:after="0" w:line="280" w:lineRule="auto"/>
        <w:tabs>
          <w:tab w:leader="none" w:pos="496" w:val="left"/>
        </w:tabs>
        <w:numPr>
          <w:ilvl w:val="0"/>
          <w:numId w:val="8"/>
        </w:numPr>
        <w:rPr>
          <w:rFonts w:ascii="Arial" w:cs="Arial" w:eastAsia="Arial" w:hAnsi="Arial"/>
          <w:sz w:val="22"/>
          <w:szCs w:val="22"/>
          <w:color w:val="840039"/>
        </w:rPr>
      </w:pPr>
      <w:r>
        <w:rPr>
          <w:rFonts w:ascii="Arial" w:cs="Arial" w:eastAsia="Arial" w:hAnsi="Arial"/>
          <w:sz w:val="22"/>
          <w:szCs w:val="22"/>
          <w:b w:val="1"/>
          <w:bCs w:val="1"/>
          <w:color w:val="840039"/>
        </w:rPr>
        <w:t xml:space="preserve">Cost of Capital will drop </w:t>
      </w:r>
      <w:r>
        <w:rPr>
          <w:rFonts w:ascii="Arial" w:cs="Arial" w:eastAsia="Arial" w:hAnsi="Arial"/>
          <w:sz w:val="22"/>
          <w:szCs w:val="22"/>
          <w:color w:val="000000"/>
        </w:rPr>
        <w:t>- The</w:t>
      </w:r>
      <w:r>
        <w:rPr>
          <w:rFonts w:ascii="Arial" w:cs="Arial" w:eastAsia="Arial" w:hAnsi="Arial"/>
          <w:sz w:val="22"/>
          <w:szCs w:val="22"/>
          <w:b w:val="1"/>
          <w:bCs w:val="1"/>
          <w:color w:val="840039"/>
        </w:rPr>
        <w:t xml:space="preserve"> </w:t>
      </w:r>
      <w:r>
        <w:rPr>
          <w:rFonts w:ascii="Arial" w:cs="Arial" w:eastAsia="Arial" w:hAnsi="Arial"/>
          <w:sz w:val="22"/>
          <w:szCs w:val="22"/>
          <w:color w:val="000000"/>
        </w:rPr>
        <w:t>balance sheet will enable us to use leverage to acquire JetBB, shifting the fundamental capital structure and dropping capital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1862455</wp:posOffset>
            </wp:positionV>
            <wp:extent cx="726694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Cash Flows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-1534795</wp:posOffset>
            </wp:positionV>
            <wp:extent cx="7317740" cy="5492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ectPr>
          <w:pgSz w:w="11900" w:h="16838" w:orient="portrait"/>
          <w:cols w:equalWidth="0" w:num="2">
            <w:col w:w="5960" w:space="720"/>
            <w:col w:w="4000"/>
          </w:cols>
          <w:pgMar w:left="600" w:top="990" w:right="6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80"/>
        <w:spacing w:after="0"/>
        <w:rPr>
          <w:sz w:val="20"/>
          <w:szCs w:val="20"/>
          <w:color w:val="auto"/>
        </w:rPr>
      </w:pPr>
      <w:r>
        <w:rPr>
          <w:rFonts w:ascii="Arial" w:cs="Arial" w:eastAsia="Arial" w:hAnsi="Arial"/>
          <w:sz w:val="54"/>
          <w:szCs w:val="54"/>
          <w:b w:val="1"/>
          <w:bCs w:val="1"/>
          <w:color w:val="840039"/>
        </w:rPr>
        <w:t>Earle MacKenzie</w:t>
      </w:r>
    </w:p>
    <w:p>
      <w:pPr>
        <w:spacing w:after="0" w:line="200" w:lineRule="exact"/>
        <w:rPr>
          <w:sz w:val="20"/>
          <w:szCs w:val="20"/>
          <w:color w:val="auto"/>
        </w:rPr>
      </w:pPr>
    </w:p>
    <w:p>
      <w:pPr>
        <w:spacing w:after="0" w:line="372" w:lineRule="exact"/>
        <w:rPr>
          <w:sz w:val="20"/>
          <w:szCs w:val="20"/>
          <w:color w:val="auto"/>
        </w:rPr>
      </w:pPr>
    </w:p>
    <w:p>
      <w:pPr>
        <w:ind w:left="2860"/>
        <w:spacing w:after="0"/>
        <w:rPr>
          <w:sz w:val="20"/>
          <w:szCs w:val="20"/>
          <w:color w:val="auto"/>
        </w:rPr>
      </w:pPr>
      <w:r>
        <w:rPr>
          <w:rFonts w:ascii="Arial" w:cs="Arial" w:eastAsia="Arial" w:hAnsi="Arial"/>
          <w:sz w:val="58"/>
          <w:szCs w:val="58"/>
          <w:color w:val="auto"/>
        </w:rPr>
        <w:t>EVP and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15" w:name="page16"/>
    <w:bookmarkEnd w:id="15"/>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Wireless</w:t>
      </w:r>
    </w:p>
    <w:p>
      <w:pPr>
        <w:spacing w:after="0" w:line="312"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FFFFFF"/>
        </w:rPr>
        <w:t>PCS Customers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16" w:name="page17"/>
    <w:bookmarkEnd w:id="16"/>
    <w:p>
      <w:pP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Wireless</w:t>
      </w:r>
    </w:p>
    <w:p>
      <w:pPr>
        <w:sectPr>
          <w:pgSz w:w="11900" w:h="16838" w:orient="portrait"/>
          <w:cols w:equalWidth="0" w:num="1">
            <w:col w:w="10680"/>
          </w:cols>
          <w:pgMar w:left="600" w:top="990" w:right="6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9"/>
          <w:szCs w:val="19"/>
          <w:b w:val="1"/>
          <w:bCs w:val="1"/>
          <w:color w:val="FFFFFF"/>
        </w:rPr>
        <w:t>Gross Additions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FFFFFF"/>
        </w:rPr>
        <w:t>Net Additions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74" w:right="1260" w:hanging="574"/>
        <w:spacing w:after="0" w:line="252" w:lineRule="auto"/>
        <w:tabs>
          <w:tab w:leader="none" w:pos="486" w:val="left"/>
        </w:tabs>
        <w:numPr>
          <w:ilvl w:val="0"/>
          <w:numId w:val="9"/>
        </w:numPr>
        <w:rPr>
          <w:rFonts w:ascii="Arial" w:cs="Arial" w:eastAsia="Arial" w:hAnsi="Arial"/>
          <w:sz w:val="32"/>
          <w:szCs w:val="32"/>
          <w:color w:val="840039"/>
        </w:rPr>
      </w:pPr>
      <w:r>
        <w:rPr>
          <w:rFonts w:ascii="Arial" w:cs="Arial" w:eastAsia="Arial" w:hAnsi="Arial"/>
          <w:sz w:val="32"/>
          <w:szCs w:val="32"/>
          <w:color w:val="auto"/>
        </w:rPr>
        <w:t>Decrease in churn from 2.15% in Q1 ‘09 and</w:t>
      </w:r>
    </w:p>
    <w:p>
      <w:pPr>
        <w:spacing w:after="0" w:line="2" w:lineRule="exact"/>
        <w:rPr>
          <w:rFonts w:ascii="Arial" w:cs="Arial" w:eastAsia="Arial" w:hAnsi="Arial"/>
          <w:sz w:val="32"/>
          <w:szCs w:val="32"/>
          <w:color w:val="840039"/>
        </w:rPr>
      </w:pPr>
    </w:p>
    <w:p>
      <w:pPr>
        <w:ind w:left="574" w:right="780"/>
        <w:spacing w:after="0" w:line="236" w:lineRule="auto"/>
        <w:rPr>
          <w:rFonts w:ascii="Arial" w:cs="Arial" w:eastAsia="Arial" w:hAnsi="Arial"/>
          <w:sz w:val="32"/>
          <w:szCs w:val="32"/>
          <w:color w:val="840039"/>
        </w:rPr>
      </w:pPr>
      <w:r>
        <w:rPr>
          <w:rFonts w:ascii="Arial" w:cs="Arial" w:eastAsia="Arial" w:hAnsi="Arial"/>
          <w:sz w:val="35"/>
          <w:szCs w:val="35"/>
          <w:color w:val="auto"/>
        </w:rPr>
        <w:t>1.99% in Q4 ‘09 to 1.91% in Q1 ’10</w:t>
      </w:r>
    </w:p>
    <w:p>
      <w:pPr>
        <w:spacing w:after="0" w:line="271" w:lineRule="exact"/>
        <w:rPr>
          <w:rFonts w:ascii="Arial" w:cs="Arial" w:eastAsia="Arial" w:hAnsi="Arial"/>
          <w:sz w:val="32"/>
          <w:szCs w:val="32"/>
          <w:color w:val="840039"/>
        </w:rPr>
      </w:pPr>
    </w:p>
    <w:p>
      <w:pPr>
        <w:ind w:left="574" w:right="840" w:hanging="574"/>
        <w:spacing w:after="0" w:line="237" w:lineRule="auto"/>
        <w:tabs>
          <w:tab w:leader="none" w:pos="486" w:val="left"/>
        </w:tabs>
        <w:numPr>
          <w:ilvl w:val="0"/>
          <w:numId w:val="9"/>
        </w:numPr>
        <w:rPr>
          <w:rFonts w:ascii="Arial" w:cs="Arial" w:eastAsia="Arial" w:hAnsi="Arial"/>
          <w:sz w:val="35"/>
          <w:szCs w:val="35"/>
          <w:color w:val="840039"/>
        </w:rPr>
      </w:pPr>
      <w:r>
        <w:rPr>
          <w:rFonts w:ascii="Arial" w:cs="Arial" w:eastAsia="Arial" w:hAnsi="Arial"/>
          <w:sz w:val="35"/>
          <w:szCs w:val="35"/>
          <w:color w:val="auto"/>
        </w:rPr>
        <w:t>Improvements in retention lead to a 7% increase in net adds</w:t>
      </w:r>
    </w:p>
    <w:p>
      <w:pPr>
        <w:spacing w:after="0" w:line="273" w:lineRule="exact"/>
        <w:rPr>
          <w:rFonts w:ascii="Arial" w:cs="Arial" w:eastAsia="Arial" w:hAnsi="Arial"/>
          <w:sz w:val="35"/>
          <w:szCs w:val="35"/>
          <w:color w:val="840039"/>
        </w:rPr>
      </w:pPr>
    </w:p>
    <w:p>
      <w:pPr>
        <w:ind w:left="574" w:right="1180" w:hanging="574"/>
        <w:spacing w:after="0" w:line="246" w:lineRule="auto"/>
        <w:tabs>
          <w:tab w:leader="none" w:pos="486" w:val="left"/>
        </w:tabs>
        <w:numPr>
          <w:ilvl w:val="0"/>
          <w:numId w:val="9"/>
        </w:numPr>
        <w:rPr>
          <w:rFonts w:ascii="Arial" w:cs="Arial" w:eastAsia="Arial" w:hAnsi="Arial"/>
          <w:sz w:val="34"/>
          <w:szCs w:val="34"/>
          <w:color w:val="840039"/>
        </w:rPr>
      </w:pPr>
      <w:r>
        <w:rPr>
          <w:rFonts w:ascii="Arial" w:cs="Arial" w:eastAsia="Arial" w:hAnsi="Arial"/>
          <w:sz w:val="34"/>
          <w:szCs w:val="34"/>
          <w:color w:val="auto"/>
        </w:rPr>
        <w:t>Bad Debt write-offs and credits are down 5% Q1’10 over Q1’09</w:t>
      </w:r>
    </w:p>
    <w:p>
      <w:pPr>
        <w:spacing w:after="0" w:line="200" w:lineRule="exact"/>
        <w:rPr>
          <w:sz w:val="20"/>
          <w:szCs w:val="20"/>
          <w:color w:val="auto"/>
        </w:rPr>
      </w:pPr>
    </w:p>
    <w:p>
      <w:pPr>
        <w:sectPr>
          <w:pgSz w:w="11900" w:h="16838" w:orient="portrait"/>
          <w:cols w:equalWidth="0" w:num="2">
            <w:col w:w="4886" w:space="720"/>
            <w:col w:w="5074"/>
          </w:cols>
          <w:pgMar w:left="600" w:top="990"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50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419100</wp:posOffset>
            </wp:positionV>
            <wp:extent cx="726694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PCS</w:t>
      </w:r>
    </w:p>
    <w:p>
      <w:pPr>
        <w:spacing w:after="0" w:line="200" w:lineRule="exact"/>
        <w:rPr>
          <w:sz w:val="20"/>
          <w:szCs w:val="20"/>
          <w:color w:val="auto"/>
        </w:rPr>
      </w:pPr>
    </w:p>
    <w:p>
      <w:pPr>
        <w:spacing w:after="0" w:line="209"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FFFFFF"/>
        </w:rPr>
        <w:t xml:space="preserve">Gross Billed Revenue per User - Data &amp; Voice </w:t>
      </w:r>
      <w:r>
        <w:rPr>
          <w:rFonts w:ascii="Arial" w:cs="Arial" w:eastAsia="Arial" w:hAnsi="Arial"/>
          <w:sz w:val="31"/>
          <w:szCs w:val="31"/>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0" w:right="1500" w:firstLine="1"/>
        <w:spacing w:after="0" w:line="203" w:lineRule="auto"/>
        <w:tabs>
          <w:tab w:leader="none" w:pos="915" w:val="left"/>
        </w:tabs>
        <w:numPr>
          <w:ilvl w:val="0"/>
          <w:numId w:val="10"/>
        </w:numPr>
        <w:rPr>
          <w:rFonts w:ascii="Arial" w:cs="Arial" w:eastAsia="Arial" w:hAnsi="Arial"/>
          <w:sz w:val="27"/>
          <w:szCs w:val="27"/>
          <w:color w:val="auto"/>
          <w:vertAlign w:val="superscript"/>
        </w:rPr>
      </w:pPr>
      <w:r>
        <w:rPr>
          <w:rFonts w:ascii="Arial" w:cs="Arial" w:eastAsia="Arial" w:hAnsi="Arial"/>
          <w:sz w:val="19"/>
          <w:szCs w:val="19"/>
          <w:color w:val="auto"/>
        </w:rPr>
        <w:t>- Before Service credits, bad debt, Sprint Nextel fees. See reconciliation of Non-GAAP financial measures on slide 24</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18" w:name="page19"/>
    <w:bookmarkEnd w:id="18"/>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PCS Revenues</w:t>
      </w: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FFFFFF"/>
        </w:rPr>
        <w:t>Gross Billed Revenues ($ millions)</w:t>
      </w:r>
    </w:p>
    <w:p>
      <w:pPr>
        <w:spacing w:after="0" w:line="341" w:lineRule="exact"/>
        <w:rPr>
          <w:sz w:val="20"/>
          <w:szCs w:val="20"/>
          <w:color w:val="auto"/>
        </w:rPr>
      </w:pPr>
    </w:p>
    <w:p>
      <w:pPr>
        <w:ind w:left="2220"/>
        <w:spacing w:after="0"/>
        <w:tabs>
          <w:tab w:leader="none" w:pos="5760" w:val="left"/>
        </w:tabs>
        <w:rPr>
          <w:sz w:val="20"/>
          <w:szCs w:val="20"/>
          <w:color w:val="auto"/>
        </w:rPr>
      </w:pPr>
      <w:r>
        <w:rPr>
          <w:rFonts w:ascii="Arial" w:cs="Arial" w:eastAsia="Arial" w:hAnsi="Arial"/>
          <w:sz w:val="51"/>
          <w:szCs w:val="51"/>
          <w:color w:val="7F7F7F"/>
          <w:vertAlign w:val="subscript"/>
        </w:rPr>
        <w:t>$36.0</w:t>
      </w:r>
      <w:r>
        <w:rPr>
          <w:sz w:val="20"/>
          <w:szCs w:val="20"/>
          <w:color w:val="auto"/>
        </w:rPr>
        <w:tab/>
      </w:r>
      <w:r>
        <w:rPr>
          <w:rFonts w:ascii="Arial" w:cs="Arial" w:eastAsia="Arial" w:hAnsi="Arial"/>
          <w:sz w:val="23"/>
          <w:szCs w:val="23"/>
          <w:color w:val="7F7F7F"/>
        </w:rPr>
        <w:t>$37.1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396875</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60"/>
          </w:cols>
          <w:pgMar w:left="520" w:top="1062" w:right="619" w:bottom="1440" w:gutter="0" w:footer="0" w:header="0"/>
        </w:sectPr>
      </w:pPr>
    </w:p>
    <w:bookmarkStart w:id="19" w:name="page20"/>
    <w:bookmarkEnd w:id="19"/>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PCS Customers Top Picks Q1 2010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20" w:type="dxa"/>
        <w:tblCellMar>
          <w:top w:w="0" w:type="dxa"/>
          <w:left w:w="0" w:type="dxa"/>
          <w:bottom w:w="0" w:type="dxa"/>
          <w:right w:w="0" w:type="dxa"/>
        </w:tblCellMar>
      </w:tblPr>
      <w:tr>
        <w:trPr>
          <w:trHeight w:val="368"/>
        </w:trPr>
        <w:tc>
          <w:tcPr>
            <w:tcW w:w="4660" w:type="dxa"/>
            <w:vAlign w:val="bottom"/>
            <w:gridSpan w:val="2"/>
          </w:tcPr>
          <w:p>
            <w:pPr>
              <w:spacing w:after="0"/>
              <w:rPr>
                <w:sz w:val="20"/>
                <w:szCs w:val="20"/>
                <w:color w:val="auto"/>
              </w:rPr>
            </w:pPr>
            <w:r>
              <w:rPr>
                <w:rFonts w:ascii="Arial" w:cs="Arial" w:eastAsia="Arial" w:hAnsi="Arial"/>
                <w:sz w:val="32"/>
                <w:szCs w:val="32"/>
                <w:color w:val="840039"/>
              </w:rPr>
              <w:t xml:space="preserve">n  </w:t>
            </w:r>
            <w:r>
              <w:rPr>
                <w:rFonts w:ascii="Arial" w:cs="Arial" w:eastAsia="Arial" w:hAnsi="Arial"/>
                <w:sz w:val="32"/>
                <w:szCs w:val="32"/>
                <w:color w:val="000000"/>
              </w:rPr>
              <w:t>Top Service Plans - 49% of</w:t>
            </w:r>
          </w:p>
        </w:tc>
        <w:tc>
          <w:tcPr>
            <w:tcW w:w="4420" w:type="dxa"/>
            <w:vAlign w:val="bottom"/>
            <w:gridSpan w:val="2"/>
          </w:tcPr>
          <w:p>
            <w:pPr>
              <w:ind w:left="600"/>
              <w:spacing w:after="0"/>
              <w:rPr>
                <w:sz w:val="20"/>
                <w:szCs w:val="20"/>
                <w:color w:val="auto"/>
              </w:rPr>
            </w:pPr>
            <w:r>
              <w:rPr>
                <w:rFonts w:ascii="Arial" w:cs="Arial" w:eastAsia="Arial" w:hAnsi="Arial"/>
                <w:sz w:val="32"/>
                <w:szCs w:val="32"/>
                <w:color w:val="840039"/>
              </w:rPr>
              <w:t xml:space="preserve">n  </w:t>
            </w:r>
            <w:r>
              <w:rPr>
                <w:rFonts w:ascii="Arial" w:cs="Arial" w:eastAsia="Arial" w:hAnsi="Arial"/>
                <w:sz w:val="32"/>
                <w:szCs w:val="32"/>
                <w:color w:val="000000"/>
              </w:rPr>
              <w:t>Top Devices - Shentel</w:t>
            </w:r>
          </w:p>
        </w:tc>
        <w:tc>
          <w:tcPr>
            <w:tcW w:w="0" w:type="dxa"/>
            <w:vAlign w:val="bottom"/>
          </w:tcPr>
          <w:p>
            <w:pPr>
              <w:spacing w:after="0"/>
              <w:rPr>
                <w:sz w:val="1"/>
                <w:szCs w:val="1"/>
                <w:color w:val="auto"/>
              </w:rPr>
            </w:pPr>
          </w:p>
        </w:tc>
      </w:tr>
      <w:tr>
        <w:trPr>
          <w:trHeight w:val="421"/>
        </w:trPr>
        <w:tc>
          <w:tcPr>
            <w:tcW w:w="4660" w:type="dxa"/>
            <w:vAlign w:val="bottom"/>
            <w:gridSpan w:val="2"/>
          </w:tcPr>
          <w:p>
            <w:pPr>
              <w:ind w:left="560"/>
              <w:spacing w:after="0"/>
              <w:rPr>
                <w:sz w:val="20"/>
                <w:szCs w:val="20"/>
                <w:color w:val="auto"/>
              </w:rPr>
            </w:pPr>
            <w:r>
              <w:rPr>
                <w:rFonts w:ascii="Arial" w:cs="Arial" w:eastAsia="Arial" w:hAnsi="Arial"/>
                <w:sz w:val="32"/>
                <w:szCs w:val="32"/>
                <w:color w:val="auto"/>
              </w:rPr>
              <w:t>Gross Adds</w:t>
            </w:r>
          </w:p>
        </w:tc>
        <w:tc>
          <w:tcPr>
            <w:tcW w:w="4420" w:type="dxa"/>
            <w:vAlign w:val="bottom"/>
            <w:gridSpan w:val="2"/>
          </w:tcPr>
          <w:p>
            <w:pPr>
              <w:ind w:left="1180"/>
              <w:spacing w:after="0"/>
              <w:rPr>
                <w:sz w:val="20"/>
                <w:szCs w:val="20"/>
                <w:color w:val="auto"/>
              </w:rPr>
            </w:pPr>
            <w:r>
              <w:rPr>
                <w:rFonts w:ascii="Arial" w:cs="Arial" w:eastAsia="Arial" w:hAnsi="Arial"/>
                <w:sz w:val="32"/>
                <w:szCs w:val="32"/>
                <w:color w:val="auto"/>
              </w:rPr>
              <w:t>Controlled Channels</w:t>
            </w:r>
          </w:p>
        </w:tc>
        <w:tc>
          <w:tcPr>
            <w:tcW w:w="0" w:type="dxa"/>
            <w:vAlign w:val="bottom"/>
          </w:tcPr>
          <w:p>
            <w:pPr>
              <w:spacing w:after="0"/>
              <w:rPr>
                <w:sz w:val="1"/>
                <w:szCs w:val="1"/>
                <w:color w:val="auto"/>
              </w:rPr>
            </w:pPr>
          </w:p>
        </w:tc>
      </w:tr>
      <w:tr>
        <w:trPr>
          <w:trHeight w:val="432"/>
        </w:trPr>
        <w:tc>
          <w:tcPr>
            <w:tcW w:w="840" w:type="dxa"/>
            <w:vAlign w:val="bottom"/>
          </w:tcPr>
          <w:p>
            <w:pPr>
              <w:ind w:left="560"/>
              <w:spacing w:after="0"/>
              <w:rPr>
                <w:sz w:val="20"/>
                <w:szCs w:val="20"/>
                <w:color w:val="auto"/>
              </w:rPr>
            </w:pPr>
            <w:r>
              <w:rPr>
                <w:rFonts w:ascii="Arial" w:cs="Arial" w:eastAsia="Arial" w:hAnsi="Arial"/>
                <w:sz w:val="26"/>
                <w:szCs w:val="26"/>
                <w:color w:val="C0C0C0"/>
              </w:rPr>
              <w:t>u</w:t>
            </w:r>
          </w:p>
        </w:tc>
        <w:tc>
          <w:tcPr>
            <w:tcW w:w="3820" w:type="dxa"/>
            <w:vAlign w:val="bottom"/>
          </w:tcPr>
          <w:p>
            <w:pPr>
              <w:ind w:left="140"/>
              <w:spacing w:after="0"/>
              <w:rPr>
                <w:sz w:val="20"/>
                <w:szCs w:val="20"/>
                <w:color w:val="auto"/>
              </w:rPr>
            </w:pPr>
            <w:r>
              <w:rPr>
                <w:rFonts w:ascii="Arial" w:cs="Arial" w:eastAsia="Arial" w:hAnsi="Arial"/>
                <w:sz w:val="32"/>
                <w:szCs w:val="32"/>
                <w:color w:val="auto"/>
              </w:rPr>
              <w:t>Everything Data Family</w:t>
            </w:r>
          </w:p>
        </w:tc>
        <w:tc>
          <w:tcPr>
            <w:tcW w:w="1440" w:type="dxa"/>
            <w:vAlign w:val="bottom"/>
          </w:tcPr>
          <w:p>
            <w:pPr>
              <w:ind w:left="1180"/>
              <w:spacing w:after="0"/>
              <w:rPr>
                <w:sz w:val="20"/>
                <w:szCs w:val="20"/>
                <w:color w:val="auto"/>
              </w:rPr>
            </w:pPr>
            <w:r>
              <w:rPr>
                <w:rFonts w:ascii="Arial" w:cs="Arial" w:eastAsia="Arial" w:hAnsi="Arial"/>
                <w:sz w:val="26"/>
                <w:szCs w:val="26"/>
                <w:color w:val="C0C0C0"/>
              </w:rPr>
              <w:t>u</w:t>
            </w:r>
          </w:p>
        </w:tc>
        <w:tc>
          <w:tcPr>
            <w:tcW w:w="2980" w:type="dxa"/>
            <w:vAlign w:val="bottom"/>
          </w:tcPr>
          <w:p>
            <w:pPr>
              <w:ind w:left="140"/>
              <w:spacing w:after="0"/>
              <w:rPr>
                <w:sz w:val="20"/>
                <w:szCs w:val="20"/>
                <w:color w:val="auto"/>
              </w:rPr>
            </w:pPr>
            <w:r>
              <w:rPr>
                <w:rFonts w:ascii="Arial" w:cs="Arial" w:eastAsia="Arial" w:hAnsi="Arial"/>
                <w:sz w:val="32"/>
                <w:szCs w:val="32"/>
                <w:color w:val="auto"/>
              </w:rPr>
              <w:t>Sanyo 3810 12%</w:t>
            </w:r>
          </w:p>
        </w:tc>
        <w:tc>
          <w:tcPr>
            <w:tcW w:w="0" w:type="dxa"/>
            <w:vAlign w:val="bottom"/>
          </w:tcPr>
          <w:p>
            <w:pPr>
              <w:spacing w:after="0"/>
              <w:rPr>
                <w:sz w:val="1"/>
                <w:szCs w:val="1"/>
                <w:color w:val="auto"/>
              </w:rPr>
            </w:pPr>
          </w:p>
        </w:tc>
      </w:tr>
      <w:tr>
        <w:trPr>
          <w:trHeight w:val="409"/>
        </w:trPr>
        <w:tc>
          <w:tcPr>
            <w:tcW w:w="840" w:type="dxa"/>
            <w:vAlign w:val="bottom"/>
          </w:tcPr>
          <w:p>
            <w:pPr>
              <w:spacing w:after="0"/>
              <w:rPr>
                <w:sz w:val="24"/>
                <w:szCs w:val="24"/>
                <w:color w:val="auto"/>
              </w:rPr>
            </w:pPr>
          </w:p>
        </w:tc>
        <w:tc>
          <w:tcPr>
            <w:tcW w:w="3820" w:type="dxa"/>
            <w:vAlign w:val="bottom"/>
          </w:tcPr>
          <w:p>
            <w:pPr>
              <w:ind w:left="240"/>
              <w:spacing w:after="0"/>
              <w:rPr>
                <w:sz w:val="20"/>
                <w:szCs w:val="20"/>
                <w:color w:val="auto"/>
              </w:rPr>
            </w:pPr>
            <w:r>
              <w:rPr>
                <w:rFonts w:ascii="Arial" w:cs="Arial" w:eastAsia="Arial" w:hAnsi="Arial"/>
                <w:sz w:val="32"/>
                <w:szCs w:val="32"/>
                <w:color w:val="auto"/>
              </w:rPr>
              <w:t>1500</w:t>
            </w:r>
          </w:p>
        </w:tc>
        <w:tc>
          <w:tcPr>
            <w:tcW w:w="1440" w:type="dxa"/>
            <w:vAlign w:val="bottom"/>
            <w:vMerge w:val="restart"/>
          </w:tcPr>
          <w:p>
            <w:pPr>
              <w:ind w:left="1180"/>
              <w:spacing w:after="0"/>
              <w:rPr>
                <w:sz w:val="20"/>
                <w:szCs w:val="20"/>
                <w:color w:val="auto"/>
              </w:rPr>
            </w:pPr>
            <w:r>
              <w:rPr>
                <w:rFonts w:ascii="Arial" w:cs="Arial" w:eastAsia="Arial" w:hAnsi="Arial"/>
                <w:sz w:val="26"/>
                <w:szCs w:val="26"/>
                <w:color w:val="C0C0C0"/>
              </w:rPr>
              <w:t>u</w:t>
            </w:r>
          </w:p>
        </w:tc>
        <w:tc>
          <w:tcPr>
            <w:tcW w:w="2980" w:type="dxa"/>
            <w:vAlign w:val="bottom"/>
            <w:vMerge w:val="restart"/>
          </w:tcPr>
          <w:p>
            <w:pPr>
              <w:ind w:left="140"/>
              <w:spacing w:after="0"/>
              <w:rPr>
                <w:sz w:val="20"/>
                <w:szCs w:val="20"/>
                <w:color w:val="auto"/>
              </w:rPr>
            </w:pPr>
            <w:r>
              <w:rPr>
                <w:rFonts w:ascii="Arial" w:cs="Arial" w:eastAsia="Arial" w:hAnsi="Arial"/>
                <w:sz w:val="32"/>
                <w:szCs w:val="32"/>
                <w:color w:val="auto"/>
              </w:rPr>
              <w:t>Sanyo 2700 11%</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820" w:type="dxa"/>
            <w:vAlign w:val="bottom"/>
            <w:vMerge w:val="restart"/>
          </w:tcPr>
          <w:p>
            <w:pPr>
              <w:ind w:left="140"/>
              <w:spacing w:after="0"/>
              <w:rPr>
                <w:sz w:val="20"/>
                <w:szCs w:val="20"/>
                <w:color w:val="auto"/>
              </w:rPr>
            </w:pPr>
            <w:r>
              <w:rPr>
                <w:rFonts w:ascii="Arial" w:cs="Arial" w:eastAsia="Arial" w:hAnsi="Arial"/>
                <w:sz w:val="32"/>
                <w:szCs w:val="32"/>
                <w:color w:val="auto"/>
              </w:rPr>
              <w:t>Everything Messaging</w:t>
            </w:r>
          </w:p>
        </w:tc>
        <w:tc>
          <w:tcPr>
            <w:tcW w:w="1440" w:type="dxa"/>
            <w:vAlign w:val="bottom"/>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840" w:type="dxa"/>
            <w:vAlign w:val="bottom"/>
          </w:tcPr>
          <w:p>
            <w:pPr>
              <w:ind w:left="560"/>
              <w:spacing w:after="0" w:line="276" w:lineRule="exact"/>
              <w:rPr>
                <w:sz w:val="20"/>
                <w:szCs w:val="20"/>
                <w:color w:val="auto"/>
              </w:rPr>
            </w:pPr>
            <w:r>
              <w:rPr>
                <w:rFonts w:ascii="Arial" w:cs="Arial" w:eastAsia="Arial" w:hAnsi="Arial"/>
                <w:sz w:val="26"/>
                <w:szCs w:val="26"/>
                <w:color w:val="C0C0C0"/>
              </w:rPr>
              <w:t>u</w:t>
            </w:r>
          </w:p>
        </w:tc>
        <w:tc>
          <w:tcPr>
            <w:tcW w:w="3820" w:type="dxa"/>
            <w:vAlign w:val="bottom"/>
            <w:vMerge w:val="continue"/>
          </w:tcPr>
          <w:p>
            <w:pPr>
              <w:spacing w:after="0"/>
              <w:rPr>
                <w:sz w:val="23"/>
                <w:szCs w:val="23"/>
                <w:color w:val="auto"/>
              </w:rPr>
            </w:pPr>
          </w:p>
        </w:tc>
        <w:tc>
          <w:tcPr>
            <w:tcW w:w="1440" w:type="dxa"/>
            <w:vAlign w:val="bottom"/>
            <w:vMerge w:val="restart"/>
          </w:tcPr>
          <w:p>
            <w:pPr>
              <w:ind w:left="1180"/>
              <w:spacing w:after="0"/>
              <w:rPr>
                <w:sz w:val="20"/>
                <w:szCs w:val="20"/>
                <w:color w:val="auto"/>
              </w:rPr>
            </w:pPr>
            <w:r>
              <w:rPr>
                <w:rFonts w:ascii="Arial" w:cs="Arial" w:eastAsia="Arial" w:hAnsi="Arial"/>
                <w:sz w:val="26"/>
                <w:szCs w:val="26"/>
                <w:color w:val="C0C0C0"/>
              </w:rPr>
              <w:t>u</w:t>
            </w:r>
          </w:p>
        </w:tc>
        <w:tc>
          <w:tcPr>
            <w:tcW w:w="2980" w:type="dxa"/>
            <w:vAlign w:val="bottom"/>
            <w:vMerge w:val="restart"/>
          </w:tcPr>
          <w:p>
            <w:pPr>
              <w:ind w:left="140"/>
              <w:spacing w:after="0"/>
              <w:rPr>
                <w:sz w:val="20"/>
                <w:szCs w:val="20"/>
                <w:color w:val="auto"/>
              </w:rPr>
            </w:pPr>
            <w:r>
              <w:rPr>
                <w:rFonts w:ascii="Arial" w:cs="Arial" w:eastAsia="Arial" w:hAnsi="Arial"/>
                <w:sz w:val="32"/>
                <w:szCs w:val="32"/>
                <w:color w:val="auto"/>
                <w:w w:val="93"/>
              </w:rPr>
              <w:t>Blackberry Curve 9%</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3820" w:type="dxa"/>
            <w:vAlign w:val="bottom"/>
            <w:vMerge w:val="restart"/>
          </w:tcPr>
          <w:p>
            <w:pPr>
              <w:ind w:left="240"/>
              <w:spacing w:after="0"/>
              <w:rPr>
                <w:sz w:val="20"/>
                <w:szCs w:val="20"/>
                <w:color w:val="auto"/>
              </w:rPr>
            </w:pPr>
            <w:r>
              <w:rPr>
                <w:rFonts w:ascii="Arial" w:cs="Arial" w:eastAsia="Arial" w:hAnsi="Arial"/>
                <w:sz w:val="32"/>
                <w:szCs w:val="32"/>
                <w:color w:val="auto"/>
              </w:rPr>
              <w:t>Family 1500</w:t>
            </w:r>
          </w:p>
        </w:tc>
        <w:tc>
          <w:tcPr>
            <w:tcW w:w="1440" w:type="dxa"/>
            <w:vAlign w:val="bottom"/>
            <w:vMerge w:val="continue"/>
          </w:tcPr>
          <w:p>
            <w:pPr>
              <w:spacing w:after="0"/>
              <w:rPr>
                <w:sz w:val="19"/>
                <w:szCs w:val="19"/>
                <w:color w:val="auto"/>
              </w:rPr>
            </w:pP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1440" w:type="dxa"/>
            <w:vAlign w:val="bottom"/>
            <w:vMerge w:val="restart"/>
          </w:tcPr>
          <w:p>
            <w:pPr>
              <w:ind w:left="1180"/>
              <w:spacing w:after="0"/>
              <w:rPr>
                <w:sz w:val="20"/>
                <w:szCs w:val="20"/>
                <w:color w:val="auto"/>
              </w:rPr>
            </w:pPr>
            <w:r>
              <w:rPr>
                <w:rFonts w:ascii="Arial" w:cs="Arial" w:eastAsia="Arial" w:hAnsi="Arial"/>
                <w:sz w:val="26"/>
                <w:szCs w:val="26"/>
                <w:color w:val="C0C0C0"/>
              </w:rPr>
              <w:t>u</w:t>
            </w:r>
          </w:p>
        </w:tc>
        <w:tc>
          <w:tcPr>
            <w:tcW w:w="2980" w:type="dxa"/>
            <w:vAlign w:val="bottom"/>
            <w:vMerge w:val="restart"/>
          </w:tcPr>
          <w:p>
            <w:pPr>
              <w:ind w:left="140"/>
              <w:spacing w:after="0"/>
              <w:rPr>
                <w:sz w:val="20"/>
                <w:szCs w:val="20"/>
                <w:color w:val="auto"/>
              </w:rPr>
            </w:pPr>
            <w:r>
              <w:rPr>
                <w:rFonts w:ascii="Arial" w:cs="Arial" w:eastAsia="Arial" w:hAnsi="Arial"/>
                <w:sz w:val="32"/>
                <w:szCs w:val="32"/>
                <w:color w:val="auto"/>
                <w:w w:val="90"/>
              </w:rPr>
              <w:t>Samsung Exclaim 9%</w:t>
            </w:r>
          </w:p>
        </w:tc>
        <w:tc>
          <w:tcPr>
            <w:tcW w:w="0" w:type="dxa"/>
            <w:vAlign w:val="bottom"/>
          </w:tcPr>
          <w:p>
            <w:pPr>
              <w:spacing w:after="0"/>
              <w:rPr>
                <w:sz w:val="1"/>
                <w:szCs w:val="1"/>
                <w:color w:val="auto"/>
              </w:rPr>
            </w:pPr>
          </w:p>
        </w:tc>
      </w:tr>
      <w:tr>
        <w:trPr>
          <w:trHeight w:val="336"/>
        </w:trPr>
        <w:tc>
          <w:tcPr>
            <w:tcW w:w="840" w:type="dxa"/>
            <w:vAlign w:val="bottom"/>
            <w:vMerge w:val="restart"/>
          </w:tcPr>
          <w:p>
            <w:pPr>
              <w:ind w:left="560"/>
              <w:spacing w:after="0"/>
              <w:rPr>
                <w:sz w:val="20"/>
                <w:szCs w:val="20"/>
                <w:color w:val="auto"/>
              </w:rPr>
            </w:pPr>
            <w:r>
              <w:rPr>
                <w:rFonts w:ascii="Arial" w:cs="Arial" w:eastAsia="Arial" w:hAnsi="Arial"/>
                <w:sz w:val="26"/>
                <w:szCs w:val="26"/>
                <w:color w:val="C0C0C0"/>
              </w:rPr>
              <w:t>u</w:t>
            </w:r>
          </w:p>
        </w:tc>
        <w:tc>
          <w:tcPr>
            <w:tcW w:w="3820" w:type="dxa"/>
            <w:vAlign w:val="bottom"/>
            <w:vMerge w:val="restart"/>
          </w:tcPr>
          <w:p>
            <w:pPr>
              <w:ind w:left="140"/>
              <w:spacing w:after="0"/>
              <w:rPr>
                <w:sz w:val="20"/>
                <w:szCs w:val="20"/>
                <w:color w:val="auto"/>
              </w:rPr>
            </w:pPr>
            <w:r>
              <w:rPr>
                <w:rFonts w:ascii="Arial" w:cs="Arial" w:eastAsia="Arial" w:hAnsi="Arial"/>
                <w:sz w:val="32"/>
                <w:szCs w:val="32"/>
                <w:color w:val="auto"/>
              </w:rPr>
              <w:t>Everything 450</w:t>
            </w:r>
          </w:p>
        </w:tc>
        <w:tc>
          <w:tcPr>
            <w:tcW w:w="1440" w:type="dxa"/>
            <w:vAlign w:val="bottom"/>
            <w:vMerge w:val="continue"/>
          </w:tcPr>
          <w:p>
            <w:pPr>
              <w:spacing w:after="0"/>
              <w:rPr>
                <w:sz w:val="24"/>
                <w:szCs w:val="24"/>
                <w:color w:val="auto"/>
              </w:rPr>
            </w:pPr>
          </w:p>
        </w:tc>
        <w:tc>
          <w:tcPr>
            <w:tcW w:w="2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84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060"/>
        <w:spacing w:after="0"/>
        <w:tabs>
          <w:tab w:leader="none" w:pos="6440" w:val="left"/>
        </w:tabs>
        <w:rPr>
          <w:sz w:val="20"/>
          <w:szCs w:val="20"/>
          <w:color w:val="auto"/>
        </w:rPr>
      </w:pPr>
      <w:r>
        <w:rPr>
          <w:rFonts w:ascii="Arial" w:cs="Arial" w:eastAsia="Arial" w:hAnsi="Arial"/>
          <w:sz w:val="26"/>
          <w:szCs w:val="26"/>
          <w:color w:val="C0C0C0"/>
        </w:rPr>
        <w:t>u</w:t>
      </w:r>
      <w:r>
        <w:rPr>
          <w:sz w:val="20"/>
          <w:szCs w:val="20"/>
          <w:color w:val="auto"/>
        </w:rPr>
        <w:tab/>
      </w:r>
      <w:r>
        <w:rPr>
          <w:rFonts w:ascii="Arial" w:cs="Arial" w:eastAsia="Arial" w:hAnsi="Arial"/>
          <w:sz w:val="32"/>
          <w:szCs w:val="32"/>
          <w:color w:val="auto"/>
        </w:rPr>
        <w:t>LG Rumor 2 9%</w:t>
      </w:r>
    </w:p>
    <w:p>
      <w:pPr>
        <w:spacing w:after="0" w:line="109" w:lineRule="exact"/>
        <w:rPr>
          <w:sz w:val="20"/>
          <w:szCs w:val="20"/>
          <w:color w:val="auto"/>
        </w:rPr>
      </w:pPr>
    </w:p>
    <w:p>
      <w:pPr>
        <w:ind w:left="6060"/>
        <w:spacing w:after="0"/>
        <w:tabs>
          <w:tab w:leader="none" w:pos="6440" w:val="left"/>
        </w:tabs>
        <w:rPr>
          <w:sz w:val="20"/>
          <w:szCs w:val="20"/>
          <w:color w:val="auto"/>
        </w:rPr>
      </w:pPr>
      <w:r>
        <w:rPr>
          <w:rFonts w:ascii="Arial" w:cs="Arial" w:eastAsia="Arial" w:hAnsi="Arial"/>
          <w:sz w:val="26"/>
          <w:szCs w:val="26"/>
          <w:color w:val="C0C0C0"/>
        </w:rPr>
        <w:t>u</w:t>
      </w:r>
      <w:r>
        <w:rPr>
          <w:sz w:val="20"/>
          <w:szCs w:val="20"/>
          <w:color w:val="auto"/>
        </w:rPr>
        <w:tab/>
      </w:r>
      <w:r>
        <w:rPr>
          <w:rFonts w:ascii="Arial" w:cs="Arial" w:eastAsia="Arial" w:hAnsi="Arial"/>
          <w:sz w:val="32"/>
          <w:szCs w:val="32"/>
          <w:color w:val="auto"/>
        </w:rPr>
        <w:t>Mobile Data Cards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0" w:name="page21"/>
    <w:bookmarkEnd w:id="20"/>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Meeting PCS Customer Needs</w:t>
      </w:r>
    </w:p>
    <w:p>
      <w:pPr>
        <w:spacing w:after="0" w:line="200" w:lineRule="exact"/>
        <w:rPr>
          <w:sz w:val="20"/>
          <w:szCs w:val="20"/>
          <w:color w:val="auto"/>
        </w:rPr>
      </w:pPr>
    </w:p>
    <w:p>
      <w:pPr>
        <w:spacing w:after="0" w:line="281"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FFFFFF"/>
        </w:rPr>
        <w:t>Number of Cell Sites</w:t>
      </w:r>
    </w:p>
    <w:p>
      <w:pPr>
        <w:spacing w:after="0" w:line="232"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Growth in sites and EVDO</w:t>
      </w:r>
    </w:p>
    <w:p>
      <w:pPr>
        <w:ind w:left="6060"/>
        <w:spacing w:after="0"/>
        <w:rPr>
          <w:sz w:val="20"/>
          <w:szCs w:val="20"/>
          <w:color w:val="auto"/>
        </w:rPr>
      </w:pPr>
      <w:r>
        <w:rPr>
          <w:rFonts w:ascii="Arial" w:cs="Arial" w:eastAsia="Arial" w:hAnsi="Arial"/>
          <w:sz w:val="32"/>
          <w:szCs w:val="32"/>
          <w:color w:val="auto"/>
        </w:rPr>
        <w:t>coverage has slowed</w:t>
      </w:r>
    </w:p>
    <w:p>
      <w:pPr>
        <w:spacing w:after="0" w:line="277"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Expanded data offering</w:t>
      </w:r>
    </w:p>
    <w:p>
      <w:pPr>
        <w:spacing w:after="0" w:line="133" w:lineRule="exact"/>
        <w:rPr>
          <w:sz w:val="20"/>
          <w:szCs w:val="20"/>
          <w:color w:val="auto"/>
        </w:rPr>
      </w:pPr>
    </w:p>
    <w:p>
      <w:pPr>
        <w:ind w:left="6060"/>
        <w:spacing w:after="0"/>
        <w:tabs>
          <w:tab w:leader="none" w:pos="6440" w:val="left"/>
        </w:tabs>
        <w:rPr>
          <w:sz w:val="20"/>
          <w:szCs w:val="20"/>
          <w:color w:val="auto"/>
        </w:rPr>
      </w:pPr>
      <w:r>
        <w:rPr>
          <w:rFonts w:ascii="Arial" w:cs="Arial" w:eastAsia="Arial" w:hAnsi="Arial"/>
          <w:sz w:val="26"/>
          <w:szCs w:val="26"/>
          <w:color w:val="C0C0C0"/>
        </w:rPr>
        <w:t>u</w:t>
      </w:r>
      <w:r>
        <w:rPr>
          <w:sz w:val="20"/>
          <w:szCs w:val="20"/>
          <w:color w:val="auto"/>
        </w:rPr>
        <w:tab/>
      </w:r>
      <w:r>
        <w:rPr>
          <w:rFonts w:ascii="Arial" w:cs="Arial" w:eastAsia="Arial" w:hAnsi="Arial"/>
          <w:sz w:val="32"/>
          <w:szCs w:val="32"/>
          <w:color w:val="auto"/>
        </w:rPr>
        <w:t>Over 95% POP’s with</w:t>
      </w:r>
    </w:p>
    <w:p>
      <w:pPr>
        <w:ind w:left="6560"/>
        <w:spacing w:after="0"/>
        <w:rPr>
          <w:sz w:val="20"/>
          <w:szCs w:val="20"/>
          <w:color w:val="auto"/>
        </w:rPr>
      </w:pPr>
      <w:r>
        <w:rPr>
          <w:rFonts w:ascii="Arial" w:cs="Arial" w:eastAsia="Arial" w:hAnsi="Arial"/>
          <w:sz w:val="32"/>
          <w:szCs w:val="32"/>
          <w:color w:val="auto"/>
        </w:rPr>
        <w:t>EVDO coverage</w:t>
      </w:r>
    </w:p>
    <w:p>
      <w:pPr>
        <w:spacing w:after="0" w:line="273"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Future investments success</w:t>
      </w:r>
    </w:p>
    <w:p>
      <w:pPr>
        <w:ind w:left="6060"/>
        <w:spacing w:after="0"/>
        <w:rPr>
          <w:sz w:val="20"/>
          <w:szCs w:val="20"/>
          <w:color w:val="auto"/>
        </w:rPr>
      </w:pPr>
      <w:r>
        <w:rPr>
          <w:rFonts w:ascii="Arial" w:cs="Arial" w:eastAsia="Arial" w:hAnsi="Arial"/>
          <w:sz w:val="32"/>
          <w:szCs w:val="32"/>
          <w:color w:val="auto"/>
        </w:rPr>
        <w:t>based or maintenance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1" w:name="page22"/>
    <w:bookmarkEnd w:id="21"/>
    <w:p>
      <w:pPr>
        <w:spacing w:after="0"/>
        <w:rPr>
          <w:sz w:val="20"/>
          <w:szCs w:val="20"/>
          <w:color w:val="auto"/>
        </w:rPr>
      </w:pPr>
      <w:r>
        <w:rPr>
          <w:rFonts w:ascii="Arial" w:cs="Arial" w:eastAsia="Arial" w:hAnsi="Arial"/>
          <w:sz w:val="35"/>
          <w:szCs w:val="35"/>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Wireline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60" w:hanging="471"/>
        <w:spacing w:after="0"/>
        <w:tabs>
          <w:tab w:leader="none" w:pos="960" w:val="left"/>
        </w:tabs>
        <w:numPr>
          <w:ilvl w:val="0"/>
          <w:numId w:val="11"/>
        </w:numPr>
        <w:rPr>
          <w:rFonts w:ascii="Arial" w:cs="Arial" w:eastAsia="Arial" w:hAnsi="Arial"/>
          <w:sz w:val="38"/>
          <w:szCs w:val="38"/>
          <w:color w:val="840039"/>
        </w:rPr>
      </w:pPr>
      <w:r>
        <w:rPr>
          <w:rFonts w:ascii="Arial" w:cs="Arial" w:eastAsia="Arial" w:hAnsi="Arial"/>
          <w:sz w:val="38"/>
          <w:szCs w:val="38"/>
          <w:color w:val="auto"/>
        </w:rPr>
        <w:t>Modest access line loss</w:t>
      </w:r>
    </w:p>
    <w:p>
      <w:pPr>
        <w:spacing w:after="0" w:line="283" w:lineRule="exact"/>
        <w:rPr>
          <w:rFonts w:ascii="Arial" w:cs="Arial" w:eastAsia="Arial" w:hAnsi="Arial"/>
          <w:sz w:val="38"/>
          <w:szCs w:val="38"/>
          <w:color w:val="840039"/>
        </w:rPr>
      </w:pPr>
    </w:p>
    <w:p>
      <w:pPr>
        <w:ind w:left="1060" w:right="1700" w:hanging="571"/>
        <w:spacing w:after="0" w:line="313" w:lineRule="auto"/>
        <w:tabs>
          <w:tab w:leader="none" w:pos="964" w:val="left"/>
        </w:tabs>
        <w:numPr>
          <w:ilvl w:val="0"/>
          <w:numId w:val="11"/>
        </w:numPr>
        <w:rPr>
          <w:rFonts w:ascii="Arial" w:cs="Arial" w:eastAsia="Arial" w:hAnsi="Arial"/>
          <w:sz w:val="34"/>
          <w:szCs w:val="34"/>
          <w:color w:val="840039"/>
        </w:rPr>
      </w:pPr>
      <w:r>
        <w:rPr>
          <w:rFonts w:ascii="Arial" w:cs="Arial" w:eastAsia="Arial" w:hAnsi="Arial"/>
          <w:sz w:val="34"/>
          <w:szCs w:val="34"/>
          <w:color w:val="auto"/>
        </w:rPr>
        <w:t>46% overall broadband penetration</w:t>
      </w:r>
    </w:p>
    <w:p>
      <w:pPr>
        <w:spacing w:after="0" w:line="133" w:lineRule="exact"/>
        <w:rPr>
          <w:rFonts w:ascii="Arial" w:cs="Arial" w:eastAsia="Arial" w:hAnsi="Arial"/>
          <w:sz w:val="34"/>
          <w:szCs w:val="34"/>
          <w:color w:val="840039"/>
        </w:rPr>
      </w:pPr>
    </w:p>
    <w:p>
      <w:pPr>
        <w:ind w:left="1060" w:right="1480" w:hanging="571"/>
        <w:spacing w:after="0" w:line="313" w:lineRule="auto"/>
        <w:tabs>
          <w:tab w:leader="none" w:pos="964" w:val="left"/>
        </w:tabs>
        <w:numPr>
          <w:ilvl w:val="0"/>
          <w:numId w:val="11"/>
        </w:numPr>
        <w:rPr>
          <w:rFonts w:ascii="Arial" w:cs="Arial" w:eastAsia="Arial" w:hAnsi="Arial"/>
          <w:sz w:val="34"/>
          <w:szCs w:val="34"/>
          <w:color w:val="840039"/>
        </w:rPr>
      </w:pPr>
      <w:r>
        <w:rPr>
          <w:rFonts w:ascii="Arial" w:cs="Arial" w:eastAsia="Arial" w:hAnsi="Arial"/>
          <w:sz w:val="34"/>
          <w:szCs w:val="34"/>
          <w:color w:val="auto"/>
        </w:rPr>
        <w:t>12% growth in DSL customers since 3/31/09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FFFFFF"/>
        </w:rPr>
        <w:t>Access lines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FFFFFF"/>
        </w:rPr>
        <w:t>Internet Customers (000s)</w:t>
      </w:r>
    </w:p>
    <w:p>
      <w:pPr>
        <w:spacing w:after="0" w:line="200" w:lineRule="exact"/>
        <w:rPr>
          <w:sz w:val="20"/>
          <w:szCs w:val="20"/>
          <w:color w:val="auto"/>
        </w:rPr>
      </w:pPr>
    </w:p>
    <w:p>
      <w:pPr>
        <w:sectPr>
          <w:pgSz w:w="11900" w:h="16838" w:orient="portrait"/>
          <w:cols w:equalWidth="0" w:num="2">
            <w:col w:w="6260" w:space="720"/>
            <w:col w:w="3700"/>
          </w:cols>
          <w:pgMar w:left="600" w:top="99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0" w:hanging="91"/>
        <w:spacing w:after="0"/>
        <w:tabs>
          <w:tab w:leader="none" w:pos="4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DSL only available within LEC area</w:t>
      </w:r>
    </w:p>
    <w:p>
      <w:pPr>
        <w:ind w:left="400" w:hanging="91"/>
        <w:spacing w:after="0" w:line="185" w:lineRule="auto"/>
        <w:tabs>
          <w:tab w:leader="none" w:pos="4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Dial-up offered inside and outside the LEC area</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386715</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Cable</w:t>
      </w:r>
    </w:p>
    <w:p>
      <w:pPr>
        <w:spacing w:after="0" w:line="200" w:lineRule="exact"/>
        <w:rPr>
          <w:sz w:val="20"/>
          <w:szCs w:val="20"/>
          <w:color w:val="auto"/>
        </w:rPr>
      </w:pPr>
    </w:p>
    <w:p>
      <w:pPr>
        <w:spacing w:after="0" w:line="385" w:lineRule="exact"/>
        <w:rPr>
          <w:sz w:val="20"/>
          <w:szCs w:val="20"/>
          <w:color w:val="auto"/>
        </w:rPr>
      </w:pPr>
    </w:p>
    <w:p>
      <w:pPr>
        <w:ind w:left="1140"/>
        <w:spacing w:after="0"/>
        <w:rPr>
          <w:sz w:val="20"/>
          <w:szCs w:val="20"/>
          <w:color w:val="auto"/>
        </w:rPr>
      </w:pPr>
      <w:r>
        <w:rPr>
          <w:rFonts w:ascii="Arial" w:cs="Arial" w:eastAsia="Arial" w:hAnsi="Arial"/>
          <w:sz w:val="19"/>
          <w:szCs w:val="19"/>
          <w:b w:val="1"/>
          <w:bCs w:val="1"/>
          <w:color w:val="FFFFFF"/>
        </w:rPr>
        <w:t>Cable Segment Net RGU Growth</w:t>
      </w:r>
    </w:p>
    <w:p>
      <w:pPr>
        <w:spacing w:after="0" w:line="162"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Upgrades continue to result in</w:t>
      </w:r>
    </w:p>
    <w:p>
      <w:pPr>
        <w:ind w:left="6060"/>
        <w:spacing w:after="0"/>
        <w:rPr>
          <w:sz w:val="20"/>
          <w:szCs w:val="20"/>
          <w:color w:val="auto"/>
        </w:rPr>
      </w:pPr>
      <w:r>
        <w:rPr>
          <w:rFonts w:ascii="Arial" w:cs="Arial" w:eastAsia="Arial" w:hAnsi="Arial"/>
          <w:sz w:val="32"/>
          <w:szCs w:val="32"/>
          <w:color w:val="auto"/>
        </w:rPr>
        <w:t>substantial RGU growth</w:t>
      </w:r>
    </w:p>
    <w:p>
      <w:pPr>
        <w:spacing w:after="0" w:line="273"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68% of homes passed</w:t>
      </w:r>
    </w:p>
    <w:p>
      <w:pPr>
        <w:ind w:left="6060"/>
        <w:spacing w:after="0"/>
        <w:rPr>
          <w:sz w:val="20"/>
          <w:szCs w:val="20"/>
          <w:color w:val="auto"/>
        </w:rPr>
      </w:pPr>
      <w:r>
        <w:rPr>
          <w:rFonts w:ascii="Arial" w:cs="Arial" w:eastAsia="Arial" w:hAnsi="Arial"/>
          <w:sz w:val="32"/>
          <w:szCs w:val="32"/>
          <w:color w:val="auto"/>
        </w:rPr>
        <w:t>upgraded in acquired markets</w:t>
      </w:r>
    </w:p>
    <w:p>
      <w:pPr>
        <w:spacing w:after="0" w:line="277"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Voice service launched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3" w:name="page24"/>
    <w:bookmarkEnd w:id="2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303"/>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26"/>
                <w:szCs w:val="26"/>
                <w:color w:val="auto"/>
              </w:rPr>
              <w:t>12/31/08</w:t>
            </w:r>
          </w:p>
        </w:tc>
        <w:tc>
          <w:tcPr>
            <w:tcW w:w="1560" w:type="dxa"/>
            <w:vAlign w:val="bottom"/>
            <w:gridSpan w:val="3"/>
          </w:tcPr>
          <w:p>
            <w:pPr>
              <w:jc w:val="right"/>
              <w:ind w:right="540"/>
              <w:spacing w:after="0"/>
              <w:rPr>
                <w:sz w:val="20"/>
                <w:szCs w:val="20"/>
                <w:color w:val="auto"/>
              </w:rPr>
            </w:pPr>
            <w:r>
              <w:rPr>
                <w:rFonts w:ascii="Arial" w:cs="Arial" w:eastAsia="Arial" w:hAnsi="Arial"/>
                <w:sz w:val="26"/>
                <w:szCs w:val="26"/>
                <w:color w:val="auto"/>
              </w:rPr>
              <w:t>3/31/09</w:t>
            </w:r>
          </w:p>
        </w:tc>
        <w:tc>
          <w:tcPr>
            <w:tcW w:w="1700" w:type="dxa"/>
            <w:vAlign w:val="bottom"/>
            <w:gridSpan w:val="3"/>
          </w:tcPr>
          <w:p>
            <w:pPr>
              <w:jc w:val="right"/>
              <w:ind w:right="220"/>
              <w:spacing w:after="0"/>
              <w:rPr>
                <w:sz w:val="20"/>
                <w:szCs w:val="20"/>
                <w:color w:val="auto"/>
              </w:rPr>
            </w:pPr>
            <w:r>
              <w:rPr>
                <w:rFonts w:ascii="Arial" w:cs="Arial" w:eastAsia="Arial" w:hAnsi="Arial"/>
                <w:sz w:val="26"/>
                <w:szCs w:val="26"/>
                <w:color w:val="auto"/>
              </w:rPr>
              <w:t>12/31/09</w:t>
            </w:r>
          </w:p>
        </w:tc>
        <w:tc>
          <w:tcPr>
            <w:tcW w:w="1020" w:type="dxa"/>
            <w:vAlign w:val="bottom"/>
            <w:gridSpan w:val="2"/>
          </w:tcPr>
          <w:p>
            <w:pPr>
              <w:jc w:val="right"/>
              <w:spacing w:after="0"/>
              <w:rPr>
                <w:sz w:val="20"/>
                <w:szCs w:val="20"/>
                <w:color w:val="auto"/>
              </w:rPr>
            </w:pPr>
            <w:r>
              <w:rPr>
                <w:rFonts w:ascii="Arial" w:cs="Arial" w:eastAsia="Arial" w:hAnsi="Arial"/>
                <w:sz w:val="26"/>
                <w:szCs w:val="26"/>
                <w:color w:val="auto"/>
              </w:rPr>
              <w:t>3/31/10</w:t>
            </w:r>
          </w:p>
        </w:tc>
      </w:tr>
      <w:tr>
        <w:trPr>
          <w:trHeight w:val="316"/>
        </w:trPr>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26"/>
                <w:szCs w:val="26"/>
                <w:color w:val="auto"/>
                <w:w w:val="90"/>
              </w:rPr>
              <w:t>Video</w:t>
            </w:r>
          </w:p>
        </w:tc>
        <w:tc>
          <w:tcPr>
            <w:tcW w:w="20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364"/>
        </w:trPr>
        <w:tc>
          <w:tcPr>
            <w:tcW w:w="2660" w:type="dxa"/>
            <w:vAlign w:val="bottom"/>
            <w:gridSpan w:val="4"/>
          </w:tcPr>
          <w:p>
            <w:pPr>
              <w:ind w:left="240"/>
              <w:spacing w:after="0"/>
              <w:rPr>
                <w:sz w:val="20"/>
                <w:szCs w:val="20"/>
                <w:color w:val="auto"/>
              </w:rPr>
            </w:pPr>
            <w:r>
              <w:rPr>
                <w:rFonts w:ascii="Arial" w:cs="Arial" w:eastAsia="Arial" w:hAnsi="Arial"/>
                <w:sz w:val="26"/>
                <w:szCs w:val="26"/>
                <w:color w:val="auto"/>
              </w:rPr>
              <w:t>Homes Passed</w:t>
            </w:r>
          </w:p>
        </w:tc>
        <w:tc>
          <w:tcPr>
            <w:tcW w:w="1780" w:type="dxa"/>
            <w:vAlign w:val="bottom"/>
            <w:gridSpan w:val="3"/>
          </w:tcPr>
          <w:p>
            <w:pPr>
              <w:jc w:val="right"/>
              <w:ind w:right="240"/>
              <w:spacing w:after="0"/>
              <w:rPr>
                <w:sz w:val="20"/>
                <w:szCs w:val="20"/>
                <w:color w:val="auto"/>
              </w:rPr>
            </w:pPr>
            <w:r>
              <w:rPr>
                <w:rFonts w:ascii="Arial" w:cs="Arial" w:eastAsia="Arial" w:hAnsi="Arial"/>
                <w:sz w:val="26"/>
                <w:szCs w:val="26"/>
                <w:color w:val="auto"/>
              </w:rPr>
              <w:t>64,365</w:t>
            </w:r>
          </w:p>
        </w:tc>
        <w:tc>
          <w:tcPr>
            <w:tcW w:w="1560" w:type="dxa"/>
            <w:vAlign w:val="bottom"/>
            <w:gridSpan w:val="3"/>
          </w:tcPr>
          <w:p>
            <w:pPr>
              <w:jc w:val="right"/>
              <w:ind w:right="540"/>
              <w:spacing w:after="0"/>
              <w:rPr>
                <w:sz w:val="20"/>
                <w:szCs w:val="20"/>
                <w:color w:val="auto"/>
              </w:rPr>
            </w:pPr>
            <w:r>
              <w:rPr>
                <w:rFonts w:ascii="Arial" w:cs="Arial" w:eastAsia="Arial" w:hAnsi="Arial"/>
                <w:sz w:val="26"/>
                <w:szCs w:val="26"/>
                <w:color w:val="auto"/>
              </w:rPr>
              <w:t>64,365</w:t>
            </w:r>
          </w:p>
        </w:tc>
        <w:tc>
          <w:tcPr>
            <w:tcW w:w="1700" w:type="dxa"/>
            <w:vAlign w:val="bottom"/>
            <w:gridSpan w:val="3"/>
          </w:tcPr>
          <w:p>
            <w:pPr>
              <w:jc w:val="right"/>
              <w:ind w:right="220"/>
              <w:spacing w:after="0"/>
              <w:rPr>
                <w:sz w:val="20"/>
                <w:szCs w:val="20"/>
                <w:color w:val="auto"/>
              </w:rPr>
            </w:pPr>
            <w:r>
              <w:rPr>
                <w:rFonts w:ascii="Arial" w:cs="Arial" w:eastAsia="Arial" w:hAnsi="Arial"/>
                <w:sz w:val="26"/>
                <w:szCs w:val="26"/>
                <w:color w:val="auto"/>
              </w:rPr>
              <w:t>56,268</w:t>
            </w:r>
          </w:p>
        </w:tc>
        <w:tc>
          <w:tcPr>
            <w:tcW w:w="1020" w:type="dxa"/>
            <w:vAlign w:val="bottom"/>
            <w:gridSpan w:val="2"/>
          </w:tcPr>
          <w:p>
            <w:pPr>
              <w:jc w:val="right"/>
              <w:spacing w:after="0"/>
              <w:rPr>
                <w:sz w:val="20"/>
                <w:szCs w:val="20"/>
                <w:color w:val="auto"/>
              </w:rPr>
            </w:pPr>
            <w:r>
              <w:rPr>
                <w:rFonts w:ascii="Arial" w:cs="Arial" w:eastAsia="Arial" w:hAnsi="Arial"/>
                <w:sz w:val="26"/>
                <w:szCs w:val="26"/>
                <w:color w:val="auto"/>
              </w:rPr>
              <w:t>56,268</w:t>
            </w:r>
          </w:p>
        </w:tc>
      </w:tr>
      <w:tr>
        <w:trPr>
          <w:trHeight w:val="336"/>
        </w:trPr>
        <w:tc>
          <w:tcPr>
            <w:tcW w:w="2660" w:type="dxa"/>
            <w:vAlign w:val="bottom"/>
            <w:gridSpan w:val="4"/>
          </w:tcPr>
          <w:p>
            <w:pPr>
              <w:ind w:left="240"/>
              <w:spacing w:after="0"/>
              <w:rPr>
                <w:sz w:val="20"/>
                <w:szCs w:val="20"/>
                <w:color w:val="auto"/>
              </w:rPr>
            </w:pPr>
            <w:r>
              <w:rPr>
                <w:rFonts w:ascii="Arial" w:cs="Arial" w:eastAsia="Arial" w:hAnsi="Arial"/>
                <w:sz w:val="26"/>
                <w:szCs w:val="26"/>
                <w:color w:val="auto"/>
              </w:rPr>
              <w:t>Penetration</w:t>
            </w:r>
          </w:p>
        </w:tc>
        <w:tc>
          <w:tcPr>
            <w:tcW w:w="1780" w:type="dxa"/>
            <w:vAlign w:val="bottom"/>
            <w:gridSpan w:val="3"/>
          </w:tcPr>
          <w:p>
            <w:pPr>
              <w:jc w:val="right"/>
              <w:ind w:right="240"/>
              <w:spacing w:after="0"/>
              <w:rPr>
                <w:sz w:val="20"/>
                <w:szCs w:val="20"/>
                <w:color w:val="auto"/>
              </w:rPr>
            </w:pPr>
            <w:r>
              <w:rPr>
                <w:rFonts w:ascii="Arial" w:cs="Arial" w:eastAsia="Arial" w:hAnsi="Arial"/>
                <w:sz w:val="26"/>
                <w:szCs w:val="26"/>
                <w:color w:val="auto"/>
              </w:rPr>
              <w:t>38.70%</w:t>
            </w:r>
          </w:p>
        </w:tc>
        <w:tc>
          <w:tcPr>
            <w:tcW w:w="1020" w:type="dxa"/>
            <w:vAlign w:val="bottom"/>
            <w:gridSpan w:val="2"/>
          </w:tcPr>
          <w:p>
            <w:pPr>
              <w:jc w:val="right"/>
              <w:spacing w:after="0"/>
              <w:rPr>
                <w:sz w:val="20"/>
                <w:szCs w:val="20"/>
                <w:color w:val="auto"/>
              </w:rPr>
            </w:pPr>
            <w:r>
              <w:rPr>
                <w:rFonts w:ascii="Arial" w:cs="Arial" w:eastAsia="Arial" w:hAnsi="Arial"/>
                <w:sz w:val="26"/>
                <w:szCs w:val="26"/>
                <w:color w:val="auto"/>
              </w:rPr>
              <w:t>38.50%</w:t>
            </w:r>
          </w:p>
        </w:tc>
        <w:tc>
          <w:tcPr>
            <w:tcW w:w="540" w:type="dxa"/>
            <w:vAlign w:val="bottom"/>
          </w:tcPr>
          <w:p>
            <w:pPr>
              <w:spacing w:after="0"/>
              <w:rPr>
                <w:sz w:val="24"/>
                <w:szCs w:val="24"/>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26"/>
                <w:szCs w:val="26"/>
                <w:color w:val="auto"/>
              </w:rPr>
              <w:t>40.50%</w:t>
            </w:r>
          </w:p>
        </w:tc>
        <w:tc>
          <w:tcPr>
            <w:tcW w:w="1020" w:type="dxa"/>
            <w:vAlign w:val="bottom"/>
            <w:gridSpan w:val="2"/>
          </w:tcPr>
          <w:p>
            <w:pPr>
              <w:jc w:val="right"/>
              <w:spacing w:after="0"/>
              <w:rPr>
                <w:sz w:val="20"/>
                <w:szCs w:val="20"/>
                <w:color w:val="auto"/>
              </w:rPr>
            </w:pPr>
            <w:r>
              <w:rPr>
                <w:rFonts w:ascii="Arial" w:cs="Arial" w:eastAsia="Arial" w:hAnsi="Arial"/>
                <w:sz w:val="26"/>
                <w:szCs w:val="26"/>
                <w:color w:val="auto"/>
              </w:rPr>
              <w:t>41.30%</w:t>
            </w:r>
          </w:p>
        </w:tc>
      </w:tr>
      <w:tr>
        <w:trPr>
          <w:trHeight w:val="288"/>
        </w:trPr>
        <w:tc>
          <w:tcPr>
            <w:tcW w:w="2660" w:type="dxa"/>
            <w:vAlign w:val="bottom"/>
            <w:gridSpan w:val="4"/>
          </w:tcPr>
          <w:p>
            <w:pPr>
              <w:spacing w:after="0" w:line="285" w:lineRule="exact"/>
              <w:rPr>
                <w:sz w:val="20"/>
                <w:szCs w:val="20"/>
                <w:color w:val="auto"/>
              </w:rPr>
            </w:pPr>
            <w:r>
              <w:rPr>
                <w:rFonts w:ascii="Arial" w:cs="Arial" w:eastAsia="Arial" w:hAnsi="Arial"/>
                <w:sz w:val="26"/>
                <w:szCs w:val="26"/>
                <w:color w:val="auto"/>
              </w:rPr>
              <w:t>High-speed Internet</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4"/>
        </w:trPr>
        <w:tc>
          <w:tcPr>
            <w:tcW w:w="2040" w:type="dxa"/>
            <w:vAlign w:val="bottom"/>
            <w:tcBorders>
              <w:top w:val="single" w:sz="8" w:color="auto"/>
            </w:tcBorders>
            <w:gridSpan w:val="3"/>
          </w:tcPr>
          <w:p>
            <w:pPr>
              <w:ind w:left="240"/>
              <w:spacing w:after="0"/>
              <w:rPr>
                <w:sz w:val="20"/>
                <w:szCs w:val="20"/>
                <w:color w:val="auto"/>
              </w:rPr>
            </w:pPr>
            <w:r>
              <w:rPr>
                <w:rFonts w:ascii="Arial" w:cs="Arial" w:eastAsia="Arial" w:hAnsi="Arial"/>
                <w:sz w:val="26"/>
                <w:szCs w:val="26"/>
                <w:color w:val="auto"/>
                <w:w w:val="91"/>
              </w:rPr>
              <w:t>Available Homes</w:t>
            </w:r>
          </w:p>
        </w:tc>
        <w:tc>
          <w:tcPr>
            <w:tcW w:w="620" w:type="dxa"/>
            <w:vAlign w:val="bottom"/>
          </w:tcPr>
          <w:p>
            <w:pPr>
              <w:spacing w:after="0"/>
              <w:rPr>
                <w:sz w:val="24"/>
                <w:szCs w:val="24"/>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26"/>
                <w:szCs w:val="26"/>
                <w:color w:val="auto"/>
              </w:rPr>
              <w:t>19,405</w:t>
            </w:r>
          </w:p>
        </w:tc>
        <w:tc>
          <w:tcPr>
            <w:tcW w:w="1560" w:type="dxa"/>
            <w:vAlign w:val="bottom"/>
            <w:gridSpan w:val="3"/>
          </w:tcPr>
          <w:p>
            <w:pPr>
              <w:jc w:val="right"/>
              <w:ind w:right="540"/>
              <w:spacing w:after="0"/>
              <w:rPr>
                <w:sz w:val="20"/>
                <w:szCs w:val="20"/>
                <w:color w:val="auto"/>
              </w:rPr>
            </w:pPr>
            <w:r>
              <w:rPr>
                <w:rFonts w:ascii="Arial" w:cs="Arial" w:eastAsia="Arial" w:hAnsi="Arial"/>
                <w:sz w:val="26"/>
                <w:szCs w:val="26"/>
                <w:color w:val="auto"/>
              </w:rPr>
              <w:t>19,405</w:t>
            </w:r>
          </w:p>
        </w:tc>
        <w:tc>
          <w:tcPr>
            <w:tcW w:w="1700" w:type="dxa"/>
            <w:vAlign w:val="bottom"/>
            <w:gridSpan w:val="3"/>
          </w:tcPr>
          <w:p>
            <w:pPr>
              <w:jc w:val="right"/>
              <w:ind w:right="220"/>
              <w:spacing w:after="0"/>
              <w:rPr>
                <w:sz w:val="20"/>
                <w:szCs w:val="20"/>
                <w:color w:val="auto"/>
              </w:rPr>
            </w:pPr>
            <w:r>
              <w:rPr>
                <w:rFonts w:ascii="Arial" w:cs="Arial" w:eastAsia="Arial" w:hAnsi="Arial"/>
                <w:sz w:val="26"/>
                <w:szCs w:val="26"/>
                <w:color w:val="auto"/>
              </w:rPr>
              <w:t>25,748</w:t>
            </w:r>
          </w:p>
        </w:tc>
        <w:tc>
          <w:tcPr>
            <w:tcW w:w="1020" w:type="dxa"/>
            <w:vAlign w:val="bottom"/>
            <w:gridSpan w:val="2"/>
          </w:tcPr>
          <w:p>
            <w:pPr>
              <w:jc w:val="right"/>
              <w:spacing w:after="0"/>
              <w:rPr>
                <w:sz w:val="20"/>
                <w:szCs w:val="20"/>
                <w:color w:val="auto"/>
              </w:rPr>
            </w:pPr>
            <w:r>
              <w:rPr>
                <w:rFonts w:ascii="Arial" w:cs="Arial" w:eastAsia="Arial" w:hAnsi="Arial"/>
                <w:sz w:val="26"/>
                <w:szCs w:val="26"/>
                <w:color w:val="auto"/>
              </w:rPr>
              <w:t>27,522</w:t>
            </w:r>
          </w:p>
        </w:tc>
      </w:tr>
      <w:tr>
        <w:trPr>
          <w:trHeight w:val="336"/>
        </w:trPr>
        <w:tc>
          <w:tcPr>
            <w:tcW w:w="2660" w:type="dxa"/>
            <w:vAlign w:val="bottom"/>
            <w:gridSpan w:val="4"/>
          </w:tcPr>
          <w:p>
            <w:pPr>
              <w:ind w:left="240"/>
              <w:spacing w:after="0"/>
              <w:rPr>
                <w:sz w:val="20"/>
                <w:szCs w:val="20"/>
                <w:color w:val="auto"/>
              </w:rPr>
            </w:pPr>
            <w:r>
              <w:rPr>
                <w:rFonts w:ascii="Arial" w:cs="Arial" w:eastAsia="Arial" w:hAnsi="Arial"/>
                <w:sz w:val="26"/>
                <w:szCs w:val="26"/>
                <w:color w:val="auto"/>
              </w:rPr>
              <w:t>Penetration</w:t>
            </w:r>
          </w:p>
        </w:tc>
        <w:tc>
          <w:tcPr>
            <w:tcW w:w="1780" w:type="dxa"/>
            <w:vAlign w:val="bottom"/>
            <w:gridSpan w:val="3"/>
          </w:tcPr>
          <w:p>
            <w:pPr>
              <w:jc w:val="right"/>
              <w:ind w:right="240"/>
              <w:spacing w:after="0"/>
              <w:rPr>
                <w:sz w:val="20"/>
                <w:szCs w:val="20"/>
                <w:color w:val="auto"/>
              </w:rPr>
            </w:pPr>
            <w:r>
              <w:rPr>
                <w:rFonts w:ascii="Arial" w:cs="Arial" w:eastAsia="Arial" w:hAnsi="Arial"/>
                <w:sz w:val="26"/>
                <w:szCs w:val="26"/>
                <w:color w:val="auto"/>
              </w:rPr>
              <w:t>5.80%</w:t>
            </w:r>
          </w:p>
        </w:tc>
        <w:tc>
          <w:tcPr>
            <w:tcW w:w="1560" w:type="dxa"/>
            <w:vAlign w:val="bottom"/>
            <w:gridSpan w:val="3"/>
          </w:tcPr>
          <w:p>
            <w:pPr>
              <w:jc w:val="right"/>
              <w:ind w:right="540"/>
              <w:spacing w:after="0"/>
              <w:rPr>
                <w:sz w:val="20"/>
                <w:szCs w:val="20"/>
                <w:color w:val="auto"/>
              </w:rPr>
            </w:pPr>
            <w:r>
              <w:rPr>
                <w:rFonts w:ascii="Arial" w:cs="Arial" w:eastAsia="Arial" w:hAnsi="Arial"/>
                <w:sz w:val="26"/>
                <w:szCs w:val="26"/>
                <w:color w:val="auto"/>
              </w:rPr>
              <w:t>6.20%</w:t>
            </w:r>
          </w:p>
        </w:tc>
        <w:tc>
          <w:tcPr>
            <w:tcW w:w="1700" w:type="dxa"/>
            <w:vAlign w:val="bottom"/>
            <w:gridSpan w:val="3"/>
          </w:tcPr>
          <w:p>
            <w:pPr>
              <w:jc w:val="right"/>
              <w:ind w:right="220"/>
              <w:spacing w:after="0"/>
              <w:rPr>
                <w:sz w:val="20"/>
                <w:szCs w:val="20"/>
                <w:color w:val="auto"/>
              </w:rPr>
            </w:pPr>
            <w:r>
              <w:rPr>
                <w:rFonts w:ascii="Arial" w:cs="Arial" w:eastAsia="Arial" w:hAnsi="Arial"/>
                <w:sz w:val="26"/>
                <w:szCs w:val="26"/>
                <w:color w:val="auto"/>
              </w:rPr>
              <w:t>8.10%</w:t>
            </w:r>
          </w:p>
        </w:tc>
        <w:tc>
          <w:tcPr>
            <w:tcW w:w="1020" w:type="dxa"/>
            <w:vAlign w:val="bottom"/>
            <w:gridSpan w:val="2"/>
          </w:tcPr>
          <w:p>
            <w:pPr>
              <w:jc w:val="right"/>
              <w:spacing w:after="0"/>
              <w:rPr>
                <w:sz w:val="20"/>
                <w:szCs w:val="20"/>
                <w:color w:val="auto"/>
              </w:rPr>
            </w:pPr>
            <w:r>
              <w:rPr>
                <w:rFonts w:ascii="Arial" w:cs="Arial" w:eastAsia="Arial" w:hAnsi="Arial"/>
                <w:sz w:val="26"/>
                <w:szCs w:val="26"/>
                <w:color w:val="auto"/>
              </w:rPr>
              <w:t>10.10%</w:t>
            </w:r>
          </w:p>
        </w:tc>
      </w:tr>
      <w:tr>
        <w:trPr>
          <w:trHeight w:val="288"/>
        </w:trPr>
        <w:tc>
          <w:tcPr>
            <w:tcW w:w="580" w:type="dxa"/>
            <w:vAlign w:val="bottom"/>
            <w:tcBorders>
              <w:bottom w:val="single" w:sz="8" w:color="auto"/>
            </w:tcBorders>
          </w:tcPr>
          <w:p>
            <w:pPr>
              <w:spacing w:after="0" w:line="285" w:lineRule="exact"/>
              <w:rPr>
                <w:sz w:val="20"/>
                <w:szCs w:val="20"/>
                <w:color w:val="auto"/>
              </w:rPr>
            </w:pPr>
            <w:r>
              <w:rPr>
                <w:rFonts w:ascii="Arial" w:cs="Arial" w:eastAsia="Arial" w:hAnsi="Arial"/>
                <w:sz w:val="26"/>
                <w:szCs w:val="26"/>
                <w:color w:val="auto"/>
                <w:w w:val="86"/>
              </w:rPr>
              <w:t>Voice</w:t>
            </w:r>
          </w:p>
        </w:tc>
        <w:tc>
          <w:tcPr>
            <w:tcW w:w="20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4"/>
        </w:trPr>
        <w:tc>
          <w:tcPr>
            <w:tcW w:w="2660" w:type="dxa"/>
            <w:vAlign w:val="bottom"/>
            <w:gridSpan w:val="4"/>
          </w:tcPr>
          <w:p>
            <w:pPr>
              <w:ind w:left="240"/>
              <w:spacing w:after="0"/>
              <w:rPr>
                <w:sz w:val="20"/>
                <w:szCs w:val="20"/>
                <w:color w:val="auto"/>
              </w:rPr>
            </w:pPr>
            <w:r>
              <w:rPr>
                <w:rFonts w:ascii="Arial" w:cs="Arial" w:eastAsia="Arial" w:hAnsi="Arial"/>
                <w:sz w:val="26"/>
                <w:szCs w:val="26"/>
                <w:color w:val="auto"/>
              </w:rPr>
              <w:t>Available Homes</w:t>
            </w:r>
          </w:p>
        </w:tc>
        <w:tc>
          <w:tcPr>
            <w:tcW w:w="1780" w:type="dxa"/>
            <w:vAlign w:val="bottom"/>
            <w:gridSpan w:val="3"/>
          </w:tcPr>
          <w:p>
            <w:pPr>
              <w:jc w:val="right"/>
              <w:ind w:right="240"/>
              <w:spacing w:after="0"/>
              <w:rPr>
                <w:sz w:val="20"/>
                <w:szCs w:val="20"/>
                <w:color w:val="auto"/>
              </w:rPr>
            </w:pPr>
            <w:r>
              <w:rPr>
                <w:rFonts w:ascii="Arial" w:cs="Arial" w:eastAsia="Arial" w:hAnsi="Arial"/>
                <w:sz w:val="26"/>
                <w:szCs w:val="26"/>
                <w:color w:val="auto"/>
              </w:rPr>
              <w:t>-</w:t>
            </w:r>
          </w:p>
        </w:tc>
        <w:tc>
          <w:tcPr>
            <w:tcW w:w="1560" w:type="dxa"/>
            <w:vAlign w:val="bottom"/>
            <w:gridSpan w:val="3"/>
          </w:tcPr>
          <w:p>
            <w:pPr>
              <w:jc w:val="right"/>
              <w:ind w:right="540"/>
              <w:spacing w:after="0"/>
              <w:rPr>
                <w:sz w:val="20"/>
                <w:szCs w:val="20"/>
                <w:color w:val="auto"/>
              </w:rPr>
            </w:pPr>
            <w:r>
              <w:rPr>
                <w:rFonts w:ascii="Arial" w:cs="Arial" w:eastAsia="Arial" w:hAnsi="Arial"/>
                <w:sz w:val="26"/>
                <w:szCs w:val="26"/>
                <w:color w:val="auto"/>
              </w:rPr>
              <w:t>-</w:t>
            </w:r>
          </w:p>
        </w:tc>
        <w:tc>
          <w:tcPr>
            <w:tcW w:w="1700" w:type="dxa"/>
            <w:vAlign w:val="bottom"/>
            <w:gridSpan w:val="3"/>
          </w:tcPr>
          <w:p>
            <w:pPr>
              <w:jc w:val="right"/>
              <w:ind w:right="220"/>
              <w:spacing w:after="0"/>
              <w:rPr>
                <w:sz w:val="20"/>
                <w:szCs w:val="20"/>
                <w:color w:val="auto"/>
              </w:rPr>
            </w:pPr>
            <w:r>
              <w:rPr>
                <w:rFonts w:ascii="Arial" w:cs="Arial" w:eastAsia="Arial" w:hAnsi="Arial"/>
                <w:sz w:val="26"/>
                <w:szCs w:val="26"/>
                <w:color w:val="auto"/>
              </w:rPr>
              <w:t>-</w:t>
            </w:r>
          </w:p>
        </w:tc>
        <w:tc>
          <w:tcPr>
            <w:tcW w:w="1020" w:type="dxa"/>
            <w:vAlign w:val="bottom"/>
            <w:gridSpan w:val="2"/>
          </w:tcPr>
          <w:p>
            <w:pPr>
              <w:jc w:val="right"/>
              <w:spacing w:after="0"/>
              <w:rPr>
                <w:sz w:val="20"/>
                <w:szCs w:val="20"/>
                <w:color w:val="auto"/>
              </w:rPr>
            </w:pPr>
            <w:r>
              <w:rPr>
                <w:rFonts w:ascii="Arial" w:cs="Arial" w:eastAsia="Arial" w:hAnsi="Arial"/>
                <w:sz w:val="26"/>
                <w:szCs w:val="26"/>
                <w:color w:val="auto"/>
              </w:rPr>
              <w:t>6,355</w:t>
            </w:r>
          </w:p>
        </w:tc>
      </w:tr>
      <w:tr>
        <w:trPr>
          <w:trHeight w:val="336"/>
        </w:trPr>
        <w:tc>
          <w:tcPr>
            <w:tcW w:w="2660" w:type="dxa"/>
            <w:vAlign w:val="bottom"/>
            <w:gridSpan w:val="4"/>
          </w:tcPr>
          <w:p>
            <w:pPr>
              <w:ind w:left="240"/>
              <w:spacing w:after="0"/>
              <w:rPr>
                <w:sz w:val="20"/>
                <w:szCs w:val="20"/>
                <w:color w:val="auto"/>
              </w:rPr>
            </w:pPr>
            <w:r>
              <w:rPr>
                <w:rFonts w:ascii="Arial" w:cs="Arial" w:eastAsia="Arial" w:hAnsi="Arial"/>
                <w:sz w:val="26"/>
                <w:szCs w:val="26"/>
                <w:color w:val="auto"/>
              </w:rPr>
              <w:t>Penetration</w:t>
            </w: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26"/>
                <w:szCs w:val="26"/>
                <w:color w:val="auto"/>
              </w:rPr>
              <w:t>n/a</w:t>
            </w:r>
          </w:p>
        </w:tc>
        <w:tc>
          <w:tcPr>
            <w:tcW w:w="24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Arial" w:cs="Arial" w:eastAsia="Arial" w:hAnsi="Arial"/>
                <w:sz w:val="26"/>
                <w:szCs w:val="26"/>
                <w:color w:val="auto"/>
              </w:rPr>
              <w:t>n/a</w:t>
            </w:r>
          </w:p>
        </w:tc>
        <w:tc>
          <w:tcPr>
            <w:tcW w:w="560" w:type="dxa"/>
            <w:vAlign w:val="bottom"/>
          </w:tcPr>
          <w:p>
            <w:pPr>
              <w:spacing w:after="0"/>
              <w:rPr>
                <w:sz w:val="24"/>
                <w:szCs w:val="24"/>
                <w:color w:val="auto"/>
              </w:rPr>
            </w:pPr>
          </w:p>
        </w:tc>
        <w:tc>
          <w:tcPr>
            <w:tcW w:w="1140" w:type="dxa"/>
            <w:vAlign w:val="bottom"/>
            <w:gridSpan w:val="2"/>
          </w:tcPr>
          <w:p>
            <w:pPr>
              <w:ind w:left="600"/>
              <w:spacing w:after="0"/>
              <w:rPr>
                <w:sz w:val="20"/>
                <w:szCs w:val="20"/>
                <w:color w:val="auto"/>
              </w:rPr>
            </w:pPr>
            <w:r>
              <w:rPr>
                <w:rFonts w:ascii="Arial" w:cs="Arial" w:eastAsia="Arial" w:hAnsi="Arial"/>
                <w:sz w:val="26"/>
                <w:szCs w:val="26"/>
                <w:color w:val="auto"/>
              </w:rPr>
              <w:t>n/a</w:t>
            </w:r>
          </w:p>
        </w:tc>
        <w:tc>
          <w:tcPr>
            <w:tcW w:w="1020" w:type="dxa"/>
            <w:vAlign w:val="bottom"/>
            <w:gridSpan w:val="2"/>
          </w:tcPr>
          <w:p>
            <w:pPr>
              <w:jc w:val="right"/>
              <w:spacing w:after="0"/>
              <w:rPr>
                <w:sz w:val="20"/>
                <w:szCs w:val="20"/>
                <w:color w:val="auto"/>
              </w:rPr>
            </w:pPr>
            <w:r>
              <w:rPr>
                <w:rFonts w:ascii="Arial" w:cs="Arial" w:eastAsia="Arial" w:hAnsi="Arial"/>
                <w:sz w:val="26"/>
                <w:szCs w:val="26"/>
                <w:color w:val="auto"/>
              </w:rPr>
              <w:t>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4" w:name="page25"/>
    <w:bookmarkEnd w:id="24"/>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Investing in the Future</w:t>
      </w:r>
    </w:p>
    <w:p>
      <w:pPr>
        <w:spacing w:after="0" w:line="312"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FFFFFF"/>
        </w:rPr>
        <w:t>Capex Spending</w:t>
      </w:r>
    </w:p>
    <w:p>
      <w:pPr>
        <w:spacing w:after="0" w:line="200" w:lineRule="exact"/>
        <w:rPr>
          <w:sz w:val="20"/>
          <w:szCs w:val="20"/>
          <w:color w:val="auto"/>
        </w:rPr>
      </w:pPr>
    </w:p>
    <w:p>
      <w:pPr>
        <w:spacing w:after="0" w:line="201"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Wireless expansion slows to</w:t>
      </w:r>
    </w:p>
    <w:p>
      <w:pPr>
        <w:ind w:left="6060"/>
        <w:spacing w:after="0" w:line="219" w:lineRule="auto"/>
        <w:rPr>
          <w:sz w:val="20"/>
          <w:szCs w:val="20"/>
          <w:color w:val="auto"/>
        </w:rPr>
      </w:pPr>
      <w:r>
        <w:rPr>
          <w:rFonts w:ascii="Arial" w:cs="Arial" w:eastAsia="Arial" w:hAnsi="Arial"/>
          <w:sz w:val="32"/>
          <w:szCs w:val="32"/>
          <w:color w:val="auto"/>
        </w:rPr>
        <w:t>success-based coverage &amp;</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32"/>
          <w:szCs w:val="32"/>
          <w:color w:val="auto"/>
        </w:rPr>
        <w:t>capacity adds in 2010</w:t>
      </w:r>
    </w:p>
    <w:p>
      <w:pPr>
        <w:spacing w:after="0" w:line="273"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Complete program to increase</w:t>
      </w:r>
    </w:p>
    <w:p>
      <w:pPr>
        <w:ind w:left="6060"/>
        <w:spacing w:after="0" w:line="219" w:lineRule="auto"/>
        <w:rPr>
          <w:sz w:val="20"/>
          <w:szCs w:val="20"/>
          <w:color w:val="auto"/>
        </w:rPr>
      </w:pPr>
      <w:r>
        <w:rPr>
          <w:rFonts w:ascii="Arial" w:cs="Arial" w:eastAsia="Arial" w:hAnsi="Arial"/>
          <w:sz w:val="32"/>
          <w:szCs w:val="32"/>
          <w:color w:val="auto"/>
        </w:rPr>
        <w:t>broadband speeds to 10 MB+</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32"/>
          <w:szCs w:val="32"/>
          <w:color w:val="auto"/>
        </w:rPr>
        <w:t>in LEC area</w:t>
      </w:r>
    </w:p>
    <w:p>
      <w:pPr>
        <w:spacing w:after="0" w:line="285"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Increased miles and capacity</w:t>
      </w:r>
    </w:p>
    <w:p>
      <w:pPr>
        <w:ind w:left="6060"/>
        <w:spacing w:after="0"/>
        <w:rPr>
          <w:sz w:val="20"/>
          <w:szCs w:val="20"/>
          <w:color w:val="auto"/>
        </w:rPr>
      </w:pPr>
      <w:r>
        <w:rPr>
          <w:rFonts w:ascii="Arial" w:cs="Arial" w:eastAsia="Arial" w:hAnsi="Arial"/>
          <w:sz w:val="32"/>
          <w:szCs w:val="32"/>
          <w:color w:val="auto"/>
        </w:rPr>
        <w:t>of fiber</w:t>
      </w:r>
    </w:p>
    <w:p>
      <w:pPr>
        <w:spacing w:after="0" w:line="285"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Complete upgrade of existing</w:t>
      </w:r>
    </w:p>
    <w:p>
      <w:pPr>
        <w:ind w:left="6060"/>
        <w:spacing w:after="0" w:line="219" w:lineRule="auto"/>
        <w:rPr>
          <w:sz w:val="20"/>
          <w:szCs w:val="20"/>
          <w:color w:val="auto"/>
        </w:rPr>
      </w:pPr>
      <w:r>
        <w:rPr>
          <w:rFonts w:ascii="Arial" w:cs="Arial" w:eastAsia="Arial" w:hAnsi="Arial"/>
          <w:sz w:val="32"/>
          <w:szCs w:val="32"/>
          <w:color w:val="auto"/>
        </w:rPr>
        <w:t>cable systems to 2-way to</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32"/>
          <w:szCs w:val="32"/>
          <w:color w:val="auto"/>
        </w:rPr>
        <w:t>provide triple play of services</w:t>
      </w:r>
    </w:p>
    <w:p>
      <w:pPr>
        <w:spacing w:after="0" w:line="289"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Initial JetBB upgrades</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60"/>
        <w:spacing w:after="0"/>
        <w:rPr>
          <w:sz w:val="20"/>
          <w:szCs w:val="20"/>
          <w:color w:val="auto"/>
        </w:rPr>
      </w:pPr>
      <w:r>
        <w:rPr>
          <w:rFonts w:ascii="Arial" w:cs="Arial" w:eastAsia="Arial" w:hAnsi="Arial"/>
          <w:sz w:val="160"/>
          <w:szCs w:val="160"/>
          <w:b w:val="1"/>
          <w:bCs w:val="1"/>
          <w:color w:val="840039"/>
        </w:rPr>
        <w:t>Q&amp;A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20"/>
        <w:spacing w:after="0"/>
        <w:rPr>
          <w:sz w:val="20"/>
          <w:szCs w:val="20"/>
          <w:color w:val="auto"/>
        </w:rPr>
      </w:pPr>
      <w:r>
        <w:rPr>
          <w:rFonts w:ascii="Arial" w:cs="Arial" w:eastAsia="Arial" w:hAnsi="Arial"/>
          <w:sz w:val="58"/>
          <w:szCs w:val="58"/>
          <w:b w:val="1"/>
          <w:bCs w:val="1"/>
          <w:color w:val="840039"/>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Non-GAAP Financial Measure - Billed Revenue per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660" w:type="dxa"/>
        <w:tblCellMar>
          <w:top w:w="0" w:type="dxa"/>
          <w:left w:w="0" w:type="dxa"/>
          <w:bottom w:w="0" w:type="dxa"/>
          <w:right w:w="0" w:type="dxa"/>
        </w:tblCellMar>
      </w:tblPr>
      <w:tr>
        <w:trPr>
          <w:trHeight w:val="182"/>
        </w:trPr>
        <w:tc>
          <w:tcPr>
            <w:tcW w:w="45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subscribers and revenue per subscriber)</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6"/>
        </w:trPr>
        <w:tc>
          <w:tcPr>
            <w:tcW w:w="14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1Q '09</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1Q '10</w:t>
            </w:r>
          </w:p>
        </w:tc>
      </w:tr>
      <w:tr>
        <w:trPr>
          <w:trHeight w:val="268"/>
        </w:trPr>
        <w:tc>
          <w:tcPr>
            <w:tcW w:w="4520" w:type="dxa"/>
            <w:vAlign w:val="bottom"/>
            <w:gridSpan w:val="2"/>
          </w:tcPr>
          <w:p>
            <w:pPr>
              <w:spacing w:after="0"/>
              <w:rPr>
                <w:sz w:val="20"/>
                <w:szCs w:val="20"/>
                <w:color w:val="auto"/>
              </w:rPr>
            </w:pPr>
            <w:r>
              <w:rPr>
                <w:rFonts w:ascii="Arial" w:cs="Arial" w:eastAsia="Arial" w:hAnsi="Arial"/>
                <w:sz w:val="18"/>
                <w:szCs w:val="18"/>
                <w:color w:val="auto"/>
              </w:rPr>
              <w:t>Gross billed revenue</w:t>
            </w:r>
          </w:p>
        </w:tc>
        <w:tc>
          <w:tcPr>
            <w:tcW w:w="44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r>
      <w:tr>
        <w:trPr>
          <w:trHeight w:val="597"/>
        </w:trPr>
        <w:tc>
          <w:tcPr>
            <w:tcW w:w="4520" w:type="dxa"/>
            <w:vAlign w:val="bottom"/>
            <w:gridSpan w:val="2"/>
          </w:tcPr>
          <w:p>
            <w:pPr>
              <w:spacing w:after="0"/>
              <w:rPr>
                <w:sz w:val="20"/>
                <w:szCs w:val="20"/>
                <w:color w:val="auto"/>
              </w:rPr>
            </w:pPr>
            <w:r>
              <w:rPr>
                <w:rFonts w:ascii="Arial" w:cs="Arial" w:eastAsia="Arial" w:hAnsi="Arial"/>
                <w:sz w:val="18"/>
                <w:szCs w:val="18"/>
                <w:color w:val="auto"/>
              </w:rPr>
              <w:t>Wireless segment total operating revenues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$28,804</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$30,233</w:t>
            </w:r>
          </w:p>
        </w:tc>
      </w:tr>
      <w:tr>
        <w:trPr>
          <w:trHeight w:val="288"/>
        </w:trPr>
        <w:tc>
          <w:tcPr>
            <w:tcW w:w="4520" w:type="dxa"/>
            <w:vAlign w:val="bottom"/>
            <w:gridSpan w:val="2"/>
          </w:tcPr>
          <w:p>
            <w:pPr>
              <w:spacing w:after="0"/>
              <w:rPr>
                <w:sz w:val="20"/>
                <w:szCs w:val="20"/>
                <w:color w:val="auto"/>
              </w:rPr>
            </w:pPr>
            <w:r>
              <w:rPr>
                <w:rFonts w:ascii="Arial" w:cs="Arial" w:eastAsia="Arial" w:hAnsi="Arial"/>
                <w:sz w:val="18"/>
                <w:szCs w:val="18"/>
                <w:color w:val="auto"/>
              </w:rPr>
              <w:t>Equipment revenue</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-1,270</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-1,218</w:t>
            </w:r>
          </w:p>
        </w:tc>
      </w:tr>
      <w:tr>
        <w:trPr>
          <w:trHeight w:val="272"/>
        </w:trPr>
        <w:tc>
          <w:tcPr>
            <w:tcW w:w="45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-2,174</w:t>
            </w:r>
          </w:p>
        </w:tc>
        <w:tc>
          <w:tcPr>
            <w:tcW w:w="920" w:type="dxa"/>
            <w:vAlign w:val="bottom"/>
          </w:tcPr>
          <w:p>
            <w:pPr>
              <w:spacing w:after="0"/>
              <w:rPr>
                <w:sz w:val="23"/>
                <w:szCs w:val="23"/>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-2,488</w:t>
            </w:r>
          </w:p>
        </w:tc>
      </w:tr>
      <w:tr>
        <w:trPr>
          <w:trHeight w:val="284"/>
        </w:trPr>
        <w:tc>
          <w:tcPr>
            <w:tcW w:w="4520" w:type="dxa"/>
            <w:vAlign w:val="bottom"/>
            <w:gridSpan w:val="2"/>
          </w:tcPr>
          <w:p>
            <w:pPr>
              <w:spacing w:after="0"/>
              <w:rPr>
                <w:sz w:val="20"/>
                <w:szCs w:val="20"/>
                <w:color w:val="auto"/>
              </w:rPr>
            </w:pPr>
            <w:r>
              <w:rPr>
                <w:rFonts w:ascii="Arial" w:cs="Arial" w:eastAsia="Arial" w:hAnsi="Arial"/>
                <w:sz w:val="18"/>
                <w:szCs w:val="18"/>
                <w:color w:val="auto"/>
              </w:rPr>
              <w:t>Wireless service revenue</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25,360</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26,527</w:t>
            </w:r>
          </w:p>
        </w:tc>
      </w:tr>
      <w:tr>
        <w:trPr>
          <w:trHeight w:val="288"/>
        </w:trPr>
        <w:tc>
          <w:tcPr>
            <w:tcW w:w="4520" w:type="dxa"/>
            <w:vAlign w:val="bottom"/>
            <w:gridSpan w:val="2"/>
          </w:tcPr>
          <w:p>
            <w:pPr>
              <w:spacing w:after="0"/>
              <w:rPr>
                <w:sz w:val="20"/>
                <w:szCs w:val="20"/>
                <w:color w:val="auto"/>
              </w:rPr>
            </w:pPr>
            <w:r>
              <w:rPr>
                <w:rFonts w:ascii="Arial" w:cs="Arial" w:eastAsia="Arial" w:hAnsi="Arial"/>
                <w:sz w:val="18"/>
                <w:szCs w:val="18"/>
                <w:color w:val="auto"/>
              </w:rPr>
              <w:t>Service credits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3,764</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3,756</w:t>
            </w:r>
          </w:p>
        </w:tc>
      </w:tr>
      <w:tr>
        <w:trPr>
          <w:trHeight w:val="288"/>
        </w:trPr>
        <w:tc>
          <w:tcPr>
            <w:tcW w:w="452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1,705</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1,422</w:t>
            </w:r>
          </w:p>
        </w:tc>
      </w:tr>
      <w:tr>
        <w:trPr>
          <w:trHeight w:val="288"/>
        </w:trPr>
        <w:tc>
          <w:tcPr>
            <w:tcW w:w="4520" w:type="dxa"/>
            <w:vAlign w:val="bottom"/>
            <w:gridSpan w:val="2"/>
          </w:tcPr>
          <w:p>
            <w:pPr>
              <w:spacing w:after="0"/>
              <w:rPr>
                <w:sz w:val="20"/>
                <w:szCs w:val="20"/>
                <w:color w:val="auto"/>
              </w:rPr>
            </w:pPr>
            <w:r>
              <w:rPr>
                <w:rFonts w:ascii="Arial" w:cs="Arial" w:eastAsia="Arial" w:hAnsi="Arial"/>
                <w:sz w:val="18"/>
                <w:szCs w:val="18"/>
                <w:color w:val="auto"/>
              </w:rPr>
              <w:t>Management fee</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2,482</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2,592</w:t>
            </w:r>
          </w:p>
        </w:tc>
      </w:tr>
      <w:tr>
        <w:trPr>
          <w:trHeight w:val="272"/>
        </w:trPr>
        <w:tc>
          <w:tcPr>
            <w:tcW w:w="4520" w:type="dxa"/>
            <w:vAlign w:val="bottom"/>
            <w:gridSpan w:val="2"/>
          </w:tcPr>
          <w:p>
            <w:pPr>
              <w:spacing w:after="0"/>
              <w:rPr>
                <w:sz w:val="20"/>
                <w:szCs w:val="20"/>
                <w:color w:val="auto"/>
              </w:rPr>
            </w:pPr>
            <w:r>
              <w:rPr>
                <w:rFonts w:ascii="Arial" w:cs="Arial" w:eastAsia="Arial" w:hAnsi="Arial"/>
                <w:sz w:val="18"/>
                <w:szCs w:val="18"/>
                <w:color w:val="auto"/>
              </w:rPr>
              <w:t>Service fee</w:t>
            </w: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2,730</w:t>
            </w:r>
          </w:p>
        </w:tc>
        <w:tc>
          <w:tcPr>
            <w:tcW w:w="920" w:type="dxa"/>
            <w:vAlign w:val="bottom"/>
          </w:tcPr>
          <w:p>
            <w:pPr>
              <w:spacing w:after="0"/>
              <w:rPr>
                <w:sz w:val="23"/>
                <w:szCs w:val="23"/>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2,851</w:t>
            </w:r>
          </w:p>
        </w:tc>
      </w:tr>
      <w:tr>
        <w:trPr>
          <w:trHeight w:val="272"/>
        </w:trPr>
        <w:tc>
          <w:tcPr>
            <w:tcW w:w="4520" w:type="dxa"/>
            <w:vAlign w:val="bottom"/>
            <w:gridSpan w:val="2"/>
          </w:tcPr>
          <w:p>
            <w:pPr>
              <w:spacing w:after="0"/>
              <w:rPr>
                <w:sz w:val="20"/>
                <w:szCs w:val="20"/>
                <w:color w:val="auto"/>
              </w:rPr>
            </w:pPr>
            <w:r>
              <w:rPr>
                <w:rFonts w:ascii="Arial" w:cs="Arial" w:eastAsia="Arial" w:hAnsi="Arial"/>
                <w:sz w:val="18"/>
                <w:szCs w:val="18"/>
                <w:color w:val="auto"/>
              </w:rPr>
              <w:t>Gross billed revenue</w:t>
            </w: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36,041</w:t>
            </w:r>
          </w:p>
        </w:tc>
        <w:tc>
          <w:tcPr>
            <w:tcW w:w="920" w:type="dxa"/>
            <w:vAlign w:val="bottom"/>
          </w:tcPr>
          <w:p>
            <w:pPr>
              <w:spacing w:after="0"/>
              <w:rPr>
                <w:sz w:val="23"/>
                <w:szCs w:val="23"/>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37,148</w:t>
            </w:r>
          </w:p>
        </w:tc>
      </w:tr>
      <w:tr>
        <w:trPr>
          <w:trHeight w:val="881"/>
        </w:trPr>
        <w:tc>
          <w:tcPr>
            <w:tcW w:w="4520" w:type="dxa"/>
            <w:vAlign w:val="bottom"/>
            <w:gridSpan w:val="2"/>
          </w:tcPr>
          <w:p>
            <w:pPr>
              <w:spacing w:after="0"/>
              <w:rPr>
                <w:sz w:val="20"/>
                <w:szCs w:val="20"/>
                <w:color w:val="auto"/>
              </w:rPr>
            </w:pPr>
            <w:r>
              <w:rPr>
                <w:rFonts w:ascii="Arial" w:cs="Arial" w:eastAsia="Arial" w:hAnsi="Arial"/>
                <w:sz w:val="18"/>
                <w:szCs w:val="18"/>
                <w:color w:val="auto"/>
              </w:rPr>
              <w:t>Average subscribers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212,176</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223,591</w:t>
            </w:r>
          </w:p>
        </w:tc>
      </w:tr>
      <w:tr>
        <w:trPr>
          <w:trHeight w:val="577"/>
        </w:trPr>
        <w:tc>
          <w:tcPr>
            <w:tcW w:w="4520" w:type="dxa"/>
            <w:vAlign w:val="bottom"/>
            <w:gridSpan w:val="2"/>
          </w:tcPr>
          <w:p>
            <w:pPr>
              <w:spacing w:after="0"/>
              <w:rPr>
                <w:sz w:val="20"/>
                <w:szCs w:val="20"/>
                <w:color w:val="auto"/>
              </w:rPr>
            </w:pPr>
            <w:r>
              <w:rPr>
                <w:rFonts w:ascii="Arial" w:cs="Arial" w:eastAsia="Arial" w:hAnsi="Arial"/>
                <w:sz w:val="18"/>
                <w:szCs w:val="18"/>
                <w:color w:val="auto"/>
              </w:rPr>
              <w:t>Billed revenue per subscriber</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$56.62</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$55.38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1055" w:right="61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q"/>
      <w:numFmt w:val="bullet"/>
      <w:start w:val="1"/>
    </w:lvl>
  </w:abstractNum>
  <w:abstractNum w:abstractNumId="2">
    <w:nsid w:val="7545E146"/>
    <w:multiLevelType w:val="hybridMultilevel"/>
    <w:lvl w:ilvl="0">
      <w:lvlJc w:val="left"/>
      <w:lvlText w:val="n"/>
      <w:numFmt w:val="bullet"/>
      <w:start w:val="1"/>
    </w:lvl>
  </w:abstractNum>
  <w:abstractNum w:abstractNumId="3">
    <w:nsid w:val="515F007C"/>
    <w:multiLevelType w:val="hybridMultilevel"/>
    <w:lvl w:ilvl="0">
      <w:lvlJc w:val="left"/>
      <w:lvlText w:val="n"/>
      <w:numFmt w:val="bullet"/>
      <w:start w:val="1"/>
    </w:lvl>
  </w:abstractNum>
  <w:abstractNum w:abstractNumId="4">
    <w:nsid w:val="5BD062C2"/>
    <w:multiLevelType w:val="hybridMultilevel"/>
    <w:lvl w:ilvl="0">
      <w:lvlJc w:val="left"/>
      <w:lvlText w:val="n"/>
      <w:numFmt w:val="bullet"/>
      <w:start w:val="1"/>
    </w:lvl>
  </w:abstractNum>
  <w:abstractNum w:abstractNumId="5">
    <w:nsid w:val="12200854"/>
    <w:multiLevelType w:val="hybridMultilevel"/>
    <w:lvl w:ilvl="0">
      <w:lvlJc w:val="left"/>
      <w:lvlText w:val="n"/>
      <w:numFmt w:val="bullet"/>
      <w:start w:val="1"/>
    </w:lvl>
  </w:abstractNum>
  <w:abstractNum w:abstractNumId="6">
    <w:nsid w:val="4DB127F8"/>
    <w:multiLevelType w:val="hybridMultilevel"/>
    <w:lvl w:ilvl="0">
      <w:lvlJc w:val="left"/>
      <w:lvlText w:val="n"/>
      <w:numFmt w:val="bullet"/>
      <w:start w:val="1"/>
    </w:lvl>
  </w:abstractNum>
  <w:abstractNum w:abstractNumId="7">
    <w:nsid w:val="216231B"/>
    <w:multiLevelType w:val="hybridMultilevel"/>
    <w:lvl w:ilvl="0">
      <w:lvlJc w:val="left"/>
      <w:lvlText w:val="n"/>
      <w:numFmt w:val="bullet"/>
      <w:start w:val="1"/>
    </w:lvl>
  </w:abstractNum>
  <w:abstractNum w:abstractNumId="8">
    <w:nsid w:val="1F16E9E8"/>
    <w:multiLevelType w:val="hybridMultilevel"/>
    <w:lvl w:ilvl="0">
      <w:lvlJc w:val="left"/>
      <w:lvlText w:val="n"/>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n"/>
      <w:numFmt w:val="bullet"/>
      <w:start w:val="1"/>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2019-12-10T04:45:07Z</dcterms:created>
  <dcterms:modified xsi:type="dcterms:W3CDTF">2019-12-10T04:45:07Z</dcterms:modified>
</cp:coreProperties>
</file>