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OF AMERICA</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left="3940" w:right="2220" w:hanging="3838"/>
        <w:spacing w:after="0" w:line="421" w:lineRule="auto"/>
        <w:tabs>
          <w:tab w:leader="none" w:pos="355"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color w:val="auto"/>
        </w:rPr>
        <w:t>QUARTERLY REPORT PURSUANT TO SECTION 13 OR 15(d) OF THE SECURITIES EXCHANGE ACT OF 1934 For the quarterly period ended March 31, 2022</w:t>
      </w:r>
    </w:p>
    <w:p>
      <w:pPr>
        <w:spacing w:after="0" w:line="19" w:lineRule="exact"/>
        <w:rPr>
          <w:sz w:val="24"/>
          <w:szCs w:val="24"/>
          <w:color w:val="auto"/>
        </w:rPr>
      </w:pPr>
    </w:p>
    <w:p>
      <w:pPr>
        <w:ind w:left="3540" w:right="2200" w:hanging="3438"/>
        <w:spacing w:after="0" w:line="447" w:lineRule="auto"/>
        <w:tabs>
          <w:tab w:leader="none" w:pos="350"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73" w:lineRule="exact"/>
        <w:rPr>
          <w:rFonts w:ascii="MS PGothic" w:cs="MS PGothic" w:eastAsia="MS PGothic" w:hAnsi="MS PGothic"/>
          <w:sz w:val="29"/>
          <w:szCs w:val="29"/>
          <w:color w:val="auto"/>
          <w:vertAlign w:val="superscript"/>
        </w:rPr>
      </w:pPr>
    </w:p>
    <w:p>
      <w:pPr>
        <w:ind w:left="4420"/>
        <w:spacing w:after="0"/>
        <w:rPr>
          <w:rFonts w:ascii="MS PGothic" w:cs="MS PGothic" w:eastAsia="MS PGothic" w:hAnsi="MS PGothic"/>
          <w:sz w:val="29"/>
          <w:szCs w:val="29"/>
          <w:color w:val="auto"/>
          <w:vertAlign w:val="superscript"/>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168910</wp:posOffset>
            </wp:positionV>
            <wp:extent cx="184340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321"/>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Arial" w:cs="Arial" w:eastAsia="Arial" w:hAnsi="Arial"/>
                <w:sz w:val="18"/>
                <w:szCs w:val="18"/>
                <w:b w:val="1"/>
                <w:bCs w:val="1"/>
                <w:color w:val="auto"/>
                <w:w w:val="96"/>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Arial" w:cs="Arial" w:eastAsia="Arial" w:hAnsi="Arial"/>
                <w:sz w:val="18"/>
                <w:szCs w:val="18"/>
                <w:b w:val="1"/>
                <w:bCs w:val="1"/>
                <w:color w:val="auto"/>
              </w:rPr>
              <w:t>54-1162807</w:t>
            </w:r>
          </w:p>
        </w:tc>
        <w:tc>
          <w:tcPr>
            <w:tcW w:w="0" w:type="dxa"/>
            <w:vAlign w:val="bottom"/>
          </w:tcPr>
          <w:p>
            <w:pPr>
              <w:spacing w:after="0"/>
              <w:rPr>
                <w:sz w:val="1"/>
                <w:szCs w:val="1"/>
                <w:color w:val="auto"/>
              </w:rPr>
            </w:pPr>
          </w:p>
        </w:tc>
      </w:tr>
      <w:tr>
        <w:trPr>
          <w:trHeight w:val="230"/>
        </w:trPr>
        <w:tc>
          <w:tcPr>
            <w:tcW w:w="6280" w:type="dxa"/>
            <w:vAlign w:val="bottom"/>
            <w:gridSpan w:val="4"/>
          </w:tcPr>
          <w:p>
            <w:pPr>
              <w:jc w:val="center"/>
              <w:ind w:right="18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460" w:type="dxa"/>
            <w:vAlign w:val="bottom"/>
          </w:tcPr>
          <w:p>
            <w:pPr>
              <w:jc w:val="center"/>
              <w:ind w:right="131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39"/>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 Shentel Way, Edinburg, Virginia</w:t>
            </w:r>
          </w:p>
        </w:tc>
        <w:tc>
          <w:tcPr>
            <w:tcW w:w="4460" w:type="dxa"/>
            <w:vAlign w:val="bottom"/>
          </w:tcPr>
          <w:p>
            <w:pPr>
              <w:jc w:val="right"/>
              <w:ind w:right="3798"/>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Arial" w:cs="Arial" w:eastAsia="Arial" w:hAnsi="Arial"/>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2340" w:type="dxa"/>
            <w:vAlign w:val="bottom"/>
            <w:gridSpan w:val="2"/>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64"/>
        </w:trPr>
        <w:tc>
          <w:tcPr>
            <w:tcW w:w="1840" w:type="dxa"/>
            <w:vAlign w:val="bottom"/>
          </w:tcPr>
          <w:p>
            <w:pPr>
              <w:jc w:val="center"/>
              <w:spacing w:after="0"/>
              <w:rPr>
                <w:sz w:val="20"/>
                <w:szCs w:val="20"/>
                <w:color w:val="auto"/>
              </w:rPr>
            </w:pPr>
            <w:r>
              <w:rPr>
                <w:rFonts w:ascii="Arial" w:cs="Arial" w:eastAsia="Arial" w:hAnsi="Arial"/>
                <w:sz w:val="14"/>
                <w:szCs w:val="14"/>
                <w:color w:val="auto"/>
                <w:w w:val="93"/>
              </w:rPr>
              <w:t>Common Stock (No Par Value)</w:t>
            </w:r>
          </w:p>
        </w:tc>
        <w:tc>
          <w:tcPr>
            <w:tcW w:w="1640" w:type="dxa"/>
            <w:vAlign w:val="bottom"/>
          </w:tcPr>
          <w:p>
            <w:pPr>
              <w:jc w:val="center"/>
              <w:ind w:left="338"/>
              <w:spacing w:after="0"/>
              <w:rPr>
                <w:sz w:val="20"/>
                <w:szCs w:val="20"/>
                <w:color w:val="auto"/>
              </w:rPr>
            </w:pPr>
            <w:r>
              <w:rPr>
                <w:rFonts w:ascii="Arial" w:cs="Arial" w:eastAsia="Arial" w:hAnsi="Arial"/>
                <w:sz w:val="14"/>
                <w:szCs w:val="14"/>
                <w:color w:val="auto"/>
                <w:w w:val="97"/>
              </w:rPr>
              <w:t>SHEN</w:t>
            </w:r>
          </w:p>
        </w:tc>
        <w:tc>
          <w:tcPr>
            <w:tcW w:w="2800" w:type="dxa"/>
            <w:vAlign w:val="bottom"/>
            <w:gridSpan w:val="2"/>
          </w:tcPr>
          <w:p>
            <w:pPr>
              <w:jc w:val="center"/>
              <w:ind w:left="239"/>
              <w:spacing w:after="0"/>
              <w:rPr>
                <w:sz w:val="20"/>
                <w:szCs w:val="20"/>
                <w:color w:val="auto"/>
              </w:rPr>
            </w:pPr>
            <w:r>
              <w:rPr>
                <w:rFonts w:ascii="Arial" w:cs="Arial" w:eastAsia="Arial" w:hAnsi="Arial"/>
                <w:sz w:val="14"/>
                <w:szCs w:val="14"/>
                <w:color w:val="auto"/>
                <w:w w:val="97"/>
              </w:rPr>
              <w:t>NASDAQ Global Select Market</w:t>
            </w:r>
          </w:p>
        </w:tc>
        <w:tc>
          <w:tcPr>
            <w:tcW w:w="4460" w:type="dxa"/>
            <w:vAlign w:val="bottom"/>
          </w:tcPr>
          <w:p>
            <w:pPr>
              <w:jc w:val="center"/>
              <w:ind w:left="278"/>
              <w:spacing w:after="0"/>
              <w:rPr>
                <w:sz w:val="20"/>
                <w:szCs w:val="20"/>
                <w:color w:val="auto"/>
              </w:rPr>
            </w:pPr>
            <w:r>
              <w:rPr>
                <w:rFonts w:ascii="Arial" w:cs="Arial" w:eastAsia="Arial" w:hAnsi="Arial"/>
                <w:sz w:val="14"/>
                <w:szCs w:val="14"/>
                <w:color w:val="auto"/>
                <w:w w:val="94"/>
              </w:rPr>
              <w:t>50,056,339</w:t>
            </w:r>
          </w:p>
        </w:tc>
        <w:tc>
          <w:tcPr>
            <w:tcW w:w="0" w:type="dxa"/>
            <w:vAlign w:val="bottom"/>
          </w:tcPr>
          <w:p>
            <w:pPr>
              <w:spacing w:after="0"/>
              <w:rPr>
                <w:sz w:val="1"/>
                <w:szCs w:val="1"/>
                <w:color w:val="auto"/>
              </w:rPr>
            </w:pPr>
          </w:p>
        </w:tc>
      </w:tr>
      <w:tr>
        <w:trPr>
          <w:trHeight w:val="147"/>
        </w:trPr>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(Title of Class)</w:t>
            </w:r>
          </w:p>
        </w:tc>
        <w:tc>
          <w:tcPr>
            <w:tcW w:w="1640" w:type="dxa"/>
            <w:vAlign w:val="bottom"/>
            <w:vMerge w:val="restart"/>
          </w:tcPr>
          <w:p>
            <w:pPr>
              <w:jc w:val="center"/>
              <w:ind w:left="338"/>
              <w:spacing w:after="0"/>
              <w:rPr>
                <w:sz w:val="20"/>
                <w:szCs w:val="20"/>
                <w:color w:val="auto"/>
              </w:rPr>
            </w:pPr>
            <w:r>
              <w:rPr>
                <w:rFonts w:ascii="Arial" w:cs="Arial" w:eastAsia="Arial" w:hAnsi="Arial"/>
                <w:sz w:val="14"/>
                <w:szCs w:val="14"/>
                <w:color w:val="auto"/>
                <w:w w:val="94"/>
              </w:rPr>
              <w:t>(Trading Symbol)</w:t>
            </w:r>
          </w:p>
        </w:tc>
        <w:tc>
          <w:tcPr>
            <w:tcW w:w="2800" w:type="dxa"/>
            <w:vAlign w:val="bottom"/>
            <w:gridSpan w:val="2"/>
            <w:vMerge w:val="restart"/>
          </w:tcPr>
          <w:p>
            <w:pPr>
              <w:jc w:val="center"/>
              <w:ind w:left="259"/>
              <w:spacing w:after="0"/>
              <w:rPr>
                <w:sz w:val="20"/>
                <w:szCs w:val="20"/>
                <w:color w:val="auto"/>
              </w:rPr>
            </w:pPr>
            <w:r>
              <w:rPr>
                <w:rFonts w:ascii="Arial" w:cs="Arial" w:eastAsia="Arial" w:hAnsi="Arial"/>
                <w:sz w:val="14"/>
                <w:szCs w:val="14"/>
                <w:color w:val="auto"/>
                <w:w w:val="93"/>
              </w:rPr>
              <w:t>(Name of Exchange on which Registered)</w:t>
            </w:r>
          </w:p>
        </w:tc>
        <w:tc>
          <w:tcPr>
            <w:tcW w:w="4460" w:type="dxa"/>
            <w:vAlign w:val="bottom"/>
          </w:tcPr>
          <w:p>
            <w:pPr>
              <w:jc w:val="center"/>
              <w:ind w:left="278"/>
              <w:spacing w:after="0" w:line="147" w:lineRule="exact"/>
              <w:rPr>
                <w:sz w:val="20"/>
                <w:szCs w:val="20"/>
                <w:color w:val="auto"/>
              </w:rPr>
            </w:pPr>
            <w:r>
              <w:rPr>
                <w:rFonts w:ascii="Arial" w:cs="Arial" w:eastAsia="Arial" w:hAnsi="Arial"/>
                <w:sz w:val="14"/>
                <w:szCs w:val="14"/>
                <w:color w:val="auto"/>
                <w:w w:val="92"/>
              </w:rPr>
              <w:t>(The number of shares of the registrant's common stock outstanding on</w:t>
            </w:r>
          </w:p>
        </w:tc>
        <w:tc>
          <w:tcPr>
            <w:tcW w:w="0" w:type="dxa"/>
            <w:vAlign w:val="bottom"/>
          </w:tcPr>
          <w:p>
            <w:pPr>
              <w:spacing w:after="0"/>
              <w:rPr>
                <w:sz w:val="1"/>
                <w:szCs w:val="1"/>
                <w:color w:val="auto"/>
              </w:rPr>
            </w:pPr>
          </w:p>
        </w:tc>
      </w:tr>
      <w:tr>
        <w:trPr>
          <w:trHeight w:val="110"/>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Arial" w:cs="Arial" w:eastAsia="Arial" w:hAnsi="Arial"/>
                <w:sz w:val="14"/>
                <w:szCs w:val="14"/>
                <w:color w:val="auto"/>
                <w:w w:val="98"/>
              </w:rPr>
              <w:t>April 22, 2022)</w:t>
            </w:r>
          </w:p>
        </w:tc>
        <w:tc>
          <w:tcPr>
            <w:tcW w:w="0" w:type="dxa"/>
            <w:vAlign w:val="bottom"/>
          </w:tcPr>
          <w:p>
            <w:pPr>
              <w:spacing w:after="0"/>
              <w:rPr>
                <w:sz w:val="1"/>
                <w:szCs w:val="1"/>
                <w:color w:val="auto"/>
              </w:rPr>
            </w:pPr>
          </w:p>
        </w:tc>
      </w:tr>
      <w:tr>
        <w:trPr>
          <w:trHeight w:val="73"/>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ind w:left="20"/>
        <w:spacing w:after="0" w:line="185" w:lineRule="exact"/>
        <w:tabs>
          <w:tab w:leader="none" w:pos="1660" w:val="left"/>
          <w:tab w:leader="none" w:pos="3320" w:val="left"/>
          <w:tab w:leader="none" w:pos="5280" w:val="left"/>
          <w:tab w:leader="none" w:pos="5660" w:val="left"/>
          <w:tab w:leader="none" w:pos="7640" w:val="left"/>
          <w:tab w:leader="none" w:pos="8040" w:val="left"/>
          <w:tab w:leader="none" w:pos="100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Non-accelerated filer</w:t>
      </w:r>
      <w:r>
        <w:rPr>
          <w:rFonts w:ascii="MS PGothic" w:cs="MS PGothic" w:eastAsia="MS PGothic" w:hAnsi="MS PGothic"/>
          <w:sz w:val="18"/>
          <w:szCs w:val="18"/>
          <w:color w:val="auto"/>
        </w:rPr>
        <w:tab/>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8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8100" w:type="dxa"/>
            <w:vAlign w:val="bottom"/>
            <w:vMerge w:val="restart"/>
          </w:tcPr>
          <w:p>
            <w:pPr>
              <w:ind w:left="160"/>
              <w:spacing w:after="0"/>
              <w:rPr>
                <w:sz w:val="20"/>
                <w:szCs w:val="20"/>
                <w:color w:val="auto"/>
              </w:rPr>
            </w:pPr>
            <w:r>
              <w:rPr>
                <w:rFonts w:ascii="Arial" w:cs="Arial" w:eastAsia="Arial" w:hAnsi="Arial"/>
                <w:sz w:val="18"/>
                <w:szCs w:val="18"/>
                <w:color w:val="auto"/>
              </w:rPr>
              <w:t>FINANCIAL INFORMATION</w:t>
            </w:r>
          </w:p>
        </w:tc>
        <w:tc>
          <w:tcPr>
            <w:tcW w:w="2120" w:type="dxa"/>
            <w:vAlign w:val="bottom"/>
            <w:gridSpan w:val="5"/>
          </w:tcPr>
          <w:p>
            <w:pPr>
              <w:jc w:val="center"/>
              <w:ind w:left="1370"/>
              <w:spacing w:after="0"/>
              <w:rPr>
                <w:sz w:val="20"/>
                <w:szCs w:val="20"/>
                <w:color w:val="auto"/>
              </w:rPr>
            </w:pPr>
            <w:r>
              <w:rPr>
                <w:rFonts w:ascii="Arial" w:cs="Arial" w:eastAsia="Arial" w:hAnsi="Arial"/>
                <w:sz w:val="18"/>
                <w:szCs w:val="18"/>
                <w:color w:val="auto"/>
                <w:w w:val="90"/>
              </w:rPr>
              <w:t>Numbers</w:t>
            </w:r>
          </w:p>
        </w:tc>
        <w:tc>
          <w:tcPr>
            <w:tcW w:w="0" w:type="dxa"/>
            <w:vAlign w:val="bottom"/>
          </w:tcPr>
          <w:p>
            <w:pPr>
              <w:spacing w:after="0"/>
              <w:rPr>
                <w:sz w:val="1"/>
                <w:szCs w:val="1"/>
                <w:color w:val="auto"/>
              </w:rPr>
            </w:pPr>
          </w:p>
        </w:tc>
      </w:tr>
      <w:tr>
        <w:trPr>
          <w:trHeight w:val="229"/>
        </w:trPr>
        <w:tc>
          <w:tcPr>
            <w:tcW w:w="800" w:type="dxa"/>
            <w:vAlign w:val="bottom"/>
            <w:vMerge w:val="continue"/>
          </w:tcPr>
          <w:p>
            <w:pPr>
              <w:spacing w:after="0"/>
              <w:rPr>
                <w:sz w:val="19"/>
                <w:szCs w:val="19"/>
                <w:color w:val="auto"/>
              </w:rPr>
            </w:pPr>
          </w:p>
        </w:tc>
        <w:tc>
          <w:tcPr>
            <w:tcW w:w="810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810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Balance Sheets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Comprehensive Income (Loss)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Shareholders’ Equity</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Unaudited Condensed Consolidated Statements of Cash Flows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Notes to Unaudited Condensed Consolidated Financial Statements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16</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810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21</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810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1880" w:type="dxa"/>
            <w:vAlign w:val="bottom"/>
            <w:gridSpan w:val="4"/>
          </w:tcPr>
          <w:p>
            <w:pPr>
              <w:jc w:val="center"/>
              <w:ind w:left="161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810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810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8100" w:type="dxa"/>
            <w:vAlign w:val="bottom"/>
          </w:tcPr>
          <w:p>
            <w:pPr>
              <w:ind w:left="160"/>
              <w:spacing w:after="0"/>
              <w:rPr>
                <w:sz w:val="20"/>
                <w:szCs w:val="20"/>
                <w:color w:val="auto"/>
              </w:rPr>
            </w:pPr>
            <w:r>
              <w:rPr>
                <w:rFonts w:ascii="Arial" w:cs="Arial" w:eastAsia="Arial" w:hAnsi="Arial"/>
                <w:sz w:val="18"/>
                <w:szCs w:val="18"/>
                <w:color w:val="auto"/>
              </w:rPr>
              <w:t>Exhibits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24</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25</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32" w:right="539" w:bottom="1440" w:gutter="0" w:footer="0" w:header="0"/>
        </w:sectPr>
      </w:pPr>
    </w:p>
    <w:bookmarkStart w:id="2" w:name="page3"/>
    <w:bookmarkEnd w:id="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96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UNAUDITED CONDENSED CONSOLIDATED BALANCE SHEETS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822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53,981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84,344</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Accounts receivable, net of allowance for doubtful accounts of $347 and $352,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22,005</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30,188</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29,830</w:t>
            </w:r>
          </w:p>
        </w:tc>
        <w:tc>
          <w:tcPr>
            <w:tcW w:w="0" w:type="dxa"/>
            <w:vAlign w:val="bottom"/>
          </w:tcPr>
          <w:p>
            <w:pPr>
              <w:spacing w:after="0"/>
              <w:rPr>
                <w:sz w:val="1"/>
                <w:szCs w:val="1"/>
                <w:color w:val="auto"/>
              </w:rPr>
            </w:pPr>
          </w:p>
        </w:tc>
      </w:tr>
      <w:tr>
        <w:trPr>
          <w:trHeight w:val="222"/>
        </w:trPr>
        <w:tc>
          <w:tcPr>
            <w:tcW w:w="82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126,110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166,367</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13,661</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581,541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554,162</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Intangible assets, net and 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89,633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89,831</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57,130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56,414</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Deferred charges and other assets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883,251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890,733</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21,422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28,542</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Advanced billings and customer deposits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11,128</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9,653</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Accrued liabilities and 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14,649</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67,290</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85,665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86,014</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Asset retirement obligations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9,615</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Benefit plan obligations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51,692</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25,631</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181,864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181,168</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120"/>
              <w:spacing w:after="0" w:line="176" w:lineRule="exact"/>
              <w:rPr>
                <w:sz w:val="20"/>
                <w:szCs w:val="20"/>
                <w:color w:val="auto"/>
              </w:rPr>
            </w:pPr>
            <w:r>
              <w:rPr>
                <w:rFonts w:ascii="Arial" w:cs="Arial" w:eastAsia="Arial" w:hAnsi="Arial"/>
                <w:sz w:val="18"/>
                <w:szCs w:val="18"/>
                <w:color w:val="auto"/>
                <w:w w:val="91"/>
              </w:rPr>
              <w:t>Common stock, no par value, authorized 96,000; 50,049 and 49,965 issued and outstanding at March 31, 2022</w:t>
            </w:r>
          </w:p>
        </w:tc>
        <w:tc>
          <w:tcPr>
            <w:tcW w:w="220" w:type="dxa"/>
            <w:vAlign w:val="bottom"/>
          </w:tcPr>
          <w:p>
            <w:pPr>
              <w:spacing w:after="0"/>
              <w:rPr>
                <w:sz w:val="15"/>
                <w:szCs w:val="15"/>
                <w:color w:val="auto"/>
              </w:rPr>
            </w:pPr>
          </w:p>
        </w:tc>
        <w:tc>
          <w:tcPr>
            <w:tcW w:w="13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and December 31, 2021, respectively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49,351</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592,321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592,924</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644,329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642,275</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883,251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890,733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2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2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tcPr>
          <w:p>
            <w:pPr>
              <w:spacing w:after="0"/>
              <w:rPr>
                <w:sz w:val="15"/>
                <w:szCs w:val="15"/>
                <w:color w:val="auto"/>
              </w:rPr>
            </w:pPr>
          </w:p>
        </w:tc>
        <w:tc>
          <w:tcPr>
            <w:tcW w:w="2680" w:type="dxa"/>
            <w:vAlign w:val="bottom"/>
            <w:gridSpan w:val="4"/>
          </w:tcPr>
          <w:p>
            <w:pPr>
              <w:jc w:val="right"/>
              <w:ind w:right="590"/>
              <w:spacing w:after="0" w:line="182"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82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vMerge w:val="restart"/>
          </w:tcPr>
          <w:p>
            <w:pPr>
              <w:spacing w:after="0"/>
              <w:rPr>
                <w:sz w:val="20"/>
                <w:szCs w:val="20"/>
                <w:color w:val="auto"/>
              </w:rPr>
            </w:pPr>
            <w:r>
              <w:rPr>
                <w:rFonts w:ascii="Arial" w:cs="Arial" w:eastAsia="Arial" w:hAnsi="Arial"/>
                <w:sz w:val="18"/>
                <w:szCs w:val="18"/>
                <w:color w:val="auto"/>
              </w:rPr>
              <w:t>Service revenue and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59,691</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Cost of services exclusive of 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23,424</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13,266</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64,794</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57,461</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2"/>
        </w:trPr>
        <w:tc>
          <w:tcPr>
            <w:tcW w:w="8220" w:type="dxa"/>
            <w:vAlign w:val="bottom"/>
          </w:tcPr>
          <w:p>
            <w:pPr>
              <w:ind w:left="200"/>
              <w:spacing w:after="0"/>
              <w:rPr>
                <w:sz w:val="20"/>
                <w:szCs w:val="20"/>
                <w:color w:val="auto"/>
              </w:rPr>
            </w:pPr>
            <w:r>
              <w:rPr>
                <w:rFonts w:ascii="Arial" w:cs="Arial" w:eastAsia="Arial" w:hAnsi="Arial"/>
                <w:sz w:val="18"/>
                <w:szCs w:val="18"/>
                <w:color w:val="auto"/>
              </w:rPr>
              <w:t>Income (loss) from continuing operations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30"/>
        </w:trPr>
        <w:tc>
          <w:tcPr>
            <w:tcW w:w="8220" w:type="dxa"/>
            <w:vAlign w:val="bottom"/>
          </w:tcPr>
          <w:p>
            <w:pPr>
              <w:ind w:left="20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2"/>
        </w:trPr>
        <w:tc>
          <w:tcPr>
            <w:tcW w:w="822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30"/>
        </w:trPr>
        <w:tc>
          <w:tcPr>
            <w:tcW w:w="8220" w:type="dxa"/>
            <w:vAlign w:val="bottom"/>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48,472</w:t>
            </w:r>
          </w:p>
        </w:tc>
        <w:tc>
          <w:tcPr>
            <w:tcW w:w="0" w:type="dxa"/>
            <w:vAlign w:val="bottom"/>
          </w:tcPr>
          <w:p>
            <w:pPr>
              <w:spacing w:after="0"/>
              <w:rPr>
                <w:sz w:val="1"/>
                <w:szCs w:val="1"/>
                <w:color w:val="auto"/>
              </w:rPr>
            </w:pPr>
          </w:p>
        </w:tc>
      </w:tr>
      <w:tr>
        <w:trPr>
          <w:trHeight w:val="223"/>
        </w:trPr>
        <w:tc>
          <w:tcPr>
            <w:tcW w:w="82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51,417</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Unrealized income on interest rate hedge, net of tax</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52,190</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Arial" w:cs="Arial" w:eastAsia="Arial" w:hAnsi="Arial"/>
                <w:sz w:val="18"/>
                <w:szCs w:val="18"/>
                <w:color w:val="auto"/>
              </w:rPr>
              <w:t>Net income (loss) per share, basic and diluted:</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Basic - Income (loss)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Basic - Income from discontinued operations, net of tax</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Basic net income (loss)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220" w:type="dxa"/>
            <w:vAlign w:val="bottom"/>
          </w:tcPr>
          <w:p>
            <w:pPr>
              <w:ind w:left="120"/>
              <w:spacing w:after="0"/>
              <w:rPr>
                <w:sz w:val="20"/>
                <w:szCs w:val="20"/>
                <w:color w:val="auto"/>
              </w:rPr>
            </w:pPr>
            <w:r>
              <w:rPr>
                <w:rFonts w:ascii="Arial" w:cs="Arial" w:eastAsia="Arial" w:hAnsi="Arial"/>
                <w:sz w:val="18"/>
                <w:szCs w:val="18"/>
                <w:color w:val="auto"/>
              </w:rPr>
              <w:t>Diluted - Income (loss)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Diluted - Income from discontinued operations, net of tax</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Diluted net income (loss)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220" w:type="dxa"/>
            <w:vAlign w:val="bottom"/>
          </w:tcPr>
          <w:p>
            <w:pPr>
              <w:ind w:left="120"/>
              <w:spacing w:after="0"/>
              <w:rPr>
                <w:sz w:val="20"/>
                <w:szCs w:val="20"/>
                <w:color w:val="auto"/>
              </w:rPr>
            </w:pPr>
            <w:r>
              <w:rPr>
                <w:rFonts w:ascii="Arial" w:cs="Arial" w:eastAsia="Arial" w:hAnsi="Arial"/>
                <w:sz w:val="18"/>
                <w:szCs w:val="18"/>
                <w:color w:val="auto"/>
              </w:rPr>
              <w:t>Weighted average shares outstanding, basic</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50,146</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49,947</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120"/>
              <w:spacing w:after="0"/>
              <w:rPr>
                <w:sz w:val="20"/>
                <w:szCs w:val="20"/>
                <w:color w:val="auto"/>
              </w:rPr>
            </w:pPr>
            <w:r>
              <w:rPr>
                <w:rFonts w:ascii="Arial" w:cs="Arial" w:eastAsia="Arial" w:hAnsi="Arial"/>
                <w:sz w:val="18"/>
                <w:szCs w:val="18"/>
                <w:color w:val="auto"/>
              </w:rPr>
              <w:t>Weighted average shares outstanding, diluted</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left="20" w:right="3560"/>
        <w:spacing w:after="0" w:line="266"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w:t>
      </w:r>
    </w:p>
    <w:tbl>
      <w:tblPr>
        <w:tblLayout w:type="fixed"/>
        <w:tblInd w:w="20" w:type="dxa"/>
        <w:tblCellMar>
          <w:top w:w="0" w:type="dxa"/>
          <w:left w:w="0" w:type="dxa"/>
          <w:bottom w:w="0" w:type="dxa"/>
          <w:right w:w="0" w:type="dxa"/>
        </w:tblCellMar>
      </w:tblP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Shares of Common</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December 31, 2021</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49,965</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49,351</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592,924</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642,275</w:t>
            </w:r>
          </w:p>
        </w:tc>
        <w:tc>
          <w:tcPr>
            <w:tcW w:w="0" w:type="dxa"/>
            <w:vAlign w:val="bottom"/>
          </w:tcPr>
          <w:p>
            <w:pPr>
              <w:spacing w:after="0"/>
              <w:rPr>
                <w:sz w:val="1"/>
                <w:szCs w:val="1"/>
                <w:color w:val="auto"/>
              </w:rPr>
            </w:pPr>
          </w:p>
        </w:tc>
      </w:tr>
      <w:tr>
        <w:trPr>
          <w:trHeight w:val="184"/>
        </w:trPr>
        <w:tc>
          <w:tcPr>
            <w:tcW w:w="50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3,252</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7"/>
        </w:trPr>
        <w:tc>
          <w:tcPr>
            <w:tcW w:w="5000" w:type="dxa"/>
            <w:vAlign w:val="bottom"/>
          </w:tcPr>
          <w:p>
            <w:pPr>
              <w:ind w:left="120"/>
              <w:spacing w:after="0" w:line="147" w:lineRule="exact"/>
              <w:rPr>
                <w:sz w:val="20"/>
                <w:szCs w:val="20"/>
                <w:color w:val="auto"/>
              </w:rPr>
            </w:pPr>
            <w:r>
              <w:rPr>
                <w:rFonts w:ascii="Arial" w:cs="Arial" w:eastAsia="Arial" w:hAnsi="Arial"/>
                <w:sz w:val="14"/>
                <w:szCs w:val="14"/>
                <w:color w:val="auto"/>
                <w:w w:val="99"/>
              </w:rPr>
              <w:t>Shares retired for settlement of employee taxes upon issuance of vested equity</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83"/>
        </w:trPr>
        <w:tc>
          <w:tcPr>
            <w:tcW w:w="5000" w:type="dxa"/>
            <w:vAlign w:val="bottom"/>
          </w:tcPr>
          <w:p>
            <w:pPr>
              <w:ind w:left="120"/>
              <w:spacing w:after="0"/>
              <w:rPr>
                <w:sz w:val="20"/>
                <w:szCs w:val="20"/>
                <w:color w:val="auto"/>
              </w:rPr>
            </w:pPr>
            <w:r>
              <w:rPr>
                <w:rFonts w:ascii="Arial" w:cs="Arial" w:eastAsia="Arial" w:hAnsi="Arial"/>
                <w:sz w:val="14"/>
                <w:szCs w:val="14"/>
                <w:color w:val="auto"/>
              </w:rPr>
              <w:t>awards</w:t>
            </w: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March 31, 2022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50,049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52,008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592,321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644,329</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 Paid in</w:t>
            </w:r>
          </w:p>
        </w:tc>
        <w:tc>
          <w:tcPr>
            <w:tcW w:w="14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Stock (no par</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value)</w:t>
            </w: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December 31, 2020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49,868</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47,317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534,440</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(4,706)</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577,051</w:t>
            </w:r>
          </w:p>
        </w:tc>
        <w:tc>
          <w:tcPr>
            <w:tcW w:w="0" w:type="dxa"/>
            <w:vAlign w:val="bottom"/>
          </w:tcPr>
          <w:p>
            <w:pPr>
              <w:spacing w:after="0"/>
              <w:rPr>
                <w:sz w:val="1"/>
                <w:szCs w:val="1"/>
                <w:color w:val="auto"/>
              </w:rPr>
            </w:pPr>
          </w:p>
        </w:tc>
      </w:tr>
      <w:tr>
        <w:trPr>
          <w:trHeight w:val="184"/>
        </w:trPr>
        <w:tc>
          <w:tcPr>
            <w:tcW w:w="50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51,417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51,417</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Net gain on interest rate swaps, net of tax</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89"/>
        </w:trPr>
        <w:tc>
          <w:tcPr>
            <w:tcW w:w="500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7"/>
        </w:trPr>
        <w:tc>
          <w:tcPr>
            <w:tcW w:w="5000" w:type="dxa"/>
            <w:vAlign w:val="bottom"/>
          </w:tcPr>
          <w:p>
            <w:pPr>
              <w:ind w:left="120"/>
              <w:spacing w:after="0" w:line="147" w:lineRule="exact"/>
              <w:rPr>
                <w:sz w:val="20"/>
                <w:szCs w:val="20"/>
                <w:color w:val="auto"/>
              </w:rPr>
            </w:pPr>
            <w:r>
              <w:rPr>
                <w:rFonts w:ascii="Arial" w:cs="Arial" w:eastAsia="Arial" w:hAnsi="Arial"/>
                <w:sz w:val="14"/>
                <w:szCs w:val="14"/>
                <w:color w:val="auto"/>
                <w:w w:val="99"/>
              </w:rPr>
              <w:t>Shares retired for settlement of employee taxes upon issuance of vested equity</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183"/>
        </w:trPr>
        <w:tc>
          <w:tcPr>
            <w:tcW w:w="5000" w:type="dxa"/>
            <w:vAlign w:val="bottom"/>
          </w:tcPr>
          <w:p>
            <w:pPr>
              <w:ind w:left="120"/>
              <w:spacing w:after="0"/>
              <w:rPr>
                <w:sz w:val="20"/>
                <w:szCs w:val="20"/>
                <w:color w:val="auto"/>
              </w:rPr>
            </w:pPr>
            <w:r>
              <w:rPr>
                <w:rFonts w:ascii="Arial" w:cs="Arial" w:eastAsia="Arial" w:hAnsi="Arial"/>
                <w:sz w:val="14"/>
                <w:szCs w:val="14"/>
                <w:color w:val="auto"/>
              </w:rPr>
              <w:t>awards</w:t>
            </w: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March 31,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49,944</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46,585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585,857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(3,933)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628,509</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right="5320"/>
        <w:spacing w:after="0" w:line="278" w:lineRule="auto"/>
        <w:rPr>
          <w:sz w:val="20"/>
          <w:szCs w:val="20"/>
          <w:color w:val="auto"/>
        </w:rPr>
      </w:pPr>
      <w:r>
        <w:rPr>
          <w:rFonts w:ascii="Arial" w:cs="Arial" w:eastAsia="Arial" w:hAnsi="Arial"/>
          <w:sz w:val="16"/>
          <w:szCs w:val="16"/>
          <w:b w:val="1"/>
          <w:bCs w:val="1"/>
          <w:color w:val="auto"/>
        </w:rPr>
        <w:t>SHENANDOAH TELECOMMUNICATIONS COMPANY AND SUBSIDIARIES UNAUDITED CONDENSED CONSOLIDATED STATEMENTS OF CASH FLOWS</w:t>
      </w:r>
    </w:p>
    <w:p>
      <w:pPr>
        <w:ind w:left="8920"/>
        <w:spacing w:after="0" w:line="228" w:lineRule="auto"/>
        <w:rPr>
          <w:sz w:val="20"/>
          <w:szCs w:val="20"/>
          <w:color w:val="auto"/>
        </w:rPr>
      </w:pPr>
      <w:r>
        <w:rPr>
          <w:rFonts w:ascii="Arial" w:cs="Arial" w:eastAsia="Arial" w:hAnsi="Arial"/>
          <w:sz w:val="18"/>
          <w:szCs w:val="18"/>
          <w:b w:val="1"/>
          <w:bCs w:val="1"/>
          <w:color w:val="auto"/>
        </w:rPr>
        <w:t>Three Months Ended</w:t>
      </w:r>
    </w:p>
    <w:tbl>
      <w:tblPr>
        <w:tblLayout w:type="fixed"/>
        <w:tblInd w:w="20" w:type="dxa"/>
        <w:tblCellMar>
          <w:top w:w="0" w:type="dxa"/>
          <w:left w:w="0" w:type="dxa"/>
          <w:bottom w:w="0" w:type="dxa"/>
          <w:right w:w="0" w:type="dxa"/>
        </w:tblCellMar>
      </w:tblPr>
      <w:tr>
        <w:trPr>
          <w:trHeight w:val="214"/>
        </w:trPr>
        <w:tc>
          <w:tcPr>
            <w:tcW w:w="82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51,417</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Income from discontinued operations, net of tax</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48,472</w:t>
            </w:r>
          </w:p>
        </w:tc>
        <w:tc>
          <w:tcPr>
            <w:tcW w:w="0" w:type="dxa"/>
            <w:vAlign w:val="bottom"/>
          </w:tcPr>
          <w:p>
            <w:pPr>
              <w:spacing w:after="0"/>
              <w:rPr>
                <w:sz w:val="1"/>
                <w:szCs w:val="1"/>
                <w:color w:val="auto"/>
              </w:rPr>
            </w:pPr>
          </w:p>
        </w:tc>
      </w:tr>
      <w:tr>
        <w:trPr>
          <w:trHeight w:val="209"/>
        </w:trPr>
        <w:tc>
          <w:tcPr>
            <w:tcW w:w="8220" w:type="dxa"/>
            <w:vAlign w:val="bottom"/>
          </w:tcPr>
          <w:p>
            <w:pPr>
              <w:ind w:left="12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13,266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Stock based compensation expense, net of amount capitalized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Current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Operating lease assets and liabilities,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(5,683)</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Other deferrals and accruals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w:t>
            </w:r>
          </w:p>
        </w:tc>
        <w:tc>
          <w:tcPr>
            <w:tcW w:w="0" w:type="dxa"/>
            <w:vAlign w:val="bottom"/>
          </w:tcPr>
          <w:p>
            <w:pPr>
              <w:spacing w:after="0"/>
              <w:rPr>
                <w:sz w:val="1"/>
                <w:szCs w:val="1"/>
                <w:color w:val="auto"/>
              </w:rPr>
            </w:pPr>
          </w:p>
        </w:tc>
      </w:tr>
      <w:tr>
        <w:trPr>
          <w:trHeight w:val="209"/>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 - continuing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9,136</w:t>
            </w:r>
          </w:p>
        </w:tc>
        <w:tc>
          <w:tcPr>
            <w:tcW w:w="0" w:type="dxa"/>
            <w:vAlign w:val="bottom"/>
          </w:tcPr>
          <w:p>
            <w:pPr>
              <w:spacing w:after="0"/>
              <w:rPr>
                <w:sz w:val="1"/>
                <w:szCs w:val="1"/>
                <w:color w:val="auto"/>
              </w:rPr>
            </w:pPr>
          </w:p>
        </w:tc>
      </w:tr>
      <w:tr>
        <w:trPr>
          <w:trHeight w:val="209"/>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 - discontinued operations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75,530</w:t>
            </w:r>
          </w:p>
        </w:tc>
        <w:tc>
          <w:tcPr>
            <w:tcW w:w="0" w:type="dxa"/>
            <w:vAlign w:val="bottom"/>
          </w:tcPr>
          <w:p>
            <w:pPr>
              <w:spacing w:after="0"/>
              <w:rPr>
                <w:sz w:val="1"/>
                <w:szCs w:val="1"/>
                <w:color w:val="auto"/>
              </w:rPr>
            </w:pPr>
          </w:p>
        </w:tc>
      </w:tr>
      <w:tr>
        <w:trPr>
          <w:trHeight w:val="210"/>
        </w:trPr>
        <w:tc>
          <w:tcPr>
            <w:tcW w:w="822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16,066</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84,666</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(45,693)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(39,482)</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Proceeds from sale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(45,607)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(39,468)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 - discontinued operations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(45,607)</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(40,350)</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Taxes paid for equity award issuances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Payments for financing arrangements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 - continuing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 - discontinued operations</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(8,549)</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(10,531)</w:t>
            </w:r>
          </w:p>
        </w:tc>
        <w:tc>
          <w:tcPr>
            <w:tcW w:w="0" w:type="dxa"/>
            <w:vAlign w:val="bottom"/>
          </w:tcPr>
          <w:p>
            <w:pPr>
              <w:spacing w:after="0"/>
              <w:rPr>
                <w:sz w:val="1"/>
                <w:szCs w:val="1"/>
                <w:color w:val="auto"/>
              </w:rPr>
            </w:pPr>
          </w:p>
        </w:tc>
      </w:tr>
      <w:tr>
        <w:trPr>
          <w:trHeight w:val="209"/>
        </w:trPr>
        <w:tc>
          <w:tcPr>
            <w:tcW w:w="8220" w:type="dxa"/>
            <w:vAlign w:val="bottom"/>
          </w:tcPr>
          <w:p>
            <w:pPr>
              <w:ind w:left="1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(30,363)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33,785</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84,344</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195,397</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Arial" w:cs="Arial" w:eastAsia="Arial" w:hAnsi="Arial"/>
                <w:sz w:val="16"/>
                <w:szCs w:val="16"/>
                <w:b w:val="1"/>
                <w:bCs w:val="1"/>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229,182</w:t>
            </w:r>
          </w:p>
        </w:tc>
        <w:tc>
          <w:tcPr>
            <w:tcW w:w="0" w:type="dxa"/>
            <w:vAlign w:val="bottom"/>
          </w:tcPr>
          <w:p>
            <w:pPr>
              <w:spacing w:after="0"/>
              <w:rPr>
                <w:sz w:val="1"/>
                <w:szCs w:val="1"/>
                <w:color w:val="auto"/>
              </w:rPr>
            </w:pPr>
          </w:p>
        </w:tc>
      </w:tr>
      <w:tr>
        <w:trPr>
          <w:trHeight w:val="26"/>
        </w:trPr>
        <w:tc>
          <w:tcPr>
            <w:tcW w:w="82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Arial" w:cs="Arial" w:eastAsia="Arial" w:hAnsi="Arial"/>
                <w:sz w:val="16"/>
                <w:szCs w:val="16"/>
                <w:color w:val="auto"/>
              </w:rPr>
              <w:t>Cash payments for:</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tcPr>
          <w:p>
            <w:pPr>
              <w:ind w:left="200"/>
              <w:spacing w:after="0"/>
              <w:rPr>
                <w:sz w:val="20"/>
                <w:szCs w:val="20"/>
                <w:color w:val="auto"/>
              </w:rPr>
            </w:pPr>
            <w:r>
              <w:rPr>
                <w:rFonts w:ascii="Arial" w:cs="Arial" w:eastAsia="Arial" w:hAnsi="Arial"/>
                <w:sz w:val="16"/>
                <w:szCs w:val="16"/>
                <w:color w:val="auto"/>
              </w:rPr>
              <w:t>Interest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(3,897)</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Other Information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Arial" w:cs="Arial" w:eastAsia="Arial" w:hAnsi="Arial"/>
          <w:sz w:val="17"/>
          <w:szCs w:val="17"/>
          <w:color w:val="000000"/>
        </w:rPr>
        <w:t>year ended December 31,</w:t>
      </w:r>
      <w:r>
        <w:rPr>
          <w:rFonts w:ascii="Arial" w:cs="Arial" w:eastAsia="Arial" w:hAnsi="Arial"/>
          <w:sz w:val="17"/>
          <w:szCs w:val="17"/>
          <w:color w:val="212529"/>
        </w:rPr>
        <w:t xml:space="preserve"> </w:t>
      </w:r>
      <w:r>
        <w:rPr>
          <w:rFonts w:ascii="Arial" w:cs="Arial" w:eastAsia="Arial" w:hAnsi="Arial"/>
          <w:sz w:val="17"/>
          <w:szCs w:val="17"/>
          <w:color w:val="000000"/>
        </w:rPr>
        <w:t xml:space="preserve">2021. As discussed in Notes 1 and 16 to the audited consolidated financial statements contained in our Annual Report on Form 10-K for the year ended December 31, 2021, </w:t>
      </w:r>
      <w:r>
        <w:rPr>
          <w:rFonts w:ascii="Arial" w:cs="Arial" w:eastAsia="Arial" w:hAnsi="Arial"/>
          <w:sz w:val="17"/>
          <w:szCs w:val="17"/>
          <w:color w:val="212529"/>
        </w:rPr>
        <w:t>the Company determined that an immaterial error existed in our previously issued financial statements. As such, the Company revised</w:t>
      </w:r>
      <w:r>
        <w:rPr>
          <w:rFonts w:ascii="Arial" w:cs="Arial" w:eastAsia="Arial" w:hAnsi="Arial"/>
          <w:sz w:val="17"/>
          <w:szCs w:val="17"/>
          <w:color w:val="000000"/>
        </w:rPr>
        <w:t xml:space="preserve"> </w:t>
      </w:r>
      <w:r>
        <w:rPr>
          <w:rFonts w:ascii="Arial" w:cs="Arial" w:eastAsia="Arial" w:hAnsi="Arial"/>
          <w:sz w:val="17"/>
          <w:szCs w:val="17"/>
          <w:color w:val="212529"/>
        </w:rPr>
        <w:t>its historical unaudited condensed consolidated financial statements as of and for the three months ended March 31, 2021. Refer to the table below for a summary of these revisions.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20" w:type="dxa"/>
            <w:vAlign w:val="bottom"/>
            <w:gridSpan w:val="6"/>
          </w:tcPr>
          <w:p>
            <w:pPr>
              <w:jc w:val="center"/>
              <w:ind w:left="290"/>
              <w:spacing w:after="0"/>
              <w:rPr>
                <w:sz w:val="20"/>
                <w:szCs w:val="20"/>
                <w:color w:val="auto"/>
              </w:rPr>
            </w:pPr>
            <w:r>
              <w:rPr>
                <w:rFonts w:ascii="Arial" w:cs="Arial" w:eastAsia="Arial" w:hAnsi="Arial"/>
                <w:sz w:val="18"/>
                <w:szCs w:val="18"/>
                <w:b w:val="1"/>
                <w:bCs w:val="1"/>
                <w:color w:val="auto"/>
                <w:w w:val="91"/>
              </w:rPr>
              <w:t>For the Three Months Ended</w:t>
            </w:r>
          </w:p>
        </w:tc>
        <w:tc>
          <w:tcPr>
            <w:tcW w:w="860" w:type="dxa"/>
            <w:vAlign w:val="bottom"/>
          </w:tcPr>
          <w:p>
            <w:pPr>
              <w:spacing w:after="0"/>
              <w:rPr>
                <w:sz w:val="17"/>
                <w:szCs w:val="17"/>
                <w:color w:val="auto"/>
              </w:rPr>
            </w:pPr>
          </w:p>
        </w:tc>
      </w:tr>
      <w:tr>
        <w:trPr>
          <w:trHeight w:val="229"/>
        </w:trPr>
        <w:tc>
          <w:tcPr>
            <w:tcW w:w="66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2021</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Pre-Adjustment</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Error Correction</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Post-Adjustment</w:t>
            </w:r>
          </w:p>
        </w:tc>
      </w:tr>
      <w:tr>
        <w:trPr>
          <w:trHeight w:val="209"/>
        </w:trPr>
        <w:tc>
          <w:tcPr>
            <w:tcW w:w="6660" w:type="dxa"/>
            <w:vAlign w:val="bottom"/>
          </w:tcPr>
          <w:p>
            <w:pPr>
              <w:spacing w:after="0"/>
              <w:rPr>
                <w:sz w:val="20"/>
                <w:szCs w:val="20"/>
                <w:color w:val="auto"/>
              </w:rPr>
            </w:pPr>
            <w:r>
              <w:rPr>
                <w:rFonts w:ascii="Arial" w:cs="Arial" w:eastAsia="Arial" w:hAnsi="Arial"/>
                <w:sz w:val="18"/>
                <w:szCs w:val="18"/>
                <w:color w:val="auto"/>
              </w:rPr>
              <w:t>Unaudited Condensed Consolidated Statement of Comprehensive Income:</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666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23,283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23,424</w:t>
            </w:r>
          </w:p>
        </w:tc>
      </w:tr>
      <w:tr>
        <w:trPr>
          <w:trHeight w:val="229"/>
        </w:trPr>
        <w:tc>
          <w:tcPr>
            <w:tcW w:w="6660" w:type="dxa"/>
            <w:vAlign w:val="bottom"/>
          </w:tcPr>
          <w:p>
            <w:pPr>
              <w:ind w:left="120"/>
              <w:spacing w:after="0"/>
              <w:rPr>
                <w:sz w:val="20"/>
                <w:szCs w:val="20"/>
                <w:color w:val="auto"/>
              </w:rPr>
            </w:pPr>
            <w:r>
              <w:rPr>
                <w:rFonts w:ascii="Arial" w:cs="Arial" w:eastAsia="Arial" w:hAnsi="Arial"/>
                <w:sz w:val="18"/>
                <w:szCs w:val="18"/>
                <w:color w:val="auto"/>
              </w:rPr>
              <w:t>Income from continuing operations before income taxes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3,830</w:t>
            </w:r>
          </w:p>
        </w:tc>
      </w:tr>
      <w:tr>
        <w:trPr>
          <w:trHeight w:val="229"/>
        </w:trPr>
        <w:tc>
          <w:tcPr>
            <w:tcW w:w="666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30"/>
        </w:trPr>
        <w:tc>
          <w:tcPr>
            <w:tcW w:w="666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2,945</w:t>
            </w:r>
          </w:p>
        </w:tc>
      </w:tr>
      <w:tr>
        <w:trPr>
          <w:trHeight w:val="229"/>
        </w:trPr>
        <w:tc>
          <w:tcPr>
            <w:tcW w:w="66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51,417</w:t>
            </w:r>
          </w:p>
        </w:tc>
      </w:tr>
      <w:tr>
        <w:trPr>
          <w:trHeight w:val="230"/>
        </w:trPr>
        <w:tc>
          <w:tcPr>
            <w:tcW w:w="6660" w:type="dxa"/>
            <w:vAlign w:val="bottom"/>
          </w:tcPr>
          <w:p>
            <w:pPr>
              <w:ind w:left="12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52,294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52,190</w:t>
            </w: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The preparation of the unaudited condensed consolidated financial statements requires management of the Company to make estimates and assumptions that affect the reported amounts of assets, liabilities, revenues and expenses and the disclosure of contingencies at the date of the unaudited condensed consolidated financial statements. These estimates are inherently subject to judgment and actual results could differ.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Adoption of New Accounting Principles</w:t>
      </w: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2021 Annual Report on Form 10-K, that would be expected to impact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1, 2021, pursuant to the previously announced Asset Purchase Agreement (the “Purchase Agreement”), dated May 28, 2021, between Shentel and T-Mobile, Shentel completed the sale to T-Mobile of its Wireless assets and operations for cash consideration of approximately $1.94 billion, inclusive of the approximately $60 million settlement of the waived management fees by Sprint, and net of certain transaction expenses (the “Transaction”).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The assets and liabilities that transferred in the sale (the "disposal group") were presented as held for sale within our historical unaudited condensed consolidated balance sheets, and discontinued operations within our historical unaudited condensed consolidated statements of comprehensive income (loss).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Income from discontinued operations, net of tax in the unaudited condensed consolidated statements of comprehensive income (loss) consist of the following:</w:t>
      </w:r>
    </w:p>
    <w:tbl>
      <w:tblPr>
        <w:tblLayout w:type="fixed"/>
        <w:tblInd w:w="20" w:type="dxa"/>
        <w:tblCellMar>
          <w:top w:w="0" w:type="dxa"/>
          <w:left w:w="0" w:type="dxa"/>
          <w:bottom w:w="0" w:type="dxa"/>
          <w:right w:w="0" w:type="dxa"/>
        </w:tblCellMar>
      </w:tblPr>
      <w:tr>
        <w:trPr>
          <w:trHeight w:val="181"/>
        </w:trPr>
        <w:tc>
          <w:tcPr>
            <w:tcW w:w="90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5"/>
                <w:szCs w:val="15"/>
                <w:color w:val="auto"/>
              </w:rPr>
            </w:pPr>
          </w:p>
        </w:tc>
        <w:tc>
          <w:tcPr>
            <w:tcW w:w="200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w w:val="95"/>
              </w:rPr>
              <w:t>Three Months Ended</w:t>
            </w:r>
          </w:p>
        </w:tc>
        <w:tc>
          <w:tcPr>
            <w:tcW w:w="0" w:type="dxa"/>
            <w:vAlign w:val="bottom"/>
          </w:tcPr>
          <w:p>
            <w:pPr>
              <w:spacing w:after="0"/>
              <w:rPr>
                <w:sz w:val="1"/>
                <w:szCs w:val="1"/>
                <w:color w:val="auto"/>
              </w:rPr>
            </w:pPr>
          </w:p>
        </w:tc>
      </w:tr>
      <w:tr>
        <w:trPr>
          <w:trHeight w:val="229"/>
        </w:trPr>
        <w:tc>
          <w:tcPr>
            <w:tcW w:w="904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09"/>
        </w:trPr>
        <w:tc>
          <w:tcPr>
            <w:tcW w:w="904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40" w:type="dxa"/>
            <w:vAlign w:val="bottom"/>
          </w:tcPr>
          <w:p>
            <w:pPr>
              <w:ind w:left="120"/>
              <w:spacing w:after="0"/>
              <w:rPr>
                <w:sz w:val="20"/>
                <w:szCs w:val="20"/>
                <w:color w:val="auto"/>
              </w:rPr>
            </w:pPr>
            <w:r>
              <w:rPr>
                <w:rFonts w:ascii="Arial" w:cs="Arial" w:eastAsia="Arial" w:hAnsi="Arial"/>
                <w:sz w:val="18"/>
                <w:szCs w:val="18"/>
                <w:color w:val="auto"/>
              </w:rPr>
              <w:t>Service revenue and other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100,674</w:t>
            </w:r>
          </w:p>
        </w:tc>
        <w:tc>
          <w:tcPr>
            <w:tcW w:w="0" w:type="dxa"/>
            <w:vAlign w:val="bottom"/>
          </w:tcPr>
          <w:p>
            <w:pPr>
              <w:spacing w:after="0"/>
              <w:rPr>
                <w:sz w:val="1"/>
                <w:szCs w:val="1"/>
                <w:color w:val="auto"/>
              </w:rPr>
            </w:pPr>
          </w:p>
        </w:tc>
      </w:tr>
      <w:tr>
        <w:trPr>
          <w:trHeight w:val="230"/>
        </w:trPr>
        <w:tc>
          <w:tcPr>
            <w:tcW w:w="9040" w:type="dxa"/>
            <w:vAlign w:val="bottom"/>
          </w:tcPr>
          <w:p>
            <w:pPr>
              <w:ind w:left="120"/>
              <w:spacing w:after="0"/>
              <w:rPr>
                <w:sz w:val="20"/>
                <w:szCs w:val="20"/>
                <w:color w:val="auto"/>
              </w:rPr>
            </w:pPr>
            <w:r>
              <w:rPr>
                <w:rFonts w:ascii="Arial" w:cs="Arial" w:eastAsia="Arial" w:hAnsi="Arial"/>
                <w:sz w:val="18"/>
                <w:szCs w:val="18"/>
                <w:color w:val="auto"/>
              </w:rPr>
              <w:t>Equipment revenue</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23"/>
        </w:trPr>
        <w:tc>
          <w:tcPr>
            <w:tcW w:w="904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107,073</w:t>
            </w:r>
          </w:p>
        </w:tc>
        <w:tc>
          <w:tcPr>
            <w:tcW w:w="0" w:type="dxa"/>
            <w:vAlign w:val="bottom"/>
          </w:tcPr>
          <w:p>
            <w:pPr>
              <w:spacing w:after="0"/>
              <w:rPr>
                <w:sz w:val="1"/>
                <w:szCs w:val="1"/>
                <w:color w:val="auto"/>
              </w:rPr>
            </w:pPr>
          </w:p>
        </w:tc>
      </w:tr>
      <w:tr>
        <w:trPr>
          <w:trHeight w:val="209"/>
        </w:trPr>
        <w:tc>
          <w:tcPr>
            <w:tcW w:w="90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19,427</w:t>
            </w:r>
          </w:p>
        </w:tc>
        <w:tc>
          <w:tcPr>
            <w:tcW w:w="0" w:type="dxa"/>
            <w:vAlign w:val="bottom"/>
          </w:tcPr>
          <w:p>
            <w:pPr>
              <w:spacing w:after="0"/>
              <w:rPr>
                <w:sz w:val="1"/>
                <w:szCs w:val="1"/>
                <w:color w:val="auto"/>
              </w:rPr>
            </w:pPr>
          </w:p>
        </w:tc>
      </w:tr>
      <w:tr>
        <w:trPr>
          <w:trHeight w:val="229"/>
        </w:trPr>
        <w:tc>
          <w:tcPr>
            <w:tcW w:w="904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30"/>
        </w:trPr>
        <w:tc>
          <w:tcPr>
            <w:tcW w:w="90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10,702</w:t>
            </w:r>
          </w:p>
        </w:tc>
        <w:tc>
          <w:tcPr>
            <w:tcW w:w="0" w:type="dxa"/>
            <w:vAlign w:val="bottom"/>
          </w:tcPr>
          <w:p>
            <w:pPr>
              <w:spacing w:after="0"/>
              <w:rPr>
                <w:sz w:val="1"/>
                <w:szCs w:val="1"/>
                <w:color w:val="auto"/>
              </w:rPr>
            </w:pPr>
          </w:p>
        </w:tc>
      </w:tr>
      <w:tr>
        <w:trPr>
          <w:trHeight w:val="230"/>
        </w:trPr>
        <w:tc>
          <w:tcPr>
            <w:tcW w:w="9040" w:type="dxa"/>
            <w:vAlign w:val="bottom"/>
          </w:tcPr>
          <w:p>
            <w:pPr>
              <w:ind w:left="120"/>
              <w:spacing w:after="0"/>
              <w:rPr>
                <w:sz w:val="20"/>
                <w:szCs w:val="20"/>
                <w:color w:val="auto"/>
              </w:rPr>
            </w:pPr>
            <w:r>
              <w:rPr>
                <w:rFonts w:ascii="Arial" w:cs="Arial" w:eastAsia="Arial" w:hAnsi="Arial"/>
                <w:sz w:val="18"/>
                <w:szCs w:val="18"/>
                <w:color w:val="auto"/>
              </w:rPr>
              <w:t>Severance expense</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90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36,561</w:t>
            </w:r>
          </w:p>
        </w:tc>
        <w:tc>
          <w:tcPr>
            <w:tcW w:w="0" w:type="dxa"/>
            <w:vAlign w:val="bottom"/>
          </w:tcPr>
          <w:p>
            <w:pPr>
              <w:spacing w:after="0"/>
              <w:rPr>
                <w:sz w:val="1"/>
                <w:szCs w:val="1"/>
                <w:color w:val="auto"/>
              </w:rPr>
            </w:pPr>
          </w:p>
        </w:tc>
      </w:tr>
      <w:tr>
        <w:trPr>
          <w:trHeight w:val="222"/>
        </w:trPr>
        <w:tc>
          <w:tcPr>
            <w:tcW w:w="904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70,512</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Interest expense and other, net</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22"/>
        </w:trPr>
        <w:tc>
          <w:tcPr>
            <w:tcW w:w="904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66,128</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17,656</w:t>
            </w:r>
          </w:p>
        </w:tc>
        <w:tc>
          <w:tcPr>
            <w:tcW w:w="0" w:type="dxa"/>
            <w:vAlign w:val="bottom"/>
          </w:tcPr>
          <w:p>
            <w:pPr>
              <w:spacing w:after="0"/>
              <w:rPr>
                <w:sz w:val="1"/>
                <w:szCs w:val="1"/>
                <w:color w:val="auto"/>
              </w:rPr>
            </w:pPr>
          </w:p>
        </w:tc>
      </w:tr>
      <w:tr>
        <w:trPr>
          <w:trHeight w:val="223"/>
        </w:trPr>
        <w:tc>
          <w:tcPr>
            <w:tcW w:w="9040" w:type="dxa"/>
            <w:vAlign w:val="bottom"/>
          </w:tcPr>
          <w:p>
            <w:pPr>
              <w:ind w:left="12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48,472</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was no material income from discontinued operations for the three months ended March 31,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Broadband segment provides broadband data, video and voice services to residential and commercial customers in portions of Virginia, West Virginia, Maryland, Pennsylvania and Kentucky, via fiber optic, hybrid fiber coaxial cable, and fixed wireless networks. The Broadband segment also provides voice and DSL telephone services to customers in Virginia’s Shenandoah County and portions of adjacent counties as a Rural Local Exchange Carrier (“RLEC”).</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one year. Additionally, the Company incurs commission expenses related to in-house and third-party vendors which are capitalized and amortized over the expected weighted average customer life which is approximately six years. Amortization of capitalized commission expenses is recorded in selling, general and administrative expenses in the Company's unaudited condensed consolidated statements of comprehensive income (loss).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Broadband segment's capitalized contract acquisition costs: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29"/>
        </w:trPr>
        <w:tc>
          <w:tcPr>
            <w:tcW w:w="8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2"/>
        </w:trPr>
        <w:tc>
          <w:tcPr>
            <w:tcW w:w="8220" w:type="dxa"/>
            <w:vAlign w:val="bottom"/>
          </w:tcPr>
          <w:p>
            <w:pPr>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8,147</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7,358</w:t>
            </w:r>
          </w:p>
        </w:tc>
      </w:tr>
      <w:tr>
        <w:trPr>
          <w:trHeight w:val="229"/>
        </w:trPr>
        <w:tc>
          <w:tcPr>
            <w:tcW w:w="8220" w:type="dxa"/>
            <w:vAlign w:val="bottom"/>
          </w:tcPr>
          <w:p>
            <w:pPr>
              <w:spacing w:after="0"/>
              <w:rPr>
                <w:sz w:val="20"/>
                <w:szCs w:val="20"/>
                <w:color w:val="auto"/>
              </w:rPr>
            </w:pPr>
            <w:r>
              <w:rPr>
                <w:rFonts w:ascii="Arial" w:cs="Arial" w:eastAsia="Arial" w:hAnsi="Arial"/>
                <w:sz w:val="18"/>
                <w:szCs w:val="18"/>
                <w:color w:val="auto"/>
              </w:rPr>
              <w:t>Contract payments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Contract amortization</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Broadband segment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longer of the contract term or the period in which the unrecognized fee remains material to the respective contract. A related contract liability of $3.9 million at March 31, 2022, is expected to be recognized into revenue at the rate of approximately $0.2 million per year.</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Broadband segment also leases dedicated fiber optic strands to customers as part of “dark fiber” agreements, which are accounted for as leases under Accounting Standards Codification 842, Leases, ("ASC 842"). Our Tower segment leases space on owned cell towers to our Broadband segment, and to other wireless carriers. Revenue from these leases is accounted for under ASC 842. Refer to Note 12, </w:t>
      </w:r>
      <w:r>
        <w:rPr>
          <w:rFonts w:ascii="Arial" w:cs="Arial" w:eastAsia="Arial" w:hAnsi="Arial"/>
          <w:sz w:val="18"/>
          <w:szCs w:val="18"/>
          <w:i w:val="1"/>
          <w:iCs w:val="1"/>
          <w:color w:val="auto"/>
        </w:rPr>
        <w:t>Segment Reporting</w:t>
      </w:r>
      <w:r>
        <w:rPr>
          <w:rFonts w:ascii="Arial" w:cs="Arial" w:eastAsia="Arial" w:hAnsi="Arial"/>
          <w:sz w:val="18"/>
          <w:szCs w:val="18"/>
          <w:color w:val="auto"/>
        </w:rPr>
        <w:t>, for a summary of these revenue streams.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4. Investments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40" w:type="dxa"/>
            <w:vAlign w:val="bottom"/>
          </w:tcPr>
          <w:p>
            <w:pPr>
              <w:spacing w:after="0"/>
              <w:rPr>
                <w:sz w:val="20"/>
                <w:szCs w:val="20"/>
                <w:color w:val="auto"/>
              </w:rPr>
            </w:pPr>
            <w:r>
              <w:rPr>
                <w:rFonts w:ascii="Arial" w:cs="Arial" w:eastAsia="Arial" w:hAnsi="Arial"/>
                <w:sz w:val="18"/>
                <w:szCs w:val="18"/>
                <w:color w:val="auto"/>
              </w:rPr>
              <w:t>Investments consist of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824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2"/>
        </w:trPr>
        <w:tc>
          <w:tcPr>
            <w:tcW w:w="8240" w:type="dxa"/>
            <w:vAlign w:val="bottom"/>
          </w:tcPr>
          <w:p>
            <w:pPr>
              <w:ind w:left="20"/>
              <w:spacing w:after="0"/>
              <w:rPr>
                <w:sz w:val="20"/>
                <w:szCs w:val="20"/>
                <w:color w:val="auto"/>
              </w:rPr>
            </w:pPr>
            <w:r>
              <w:rPr>
                <w:rFonts w:ascii="Arial" w:cs="Arial" w:eastAsia="Arial" w:hAnsi="Arial"/>
                <w:sz w:val="18"/>
                <w:szCs w:val="18"/>
                <w:color w:val="auto"/>
              </w:rPr>
              <w:t>SERP investments at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Cost method investments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13,661</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SERP Investments at Fair Value: </w:t>
      </w:r>
      <w:r>
        <w:rPr>
          <w:rFonts w:ascii="Arial" w:cs="Arial" w:eastAsia="Arial" w:hAnsi="Arial"/>
          <w:sz w:val="17"/>
          <w:szCs w:val="17"/>
          <w:color w:val="auto"/>
        </w:rPr>
        <w:t>The Supplemental Executive Retirement Plan (“SERP”) is a benefit plan that provides deferred compensation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employees. The Company holds the related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Arial" w:cs="Arial" w:eastAsia="Arial" w:hAnsi="Arial"/>
          <w:sz w:val="17"/>
          <w:szCs w:val="17"/>
          <w:i w:val="1"/>
          <w:iCs w:val="1"/>
          <w:color w:val="auto"/>
        </w:rPr>
        <w:t>Compensation</w:t>
      </w:r>
      <w:r>
        <w:rPr>
          <w:rFonts w:ascii="Arial" w:cs="Arial" w:eastAsia="Arial" w:hAnsi="Arial"/>
          <w:sz w:val="17"/>
          <w:szCs w:val="17"/>
          <w:color w:val="auto"/>
        </w:rPr>
        <w:t>. Changes to the investments' fair value are presented in Other income (expense), while the reciprocal changes in the liability are presented in selling, general and administrative expense. At March 31, 2022 and December 31, 2021, an additional $0.8 million of SERP investments were presented as prepaid expenses and other (current assets) as we intend to liquidate certain investments to pay the current portion of our SERP obligation.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Cost Method Investments</w:t>
      </w:r>
      <w:r>
        <w:rPr>
          <w:rFonts w:ascii="Arial" w:cs="Arial" w:eastAsia="Arial" w:hAnsi="Arial"/>
          <w:sz w:val="18"/>
          <w:szCs w:val="18"/>
          <w:color w:val="auto"/>
        </w:rPr>
        <w:t>: Our investment in CoBank ACB’s Class A common stock represented substantially all of our cost method investments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$10.0 million and $10.3 million at March 31, 2022 and December 31, 2021, respectively. We recognized approximately $0.1 million and $1.0 million of patronage income in other income for the three months ended March 31, 2022 and 2021, respectively. Historically, approximately 75% of the patronage distributions were collected in cash and 25% in equity.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Equity Method Investments: </w:t>
      </w:r>
      <w:r>
        <w:rPr>
          <w:rFonts w:ascii="Arial" w:cs="Arial" w:eastAsia="Arial" w:hAnsi="Arial"/>
          <w:sz w:val="18"/>
          <w:szCs w:val="18"/>
          <w:color w:val="auto"/>
        </w:rPr>
        <w:t>At March 31, 2022 and December 31, 2021, the Company had a 20.0% ownership interest in Valley Network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(“ValleyNet”). The Company and ValleyNet purchase capacity on one another’s fiber network, through related party transactions. We recognized revenue of $0.2 million during each of the three months ended March 31, 2022 and 2021. We recognized cost of service of $28.2 thousand and $0.5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5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Note 5. Property, Plant and Equipment</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68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Estimated Useful</w:t>
            </w: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6680" w:type="dxa"/>
            <w:vAlign w:val="bottom"/>
            <w:gridSpan w:val="2"/>
            <w:vMerge w:val="continue"/>
          </w:tcPr>
          <w:p>
            <w:pPr>
              <w:spacing w:after="0"/>
              <w:rPr>
                <w:sz w:val="19"/>
                <w:szCs w:val="19"/>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Lives</w:t>
            </w:r>
          </w:p>
        </w:tc>
        <w:tc>
          <w:tcPr>
            <w:tcW w:w="22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2"/>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Land</w:t>
            </w:r>
          </w:p>
        </w:tc>
        <w:tc>
          <w:tcPr>
            <w:tcW w:w="1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Land improvements</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Buildings and structures</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10 - 45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96,504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96,323</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Cable and fiber</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15 - 30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476,573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453,405</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Equipment and software</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4 - 8 years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383,619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391,293</w:t>
            </w:r>
          </w:p>
        </w:tc>
        <w:tc>
          <w:tcPr>
            <w:tcW w:w="0" w:type="dxa"/>
            <w:vAlign w:val="bottom"/>
          </w:tcPr>
          <w:p>
            <w:pPr>
              <w:spacing w:after="0"/>
              <w:rPr>
                <w:sz w:val="1"/>
                <w:szCs w:val="1"/>
                <w:color w:val="auto"/>
              </w:rPr>
            </w:pPr>
          </w:p>
        </w:tc>
      </w:tr>
      <w:tr>
        <w:trPr>
          <w:trHeight w:val="222"/>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Plant in service</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963,950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948,270</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Plant under construction</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79,963</w:t>
            </w:r>
          </w:p>
        </w:tc>
        <w:tc>
          <w:tcPr>
            <w:tcW w:w="0" w:type="dxa"/>
            <w:vAlign w:val="bottom"/>
          </w:tcPr>
          <w:p>
            <w:pPr>
              <w:spacing w:after="0"/>
              <w:rPr>
                <w:sz w:val="1"/>
                <w:szCs w:val="1"/>
                <w:color w:val="auto"/>
              </w:rPr>
            </w:pPr>
          </w:p>
        </w:tc>
      </w:tr>
      <w:tr>
        <w:trPr>
          <w:trHeight w:val="222"/>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Total property, plant and equipment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1,068,977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1,028,233</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487,436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474,071</w:t>
            </w:r>
          </w:p>
        </w:tc>
        <w:tc>
          <w:tcPr>
            <w:tcW w:w="0" w:type="dxa"/>
            <w:vAlign w:val="bottom"/>
          </w:tcPr>
          <w:p>
            <w:pPr>
              <w:spacing w:after="0"/>
              <w:rPr>
                <w:sz w:val="1"/>
                <w:szCs w:val="1"/>
                <w:color w:val="auto"/>
              </w:rPr>
            </w:pPr>
          </w:p>
        </w:tc>
      </w:tr>
      <w:tr>
        <w:trPr>
          <w:trHeight w:val="223"/>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581,541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554,162</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plant and equipment net, increases were primarily attributable to capital expenditures in the Broadband segment due to expansion of Glo Fiber assets and market expansion. Depreciation expense was $14.5 million and $13.0 million for the three months ended March 31, 2022 and 2021,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March 31, 2022</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rPr>
              <w:t>Amortization and</w:t>
            </w:r>
          </w:p>
        </w:tc>
        <w:tc>
          <w:tcPr>
            <w:tcW w:w="220" w:type="dxa"/>
            <w:vAlign w:val="bottom"/>
          </w:tcPr>
          <w:p>
            <w:pPr>
              <w:spacing w:after="0"/>
              <w:rPr>
                <w:sz w:val="15"/>
                <w:szCs w:val="15"/>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0"/>
        </w:trPr>
        <w:tc>
          <w:tcPr>
            <w:tcW w:w="3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Goodwill - Broadband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Indefinite-lived intangibles: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Cable franchise rights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Arial" w:cs="Arial" w:eastAsia="Arial" w:hAnsi="Arial"/>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Railroad crossing rights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78,314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78,314</w:t>
            </w:r>
          </w:p>
        </w:tc>
        <w:tc>
          <w:tcPr>
            <w:tcW w:w="0" w:type="dxa"/>
            <w:vAlign w:val="bottom"/>
          </w:tcPr>
          <w:p>
            <w:pPr>
              <w:spacing w:after="0"/>
              <w:rPr>
                <w:sz w:val="1"/>
                <w:szCs w:val="1"/>
                <w:color w:val="auto"/>
              </w:rPr>
            </w:pPr>
          </w:p>
        </w:tc>
      </w:tr>
      <w:tr>
        <w:trPr>
          <w:trHeight w:val="479"/>
        </w:trPr>
        <w:tc>
          <w:tcPr>
            <w:tcW w:w="3720" w:type="dxa"/>
            <w:vAlign w:val="bottom"/>
          </w:tcPr>
          <w:p>
            <w:pPr>
              <w:spacing w:after="0"/>
              <w:rPr>
                <w:sz w:val="20"/>
                <w:szCs w:val="20"/>
                <w:color w:val="auto"/>
              </w:rPr>
            </w:pPr>
            <w:r>
              <w:rPr>
                <w:rFonts w:ascii="Arial" w:cs="Arial" w:eastAsia="Arial" w:hAnsi="Arial"/>
                <w:sz w:val="18"/>
                <w:szCs w:val="18"/>
                <w:color w:val="auto"/>
              </w:rPr>
              <w:t>Finite-lived intangibles: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Subscriber relationships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Arial" w:cs="Arial" w:eastAsia="Arial" w:hAnsi="Arial"/>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Arial" w:cs="Arial" w:eastAsia="Arial" w:hAnsi="Arial"/>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117,257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117,257</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$0.2 million for both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6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Note 7.   Other Assets and Accrued Liabilities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40" w:type="dxa"/>
            <w:vAlign w:val="bottom"/>
            <w:gridSpan w:val="2"/>
          </w:tcPr>
          <w:p>
            <w:pPr>
              <w:spacing w:after="0"/>
              <w:rPr>
                <w:sz w:val="20"/>
                <w:szCs w:val="20"/>
                <w:color w:val="auto"/>
              </w:rPr>
            </w:pPr>
            <w:r>
              <w:rPr>
                <w:rFonts w:ascii="Arial" w:cs="Arial" w:eastAsia="Arial" w:hAnsi="Arial"/>
                <w:sz w:val="18"/>
                <w:szCs w:val="18"/>
                <w:color w:val="auto"/>
              </w:rPr>
              <w:t>Prepaid expenses and other, classified as current assets, included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824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2"/>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Deposit for FCC spectrum licenses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16,118</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Prepaid maintenance and software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Broadband contract acquisition costs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SERP investments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29,830</w:t>
            </w:r>
          </w:p>
        </w:tc>
        <w:tc>
          <w:tcPr>
            <w:tcW w:w="0" w:type="dxa"/>
            <w:vAlign w:val="bottom"/>
          </w:tcPr>
          <w:p>
            <w:pPr>
              <w:spacing w:after="0"/>
              <w:rPr>
                <w:sz w:val="1"/>
                <w:szCs w:val="1"/>
                <w:color w:val="auto"/>
              </w:rPr>
            </w:pPr>
          </w:p>
        </w:tc>
      </w:tr>
      <w:tr>
        <w:trPr>
          <w:trHeight w:val="21"/>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0"/>
        </w:trPr>
        <w:tc>
          <w:tcPr>
            <w:tcW w:w="824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2"/>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Broadband contract acquisition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Prepaid maintenance and software expenses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Deferred charges and other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1"/>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0"/>
        </w:trPr>
        <w:tc>
          <w:tcPr>
            <w:tcW w:w="824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2"/>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Accrued programming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Sales and property taxes payable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Restructuring accrual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8,739</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Accrued liabilities and other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14,649</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 classified as long-term liabilities, included the following:</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0"/>
        </w:trPr>
        <w:tc>
          <w:tcPr>
            <w:tcW w:w="824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2"/>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Noncurrent portion of deferred lease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19,749</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FCC spectrum license obligations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Noncurrent portion of financing leases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242424"/>
        </w:rPr>
        <w:t xml:space="preserve">During the third quarter of 2020, the Company was awarded certain indefinite-lived Citizens Broadband Radio Service ("CBRS") spectrum licenses to be used within the Broadband segment. The Company paid an aggregate deposit of </w:t>
      </w:r>
      <w:r>
        <w:rPr>
          <w:rFonts w:ascii="Arial" w:cs="Arial" w:eastAsia="Arial" w:hAnsi="Arial"/>
          <w:sz w:val="18"/>
          <w:szCs w:val="18"/>
          <w:color w:val="000000"/>
        </w:rPr>
        <w:t>$16.1 million</w:t>
      </w:r>
      <w:r>
        <w:rPr>
          <w:rFonts w:ascii="Arial" w:cs="Arial" w:eastAsia="Arial" w:hAnsi="Arial"/>
          <w:sz w:val="18"/>
          <w:szCs w:val="18"/>
          <w:color w:val="242424"/>
        </w:rPr>
        <w:t xml:space="preserve"> with the licenses subject to final approval and issuance by the Federal Communications Commission (“FCC”). The licenses will provide us priority access rights over general access users other than incumbents, in that specific band, in accordance with the FCC’s three-tier CBRS band spectrum sharing framework. The FCC </w:t>
      </w:r>
      <w:r>
        <w:rPr>
          <w:rFonts w:ascii="Arial" w:cs="Arial" w:eastAsia="Arial" w:hAnsi="Arial"/>
          <w:sz w:val="18"/>
          <w:szCs w:val="18"/>
          <w:color w:val="000000"/>
        </w:rPr>
        <w:t>is still reviewing the Company’s final</w:t>
      </w:r>
      <w:r>
        <w:rPr>
          <w:rFonts w:ascii="Arial" w:cs="Arial" w:eastAsia="Arial" w:hAnsi="Arial"/>
          <w:sz w:val="18"/>
          <w:szCs w:val="18"/>
          <w:color w:val="242424"/>
        </w:rPr>
        <w:t xml:space="preserve"> </w:t>
      </w:r>
      <w:r>
        <w:rPr>
          <w:rFonts w:ascii="Arial" w:cs="Arial" w:eastAsia="Arial" w:hAnsi="Arial"/>
          <w:sz w:val="18"/>
          <w:szCs w:val="18"/>
          <w:color w:val="000000"/>
        </w:rPr>
        <w:t>application for the licenses. The entire deposit of $16.1 million is classified within prepaid expenses and other in the Company’s consolidated balance sheets as of March 31, 2022 and December 31, 2021.</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2021, as a result of the sale of our Wireless assets and operations, we implemented a restructuring plan whereby certain employees were notified of their pending dismissal under the workforce reduction program. We made $0.8 million in severance payments related to the workforce reduction program for the three months ended March 31, 2022. There were no severance payments for the three months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various broadband network and telecommunications sites, fiber optic cable routes, warehouses, retail stores, and office facilities for use in our business.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2022, our operating leases had a weighted average remaining lease term of twenty years and a weighted average discount rate of 4.4%. Our finance leases had a weighted average remaining lease term of fourteen years and a weighted average discount rate of 5.2%.</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each of the three months ended March 31, 2022 and 2021, we recognized $2.7 million and $1.4 million of operating lease expense, respectively. We recognized $0.1 million and $0.2 million of interest and depreciation expense on finance leases for the three months ended March 31, 2022 and 2021, respectively. Operating lease expense is presented in cost of service or selling, general and administrative expense based on the use of the relevant facility. Variable lease payments and short-term lease expense were both immaterial. We remitted $1.6 million and $1.5 million of operating lease payments for the three months ended March 31, 2022 and 2021, respectively. We also obtained $1.6 million and $2.7 million of leased assets in exchange for new operating lease liabilities recognized for the three months ended March 31, 2022 and 2021,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4"/>
          </w:tcPr>
          <w:p>
            <w:pPr>
              <w:spacing w:after="0"/>
              <w:rPr>
                <w:sz w:val="20"/>
                <w:szCs w:val="20"/>
                <w:color w:val="auto"/>
              </w:rPr>
            </w:pPr>
            <w:r>
              <w:rPr>
                <w:rFonts w:ascii="Arial" w:cs="Arial" w:eastAsia="Arial" w:hAnsi="Arial"/>
                <w:sz w:val="18"/>
                <w:szCs w:val="18"/>
                <w:color w:val="auto"/>
                <w:w w:val="98"/>
              </w:rPr>
              <w:t>The following table summarizes the expected maturity of lease liabilities at March 31, 2022:</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7"/>
        </w:trPr>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2"/>
                <w:szCs w:val="22"/>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Operating Leases</w:t>
            </w:r>
          </w:p>
        </w:tc>
        <w:tc>
          <w:tcPr>
            <w:tcW w:w="260" w:type="dxa"/>
            <w:vAlign w:val="bottom"/>
          </w:tcPr>
          <w:p>
            <w:pPr>
              <w:spacing w:after="0"/>
              <w:rPr>
                <w:sz w:val="22"/>
                <w:szCs w:val="22"/>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Finance Leases</w:t>
            </w:r>
          </w:p>
        </w:tc>
        <w:tc>
          <w:tcPr>
            <w:tcW w:w="460" w:type="dxa"/>
            <w:vAlign w:val="bottom"/>
          </w:tcPr>
          <w:p>
            <w:pPr>
              <w:spacing w:after="0"/>
              <w:rPr>
                <w:sz w:val="22"/>
                <w:szCs w:val="22"/>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3,905</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3,975</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5,223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5,399</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4,893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5,071</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4,696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4,876</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4,364</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68,256</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69,770</w:t>
            </w: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91,184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93,455</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36,044</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57,411</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recognized $5.4 million and $2.4 million of operating lease revenue for the three months ended March 31, 2022 and 2021, respectively, related to the cell site colocation space and dedicated fiber optic strands that we lease to our customers, which is included in Service revenue and other in the unaudited condensed consolidated statements of comprehensive income (loss). Substantially all of our lease revenue relates to fixed lease payments.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Below is a summary of our minimum rental receipts under the lease agreements in place at March 31, 2022:</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6"/>
        </w:trPr>
        <w:tc>
          <w:tcPr>
            <w:tcW w:w="9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Operating Leases</w:t>
            </w:r>
          </w:p>
        </w:tc>
      </w:tr>
      <w:tr>
        <w:trPr>
          <w:trHeight w:val="222"/>
        </w:trPr>
        <w:tc>
          <w:tcPr>
            <w:tcW w:w="92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12,398</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13,849</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12,840</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11,908</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8,899</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30,769</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90,663</w:t>
            </w:r>
          </w:p>
        </w:tc>
      </w:tr>
      <w:tr>
        <w:trPr>
          <w:trHeight w:val="21"/>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files U.S. federal income tax returns and various state income tax returns. The Company is not subject to any state or federal income tax audits as of March 31, 2022. The Company's income tax returns are generally open to examination from 2018 forward and the net operating losses acquired in the acquisition of nTelos are open to examination from 2002 forward.</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rates for the three months ended March 31, 2022 and 2021, differ from the statutory U.S. federal income tax rate of 21% primarily due to the state income taxes, excess tax benefits and other discrete items.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tax expense (benefit) at federal statutory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income tax expense (benefit), net of federal tax effect</w:t>
      </w:r>
    </w:p>
    <w:p>
      <w:pPr>
        <w:spacing w:after="0" w:line="23" w:lineRule="exact"/>
        <w:rPr>
          <w:sz w:val="20"/>
          <w:szCs w:val="20"/>
          <w:color w:val="auto"/>
        </w:rPr>
      </w:pPr>
    </w:p>
    <w:p>
      <w:pPr>
        <w:ind w:left="140" w:right="1320" w:hanging="120"/>
        <w:spacing w:after="0" w:line="292" w:lineRule="auto"/>
        <w:rPr>
          <w:sz w:val="20"/>
          <w:szCs w:val="20"/>
          <w:color w:val="auto"/>
        </w:rPr>
      </w:pPr>
      <w:r>
        <w:rPr>
          <w:rFonts w:ascii="Arial" w:cs="Arial" w:eastAsia="Arial" w:hAnsi="Arial"/>
          <w:sz w:val="18"/>
          <w:szCs w:val="18"/>
          <w:color w:val="auto"/>
        </w:rPr>
        <w:t>Excess tax deficiency (benefit) from share based compensation and other expense, net 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w:t>
      </w:r>
    </w:p>
    <w:p>
      <w:pPr>
        <w:jc w:val="center"/>
        <w:ind w:right="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wp:posOffset>
            </wp:positionV>
            <wp:extent cx="1903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520"/>
        <w:spacing w:after="0"/>
        <w:tabs>
          <w:tab w:leader="none" w:pos="206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903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p>
    <w:p>
      <w:pPr>
        <w:spacing w:after="0"/>
        <w:tabs>
          <w:tab w:leader="none" w:pos="980" w:val="left"/>
          <w:tab w:leader="none" w:pos="1540" w:val="left"/>
          <w:tab w:leader="none" w:pos="2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w:t>
        <w:tab/>
        <w:t>$</w:t>
      </w:r>
      <w:r>
        <w:rPr>
          <w:sz w:val="20"/>
          <w:szCs w:val="20"/>
          <w:color w:val="auto"/>
        </w:rPr>
        <w:tab/>
      </w:r>
      <w:r>
        <w:rPr>
          <w:rFonts w:ascii="Arial" w:cs="Arial" w:eastAsia="Arial" w:hAnsi="Arial"/>
          <w:sz w:val="15"/>
          <w:szCs w:val="15"/>
          <w:color w:val="auto"/>
        </w:rPr>
        <w:t>804</w:t>
      </w:r>
    </w:p>
    <w:p>
      <w:pPr>
        <w:spacing w:after="0" w:line="23" w:lineRule="exact"/>
        <w:rPr>
          <w:sz w:val="20"/>
          <w:szCs w:val="20"/>
          <w:color w:val="auto"/>
        </w:rPr>
      </w:pPr>
    </w:p>
    <w:p>
      <w:pPr>
        <w:ind w:left="2640" w:hanging="1553"/>
        <w:spacing w:after="0"/>
        <w:tabs>
          <w:tab w:leader="none" w:pos="2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308</w:t>
      </w:r>
    </w:p>
    <w:p>
      <w:pPr>
        <w:spacing w:after="0" w:line="22"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200</w:t>
      </w:r>
      <w:r>
        <w:rPr>
          <w:rFonts w:ascii="Arial" w:cs="Arial" w:eastAsia="Arial" w:hAnsi="Arial"/>
          <w:sz w:val="17"/>
          <w:szCs w:val="17"/>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9030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 w:lineRule="exact"/>
        <w:rPr>
          <w:sz w:val="20"/>
          <w:szCs w:val="20"/>
          <w:color w:val="auto"/>
        </w:rPr>
      </w:pPr>
    </w:p>
    <w:p>
      <w:pPr>
        <w:spacing w:after="0"/>
        <w:tabs>
          <w:tab w:leader="none" w:pos="1140" w:val="left"/>
          <w:tab w:leader="none" w:pos="1540" w:val="left"/>
          <w:tab w:leader="none" w:pos="2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w:t>
        <w:tab/>
        <w:t>$</w:t>
      </w:r>
      <w:r>
        <w:rPr>
          <w:sz w:val="20"/>
          <w:szCs w:val="20"/>
          <w:color w:val="auto"/>
        </w:rPr>
        <w:tab/>
      </w:r>
      <w:r>
        <w:rPr>
          <w:rFonts w:ascii="Arial" w:cs="Arial" w:eastAsia="Arial" w:hAnsi="Arial"/>
          <w:sz w:val="15"/>
          <w:szCs w:val="15"/>
          <w:color w:val="auto"/>
        </w:rPr>
        <w:t>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90309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3095" cy="3429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7540" w:space="720"/>
            <w:col w:w="2980"/>
          </w:cols>
          <w:pgMar w:left="320" w:top="125" w:right="339" w:bottom="1440" w:gutter="0" w:footer="0" w:header="0"/>
        </w:sectPr>
      </w:pP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made no cash payments and received no cash refunds for income taxes for the three months ended March 31, 2022. The Company's cash refunds for income taxes were approximately $0.8 million for the three months ended March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Compensation and Earnings per Share</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granted approximately 195 thousand restricted stock units ("RSUs") to employees and approximately 48 thousand RSUs to members of the board of directors, at a market price of $21.57 per award during the three months ended March 31, 2022. Under the terms of the award agreements, the RSUs granted to employees vest ratably on an annual basis through 2026. The RSUs granted to the members of the board of directors vest fully on the first anniversary of the grant date. Additionally, approximately 97 thousand Relative Total Shareholder Return (“RTSR”) awards were granted to employees at a value of $23.83 per award. Pursuant to the terms of the RTSR awards, the Company’s stock performance over a three-year period, ending December 31, 2024, will be compared to a group of peer companies, and the actual number of shares to be issued will be determined based upon the performance of the Company’s stock as compared with that of the peer group. The actual number of shares to be issued ranges from zero (if the Company’s stock performance is in the bottom 25% of the peer group) to 150% of the awards granted (if the Company’s stock performance is in the top 25% of the peer group). The Company's stock based compensation award vesting is subject to requirements relating to continued employment with the Company through the service or performance periods, and to special vesting provisions in case of a change of control, death, disability or retirement.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We utilize the treasury stock method to calculate the impact on diluted earnings per share that potentially dilutive stock-based compensation awards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computation of basic and diluted earnings per share:</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82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Calculation of net income (loss) per share: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Total income from discontinued operations, net of tax</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48,472</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51,417</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49,947</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Basic net income (loss) per share - continuing operations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Basic net income per share - discontinued operations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Arial" w:cs="Arial" w:eastAsia="Arial" w:hAnsi="Arial"/>
                <w:sz w:val="18"/>
                <w:szCs w:val="18"/>
                <w:color w:val="auto"/>
              </w:rPr>
              <w:t>Basic net income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Arial" w:cs="Arial" w:eastAsia="Arial" w:hAnsi="Arial"/>
                <w:sz w:val="18"/>
                <w:szCs w:val="18"/>
                <w:color w:val="auto"/>
              </w:rPr>
              <w:t>Effect of stock-based compensation awards outstanding:</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49,947</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Effect from dilutive shares and options outstanding</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50,081</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Diluted net income (loss) per share - continuing operations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8"/>
                <w:szCs w:val="18"/>
                <w:color w:val="auto"/>
              </w:rPr>
              <w:t>Diluted net income per share - discontinued operations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Arial" w:cs="Arial" w:eastAsia="Arial" w:hAnsi="Arial"/>
                <w:sz w:val="18"/>
                <w:szCs w:val="18"/>
                <w:color w:val="auto"/>
              </w:rPr>
              <w:t>Diluted net income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There were approximately 147 thousand potentially dilutive equity awards for the three months ended March 31, 2022; however, these securities were excluded from the calculation of diluted weighted average shares outstanding due to the fact that they were anti-dilutive as a result of the Company's net loss for the period. There were fewer than 100 thousand anti-dilutive equity awards outstanding for the three months ended March 31, 2021.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are committed to make payments to satisfy our lease liabilities. The scheduled payments under those obligations are summarized in Note 8, </w:t>
      </w:r>
      <w:r>
        <w:rPr>
          <w:rFonts w:ascii="Arial" w:cs="Arial" w:eastAsia="Arial" w:hAnsi="Arial"/>
          <w:sz w:val="18"/>
          <w:szCs w:val="18"/>
          <w:i w:val="1"/>
          <w:iCs w:val="1"/>
          <w:color w:val="auto"/>
        </w:rPr>
        <w:t>Leases</w:t>
      </w:r>
      <w:r>
        <w:rPr>
          <w:rFonts w:ascii="Arial" w:cs="Arial" w:eastAsia="Arial" w:hAnsi="Arial"/>
          <w:sz w:val="18"/>
          <w:szCs w:val="18"/>
          <w:color w:val="auto"/>
        </w:rPr>
        <w:t>. We also have outstanding unconditional purchase commitments to procure marketing services and IT software licenses through 2026 and commitments for licenses to access Educational Broadband Service (“EBS”) spectrum channels through 2039.</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presently expect any litigation matters to have a material adverse impact on the consolidated financial statements of the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Note 12. Segment Reporting</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20" w:type="dxa"/>
            <w:vAlign w:val="bottom"/>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Broadband</w:t>
            </w:r>
          </w:p>
        </w:tc>
        <w:tc>
          <w:tcPr>
            <w:tcW w:w="280" w:type="dxa"/>
            <w:vAlign w:val="bottom"/>
          </w:tcPr>
          <w:p>
            <w:pPr>
              <w:spacing w:after="0"/>
              <w:rPr>
                <w:sz w:val="17"/>
                <w:szCs w:val="17"/>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Tower</w:t>
            </w: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30"/>
        </w:trPr>
        <w:tc>
          <w:tcPr>
            <w:tcW w:w="5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Residential &amp; SMB</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46,913</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46,913</w:t>
            </w:r>
          </w:p>
        </w:tc>
        <w:tc>
          <w:tcPr>
            <w:tcW w:w="0" w:type="dxa"/>
            <w:vAlign w:val="bottom"/>
          </w:tcPr>
          <w:p>
            <w:pPr>
              <w:spacing w:after="0"/>
              <w:rPr>
                <w:sz w:val="1"/>
                <w:szCs w:val="1"/>
                <w:color w:val="auto"/>
              </w:rPr>
            </w:pP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9,062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RLEC &amp;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Tower lease</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Service revenue and other</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59,664</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64,410</w:t>
            </w:r>
          </w:p>
        </w:tc>
        <w:tc>
          <w:tcPr>
            <w:tcW w:w="0" w:type="dxa"/>
            <w:vAlign w:val="bottom"/>
          </w:tcPr>
          <w:p>
            <w:pPr>
              <w:spacing w:after="0"/>
              <w:rPr>
                <w:sz w:val="1"/>
                <w:szCs w:val="1"/>
                <w:color w:val="auto"/>
              </w:rPr>
            </w:pPr>
          </w:p>
        </w:tc>
      </w:tr>
      <w:tr>
        <w:trPr>
          <w:trHeight w:val="176"/>
        </w:trPr>
        <w:tc>
          <w:tcPr>
            <w:tcW w:w="5120" w:type="dxa"/>
            <w:vAlign w:val="bottom"/>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64,414</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25,168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26,339</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13,489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12,876</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64,794</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4"/>
                <w:szCs w:val="2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Broadband</w:t>
            </w:r>
          </w:p>
        </w:tc>
        <w:tc>
          <w:tcPr>
            <w:tcW w:w="280" w:type="dxa"/>
            <w:vAlign w:val="bottom"/>
          </w:tcPr>
          <w:p>
            <w:pPr>
              <w:spacing w:after="0"/>
              <w:rPr>
                <w:sz w:val="24"/>
                <w:szCs w:val="2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Tower</w:t>
            </w: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30"/>
        </w:trPr>
        <w:tc>
          <w:tcPr>
            <w:tcW w:w="5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External revenue</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Residential &amp; SMB</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42,930</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42,930</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6,385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RLEC &amp;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Tower lease</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22"/>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Service revenue and other</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52,946</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55,096</w:t>
            </w:r>
          </w:p>
        </w:tc>
        <w:tc>
          <w:tcPr>
            <w:tcW w:w="0" w:type="dxa"/>
            <w:vAlign w:val="bottom"/>
          </w:tcPr>
          <w:p>
            <w:pPr>
              <w:spacing w:after="0"/>
              <w:rPr>
                <w:sz w:val="1"/>
                <w:szCs w:val="1"/>
                <w:color w:val="auto"/>
              </w:rPr>
            </w:pPr>
          </w:p>
        </w:tc>
      </w:tr>
      <w:tr>
        <w:trPr>
          <w:trHeight w:val="176"/>
        </w:trPr>
        <w:tc>
          <w:tcPr>
            <w:tcW w:w="51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Revenue for service provided to the discontinued Wireless</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2,208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2,515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59,691</w:t>
            </w:r>
          </w:p>
        </w:tc>
        <w:tc>
          <w:tcPr>
            <w:tcW w:w="0" w:type="dxa"/>
            <w:vAlign w:val="bottom"/>
          </w:tcPr>
          <w:p>
            <w:pPr>
              <w:spacing w:after="0"/>
              <w:rPr>
                <w:sz w:val="1"/>
                <w:szCs w:val="1"/>
                <w:color w:val="auto"/>
              </w:rPr>
            </w:pPr>
          </w:p>
        </w:tc>
      </w:tr>
      <w:tr>
        <w:trPr>
          <w:trHeight w:val="20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23,424</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10,725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13,266</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44,868</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57,461</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10,286</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total of the reportable segments’ operating income to consolidated income (loss) for continuing operations before income taxes is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8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19"/>
                <w:szCs w:val="19"/>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2"/>
        </w:trPr>
        <w:tc>
          <w:tcPr>
            <w:tcW w:w="8220" w:type="dxa"/>
            <w:vAlign w:val="bottom"/>
          </w:tcPr>
          <w:p>
            <w:pPr>
              <w:spacing w:after="0"/>
              <w:rPr>
                <w:sz w:val="20"/>
                <w:szCs w:val="20"/>
                <w:color w:val="auto"/>
              </w:rPr>
            </w:pPr>
            <w:r>
              <w:rPr>
                <w:rFonts w:ascii="Arial" w:cs="Arial" w:eastAsia="Arial" w:hAnsi="Arial"/>
                <w:sz w:val="18"/>
                <w:szCs w:val="18"/>
                <w:color w:val="auto"/>
              </w:rPr>
              <w:t>Total consolidated operating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2,230</w:t>
            </w: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chief operating decision maker (CODM) does not currently review total assets by segment since the assets are centrally managed and some of the assets are shared by the segments. Accordingly, total assets by segment are not provided.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fourth quarter of 2021, due to the availability of grants awarded under various governmental initiatives, and in support of rural fiber to the home ("FTTH") broadband network expansion projects, we decided to cease further expansion of our “Beam” fixed wireless edge-out strategy.</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decided in April 2022 to cease operations for certain Beam sites encompassing approximately $4.0 million of property, plant, and equipment, net. The Company plans to continue to operate the remaining Beam sites and provide service to existing customers. We expect to finalize our plan and begin the implementation of the site decommissioning activities in the second quarter of 2022.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finalization of our plan to decommission certain Beam fixed wireless sites, we expect to incur approximately $4.0 million of impairment costs and approximately $1.0 million of additional termination costs during the second quarter of 2022, in our Broadband segment.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2021.</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the Company’s Annual Report on Form 10-K for its fiscal year ended December 31, 2021, including the consolidated financial statements and related notes included therein.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Shenandoah Telecommunications Company (“Shentel”, “we”, “our”, “us”, or the “Company”), is a provider of a comprehensive range of broadband communication services and cell tower colocation space in the Mid-Atlantic portion of the United States.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Management’s Discussion and Analysis ("MD&amp;A") is organized around our reportable segments. Refer to Note 2,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Segment Reporting</w:t>
      </w:r>
      <w:r>
        <w:rPr>
          <w:rFonts w:ascii="Arial" w:cs="Arial" w:eastAsia="Arial" w:hAnsi="Arial"/>
          <w:sz w:val="18"/>
          <w:szCs w:val="18"/>
          <w:color w:val="auto"/>
        </w:rPr>
        <w:t>, in our unaudited condensed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Developments</w:t>
      </w:r>
    </w:p>
    <w:p>
      <w:pPr>
        <w:spacing w:after="0" w:line="2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fourth quarter of 2021, due to the availability of grants awarded under various governmental initiatives, and in support of rural fiber to the home ("FTTH") broadband network expansion projects, we decided to cease further expansion of our “Beam” fixed wireless edge-out strategy.</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decided in April 2022 to cease operations for certain Beam sites encompassing approximately $4.0 million of property, plant, and equipment, net. The Company plans to continue to operate the remaining Beam sites and provide service to existing customers. We expect to finalize our plan and begin the implementation of the site decommissioning activities in the second quarter of 2022.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finalization of our plan to decommission certain Beam fixed wireless sites, we expect to incur approximately $4.0 million of impairment costs and approximately $1.0 million of additional termination costs during the second quarter of 2022, in our Broadband segment.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Compared with the Three Months Ended March 31,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5"/>
          </w:tcPr>
          <w:p>
            <w:pPr>
              <w:jc w:val="right"/>
              <w:ind w:right="1030"/>
              <w:spacing w:after="0"/>
              <w:rPr>
                <w:sz w:val="20"/>
                <w:szCs w:val="20"/>
                <w:color w:val="auto"/>
              </w:rPr>
            </w:pPr>
            <w:r>
              <w:rPr>
                <w:rFonts w:ascii="Arial" w:cs="Arial" w:eastAsia="Arial" w:hAnsi="Arial"/>
                <w:sz w:val="18"/>
                <w:szCs w:val="18"/>
                <w:b w:val="1"/>
                <w:bCs w:val="1"/>
                <w:color w:val="auto"/>
                <w:w w:val="93"/>
              </w:rPr>
              <w:t>Three Months Ended March 31,</w:t>
            </w: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2"/>
        </w:trPr>
        <w:tc>
          <w:tcPr>
            <w:tcW w:w="434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64,414</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59,691</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w:t>
            </w: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2,230</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499"/>
        </w:trPr>
        <w:tc>
          <w:tcPr>
            <w:tcW w:w="43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3,830</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w:t>
            </w: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2,945</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499"/>
        </w:trPr>
        <w:tc>
          <w:tcPr>
            <w:tcW w:w="43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48,472</w:t>
            </w:r>
          </w:p>
        </w:tc>
        <w:tc>
          <w:tcPr>
            <w:tcW w:w="1220" w:type="dxa"/>
            <w:vAlign w:val="bottom"/>
          </w:tcPr>
          <w:p>
            <w:pPr>
              <w:jc w:val="right"/>
              <w:spacing w:after="0"/>
              <w:rPr>
                <w:sz w:val="20"/>
                <w:szCs w:val="20"/>
                <w:color w:val="auto"/>
              </w:rPr>
            </w:pPr>
            <w:r>
              <w:rPr>
                <w:rFonts w:ascii="Arial" w:cs="Arial" w:eastAsia="Arial" w:hAnsi="Arial"/>
                <w:sz w:val="18"/>
                <w:szCs w:val="18"/>
                <w:color w:val="auto"/>
              </w:rPr>
              <w:t>81.2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(48,472)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51,417</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Revenue increased approximately $4.7 million, or 7.9%, during the three months ended March 31, 2022 compared with the three months ended March 31, 2021, driven by growth of $4.6 million, or 8.3%, in the Broadband segment and $0.2 million, or 3.9%, in the Tower segment. Refer to the discussion of the results of operations for the Broadband and Tower segments, included within this MD&amp;A,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Operating expenses increased approximately $7.3 million, or 12.8%, for the three months ended March 31, 2022 compared with the three months ended March 31, 2021, driven primarily by $6.7 million incremental Broadband operating expenses incurred primarily to support the expansion of Glo Fiber services, and $0.8 million incremental Corporate operating expenses primarily driven by stock-based compensation grants.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decreased $1.8 million primarily due to lower income from investments.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decreased approximately $0.8 million for the three months ended March 31, 2022 compared with the three months ended March 31, 2021, primarily due to a decline in taxable income and the recognition of excess tax deficiencies for the three months ended March 31, 2022, compared to excess tax benefits recorded for the three months ended March 31, 2021.</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Broadband</w:t>
      </w: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Broadband segment provides broadband internet, video and voice services to residential and commercial customers in portions of Virginia, West Virginia, Maryland, Pennsylvania, and Kentucky, via hybrid fiber coaxial cable under the brand name of Shentel, fiber optics under the brand name of Glo Fiber and fixed wireless network under the brand name of Beam. The Broadband segment also leases dark fiber and provides Ethernet and Wavelength fiber optic services to enterprise and wholesale customers throughout the entirety of our service area under the brand names of Glo Fiber Enterprise and Glo Fiber Wholesale. The Broadband segment also provides voice and DSL telephone services to customers in Virginia’s Shenandoah County and portions of adjacent counties as a Rural Local Exchange Carrier (“RLEC”). These integrated networks are connected by over 7,600 fiber route mile network.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6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790"/>
        </w:trPr>
        <w:tc>
          <w:tcPr>
            <w:tcW w:w="8000" w:type="dxa"/>
            <w:vAlign w:val="bottom"/>
            <w:gridSpan w:val="2"/>
          </w:tcPr>
          <w:p>
            <w:pPr>
              <w:spacing w:after="0"/>
              <w:rPr>
                <w:sz w:val="20"/>
                <w:szCs w:val="20"/>
                <w:color w:val="auto"/>
              </w:rPr>
            </w:pPr>
            <w:r>
              <w:rPr>
                <w:rFonts w:ascii="Arial" w:cs="Arial" w:eastAsia="Arial" w:hAnsi="Arial"/>
                <w:sz w:val="18"/>
                <w:szCs w:val="18"/>
                <w:color w:val="auto"/>
              </w:rPr>
              <w:t>The following table indicates selected operating statistics of our Broadband segment: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680" w:type="dxa"/>
            <w:vAlign w:val="bottom"/>
            <w:gridSpan w:val="2"/>
          </w:tcPr>
          <w:p>
            <w:pPr>
              <w:ind w:left="380"/>
              <w:spacing w:after="0" w:line="202" w:lineRule="exact"/>
              <w:rPr>
                <w:sz w:val="20"/>
                <w:szCs w:val="20"/>
                <w:color w:val="auto"/>
              </w:rPr>
            </w:pPr>
            <w:r>
              <w:rPr>
                <w:rFonts w:ascii="Arial" w:cs="Arial" w:eastAsia="Arial" w:hAnsi="Arial"/>
                <w:sz w:val="18"/>
                <w:szCs w:val="18"/>
                <w:b w:val="1"/>
                <w:bCs w:val="1"/>
                <w:color w:val="auto"/>
              </w:rPr>
              <w:t>March 31,</w:t>
            </w:r>
          </w:p>
        </w:tc>
        <w:tc>
          <w:tcPr>
            <w:tcW w:w="15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March 31,</w:t>
            </w:r>
          </w:p>
        </w:tc>
      </w:tr>
      <w:tr>
        <w:trPr>
          <w:trHeight w:val="229"/>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2"/>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Broadband homes and businesses passed (1)</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332,720</w:t>
            </w:r>
          </w:p>
        </w:tc>
        <w:tc>
          <w:tcPr>
            <w:tcW w:w="1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259,891</w:t>
            </w: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Incumbent Cable</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211,442</w:t>
            </w:r>
          </w:p>
        </w:tc>
        <w:tc>
          <w:tcPr>
            <w:tcW w:w="1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210,210</w:t>
            </w:r>
          </w:p>
        </w:tc>
      </w:tr>
      <w:tr>
        <w:trPr>
          <w:trHeight w:val="22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Glo Fiber</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93,611</w:t>
            </w:r>
          </w:p>
        </w:tc>
        <w:tc>
          <w:tcPr>
            <w:tcW w:w="1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34,441</w:t>
            </w: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Beam</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27,667</w:t>
            </w:r>
          </w:p>
        </w:tc>
        <w:tc>
          <w:tcPr>
            <w:tcW w:w="12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15,240</w:t>
            </w:r>
          </w:p>
        </w:tc>
      </w:tr>
      <w:tr>
        <w:trPr>
          <w:trHeight w:val="338"/>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Broadband customer relationships (2)</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119,026</w:t>
            </w:r>
          </w:p>
        </w:tc>
        <w:tc>
          <w:tcPr>
            <w:tcW w:w="120" w:type="dxa"/>
            <w:vAlign w:val="bottom"/>
          </w:tcPr>
          <w:p>
            <w:pPr>
              <w:spacing w:after="0"/>
              <w:rPr>
                <w:sz w:val="24"/>
                <w:szCs w:val="24"/>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115,921</w:t>
            </w:r>
          </w:p>
        </w:tc>
      </w:tr>
      <w:tr>
        <w:trPr>
          <w:trHeight w:val="337"/>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Residential &amp; Small and Medium Business ("SMB") RGUs:</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Broadband Data</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122,753</w:t>
            </w:r>
          </w:p>
        </w:tc>
        <w:tc>
          <w:tcPr>
            <w:tcW w:w="1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107,569</w:t>
            </w:r>
          </w:p>
        </w:tc>
      </w:tr>
      <w:tr>
        <w:trPr>
          <w:trHeight w:val="229"/>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Incumbent Cable</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107,291</w:t>
            </w:r>
          </w:p>
        </w:tc>
        <w:tc>
          <w:tcPr>
            <w:tcW w:w="1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101,576</w:t>
            </w:r>
          </w:p>
        </w:tc>
      </w:tr>
      <w:tr>
        <w:trPr>
          <w:trHeight w:val="229"/>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Glo Fiber</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13,783</w:t>
            </w:r>
          </w:p>
        </w:tc>
        <w:tc>
          <w:tcPr>
            <w:tcW w:w="1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5,524</w:t>
            </w: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Beam</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469</w:t>
            </w:r>
          </w:p>
        </w:tc>
      </w:tr>
      <w:tr>
        <w:trPr>
          <w:trHeight w:val="229"/>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Video</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49,163</w:t>
            </w:r>
          </w:p>
        </w:tc>
        <w:tc>
          <w:tcPr>
            <w:tcW w:w="1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51,989</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Voice</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36,042</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33,322</w:t>
            </w:r>
          </w:p>
        </w:tc>
      </w:tr>
      <w:tr>
        <w:trPr>
          <w:trHeight w:val="224"/>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Residential &amp; SMB RGUs (excludes RLEC)</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207,958</w:t>
            </w:r>
          </w:p>
        </w:tc>
        <w:tc>
          <w:tcPr>
            <w:tcW w:w="12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192,880</w:t>
            </w:r>
          </w:p>
        </w:tc>
      </w:tr>
    </w:tbl>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Residential &amp; SMB Penetration (3)</w:t>
            </w:r>
          </w:p>
        </w:tc>
        <w:tc>
          <w:tcPr>
            <w:tcW w:w="4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Broadband Data</w:t>
            </w:r>
          </w:p>
        </w:tc>
        <w:tc>
          <w:tcPr>
            <w:tcW w:w="4320" w:type="dxa"/>
            <w:vAlign w:val="bottom"/>
          </w:tcPr>
          <w:p>
            <w:pPr>
              <w:jc w:val="right"/>
              <w:ind w:right="490"/>
              <w:spacing w:after="0"/>
              <w:rPr>
                <w:sz w:val="20"/>
                <w:szCs w:val="20"/>
                <w:color w:val="auto"/>
              </w:rPr>
            </w:pPr>
            <w:r>
              <w:rPr>
                <w:rFonts w:ascii="Arial" w:cs="Arial" w:eastAsia="Arial" w:hAnsi="Arial"/>
                <w:sz w:val="18"/>
                <w:szCs w:val="18"/>
                <w:color w:val="auto"/>
              </w:rPr>
              <w:t>36.9 %</w:t>
            </w:r>
          </w:p>
        </w:tc>
        <w:tc>
          <w:tcPr>
            <w:tcW w:w="1100" w:type="dxa"/>
            <w:vAlign w:val="bottom"/>
          </w:tcPr>
          <w:p>
            <w:pPr>
              <w:jc w:val="right"/>
              <w:spacing w:after="0"/>
              <w:rPr>
                <w:sz w:val="20"/>
                <w:szCs w:val="20"/>
                <w:color w:val="auto"/>
              </w:rPr>
            </w:pPr>
            <w:r>
              <w:rPr>
                <w:rFonts w:ascii="Arial" w:cs="Arial" w:eastAsia="Arial" w:hAnsi="Arial"/>
                <w:sz w:val="18"/>
                <w:szCs w:val="18"/>
                <w:color w:val="auto"/>
              </w:rPr>
              <w:t>41.4 %</w:t>
            </w:r>
          </w:p>
        </w:tc>
      </w:tr>
      <w:tr>
        <w:trPr>
          <w:trHeight w:val="230"/>
        </w:trPr>
        <w:tc>
          <w:tcPr>
            <w:tcW w:w="5780" w:type="dxa"/>
            <w:vAlign w:val="bottom"/>
          </w:tcPr>
          <w:p>
            <w:pPr>
              <w:ind w:left="340"/>
              <w:spacing w:after="0"/>
              <w:rPr>
                <w:sz w:val="20"/>
                <w:szCs w:val="20"/>
                <w:color w:val="auto"/>
              </w:rPr>
            </w:pPr>
            <w:r>
              <w:rPr>
                <w:rFonts w:ascii="Arial" w:cs="Arial" w:eastAsia="Arial" w:hAnsi="Arial"/>
                <w:sz w:val="18"/>
                <w:szCs w:val="18"/>
                <w:color w:val="auto"/>
              </w:rPr>
              <w:t>Incumbent Cable</w:t>
            </w:r>
          </w:p>
        </w:tc>
        <w:tc>
          <w:tcPr>
            <w:tcW w:w="4320" w:type="dxa"/>
            <w:vAlign w:val="bottom"/>
          </w:tcPr>
          <w:p>
            <w:pPr>
              <w:jc w:val="right"/>
              <w:ind w:right="490"/>
              <w:spacing w:after="0"/>
              <w:rPr>
                <w:sz w:val="20"/>
                <w:szCs w:val="20"/>
                <w:color w:val="auto"/>
              </w:rPr>
            </w:pPr>
            <w:r>
              <w:rPr>
                <w:rFonts w:ascii="Arial" w:cs="Arial" w:eastAsia="Arial" w:hAnsi="Arial"/>
                <w:sz w:val="18"/>
                <w:szCs w:val="18"/>
                <w:color w:val="auto"/>
              </w:rPr>
              <w:t>50.7 %</w:t>
            </w:r>
          </w:p>
        </w:tc>
        <w:tc>
          <w:tcPr>
            <w:tcW w:w="1100" w:type="dxa"/>
            <w:vAlign w:val="bottom"/>
          </w:tcPr>
          <w:p>
            <w:pPr>
              <w:jc w:val="right"/>
              <w:spacing w:after="0"/>
              <w:rPr>
                <w:sz w:val="20"/>
                <w:szCs w:val="20"/>
                <w:color w:val="auto"/>
              </w:rPr>
            </w:pPr>
            <w:r>
              <w:rPr>
                <w:rFonts w:ascii="Arial" w:cs="Arial" w:eastAsia="Arial" w:hAnsi="Arial"/>
                <w:sz w:val="18"/>
                <w:szCs w:val="18"/>
                <w:color w:val="auto"/>
              </w:rPr>
              <w:t>48.3 %</w:t>
            </w:r>
          </w:p>
        </w:tc>
      </w:tr>
      <w:tr>
        <w:trPr>
          <w:trHeight w:val="229"/>
        </w:trPr>
        <w:tc>
          <w:tcPr>
            <w:tcW w:w="5780" w:type="dxa"/>
            <w:vAlign w:val="bottom"/>
          </w:tcPr>
          <w:p>
            <w:pPr>
              <w:ind w:left="340"/>
              <w:spacing w:after="0"/>
              <w:rPr>
                <w:sz w:val="20"/>
                <w:szCs w:val="20"/>
                <w:color w:val="auto"/>
              </w:rPr>
            </w:pPr>
            <w:r>
              <w:rPr>
                <w:rFonts w:ascii="Arial" w:cs="Arial" w:eastAsia="Arial" w:hAnsi="Arial"/>
                <w:sz w:val="18"/>
                <w:szCs w:val="18"/>
                <w:color w:val="auto"/>
              </w:rPr>
              <w:t>Glo Fiber</w:t>
            </w:r>
          </w:p>
        </w:tc>
        <w:tc>
          <w:tcPr>
            <w:tcW w:w="4320" w:type="dxa"/>
            <w:vAlign w:val="bottom"/>
          </w:tcPr>
          <w:p>
            <w:pPr>
              <w:jc w:val="right"/>
              <w:ind w:right="490"/>
              <w:spacing w:after="0"/>
              <w:rPr>
                <w:sz w:val="20"/>
                <w:szCs w:val="20"/>
                <w:color w:val="auto"/>
              </w:rPr>
            </w:pPr>
            <w:r>
              <w:rPr>
                <w:rFonts w:ascii="Arial" w:cs="Arial" w:eastAsia="Arial" w:hAnsi="Arial"/>
                <w:sz w:val="18"/>
                <w:szCs w:val="18"/>
                <w:color w:val="auto"/>
              </w:rPr>
              <w:t>14.7 %</w:t>
            </w:r>
          </w:p>
        </w:tc>
        <w:tc>
          <w:tcPr>
            <w:tcW w:w="110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30"/>
        </w:trPr>
        <w:tc>
          <w:tcPr>
            <w:tcW w:w="5780" w:type="dxa"/>
            <w:vAlign w:val="bottom"/>
          </w:tcPr>
          <w:p>
            <w:pPr>
              <w:ind w:left="340"/>
              <w:spacing w:after="0"/>
              <w:rPr>
                <w:sz w:val="20"/>
                <w:szCs w:val="20"/>
                <w:color w:val="auto"/>
              </w:rPr>
            </w:pPr>
            <w:r>
              <w:rPr>
                <w:rFonts w:ascii="Arial" w:cs="Arial" w:eastAsia="Arial" w:hAnsi="Arial"/>
                <w:sz w:val="18"/>
                <w:szCs w:val="18"/>
                <w:color w:val="auto"/>
              </w:rPr>
              <w:t>Beam</w:t>
            </w:r>
          </w:p>
        </w:tc>
        <w:tc>
          <w:tcPr>
            <w:tcW w:w="4320" w:type="dxa"/>
            <w:vAlign w:val="bottom"/>
          </w:tcPr>
          <w:p>
            <w:pPr>
              <w:jc w:val="right"/>
              <w:ind w:right="490"/>
              <w:spacing w:after="0"/>
              <w:rPr>
                <w:sz w:val="20"/>
                <w:szCs w:val="20"/>
                <w:color w:val="auto"/>
              </w:rPr>
            </w:pPr>
            <w:r>
              <w:rPr>
                <w:rFonts w:ascii="Arial" w:cs="Arial" w:eastAsia="Arial" w:hAnsi="Arial"/>
                <w:sz w:val="18"/>
                <w:szCs w:val="18"/>
                <w:color w:val="auto"/>
              </w:rPr>
              <w:t>6.1 %</w:t>
            </w:r>
          </w:p>
        </w:tc>
        <w:tc>
          <w:tcPr>
            <w:tcW w:w="110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Video</w:t>
            </w:r>
          </w:p>
        </w:tc>
        <w:tc>
          <w:tcPr>
            <w:tcW w:w="4320" w:type="dxa"/>
            <w:vAlign w:val="bottom"/>
          </w:tcPr>
          <w:p>
            <w:pPr>
              <w:jc w:val="right"/>
              <w:ind w:right="490"/>
              <w:spacing w:after="0"/>
              <w:rPr>
                <w:sz w:val="20"/>
                <w:szCs w:val="20"/>
                <w:color w:val="auto"/>
              </w:rPr>
            </w:pPr>
            <w:r>
              <w:rPr>
                <w:rFonts w:ascii="Arial" w:cs="Arial" w:eastAsia="Arial" w:hAnsi="Arial"/>
                <w:sz w:val="18"/>
                <w:szCs w:val="18"/>
                <w:color w:val="auto"/>
              </w:rPr>
              <w:t>14.8 %</w:t>
            </w:r>
          </w:p>
        </w:tc>
        <w:tc>
          <w:tcPr>
            <w:tcW w:w="110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5780" w:type="dxa"/>
            <w:vAlign w:val="bottom"/>
          </w:tcPr>
          <w:p>
            <w:pPr>
              <w:ind w:left="120"/>
              <w:spacing w:after="0"/>
              <w:rPr>
                <w:sz w:val="20"/>
                <w:szCs w:val="20"/>
                <w:color w:val="auto"/>
              </w:rPr>
            </w:pPr>
            <w:r>
              <w:rPr>
                <w:rFonts w:ascii="Arial" w:cs="Arial" w:eastAsia="Arial" w:hAnsi="Arial"/>
                <w:sz w:val="18"/>
                <w:szCs w:val="18"/>
                <w:color w:val="auto"/>
              </w:rPr>
              <w:t>Voice</w:t>
            </w:r>
          </w:p>
        </w:tc>
        <w:tc>
          <w:tcPr>
            <w:tcW w:w="4320" w:type="dxa"/>
            <w:vAlign w:val="bottom"/>
          </w:tcPr>
          <w:p>
            <w:pPr>
              <w:jc w:val="right"/>
              <w:ind w:right="490"/>
              <w:spacing w:after="0"/>
              <w:rPr>
                <w:sz w:val="20"/>
                <w:szCs w:val="20"/>
                <w:color w:val="auto"/>
              </w:rPr>
            </w:pPr>
            <w:r>
              <w:rPr>
                <w:rFonts w:ascii="Arial" w:cs="Arial" w:eastAsia="Arial" w:hAnsi="Arial"/>
                <w:sz w:val="18"/>
                <w:szCs w:val="18"/>
                <w:color w:val="auto"/>
              </w:rPr>
              <w:t>12.5 %</w:t>
            </w:r>
          </w:p>
        </w:tc>
        <w:tc>
          <w:tcPr>
            <w:tcW w:w="1100" w:type="dxa"/>
            <w:vAlign w:val="bottom"/>
          </w:tcPr>
          <w:p>
            <w:pPr>
              <w:jc w:val="right"/>
              <w:spacing w:after="0"/>
              <w:rPr>
                <w:sz w:val="20"/>
                <w:szCs w:val="20"/>
                <w:color w:val="auto"/>
              </w:rPr>
            </w:pPr>
            <w:r>
              <w:rPr>
                <w:rFonts w:ascii="Arial" w:cs="Arial" w:eastAsia="Arial" w:hAnsi="Arial"/>
                <w:sz w:val="18"/>
                <w:szCs w:val="18"/>
                <w:color w:val="auto"/>
              </w:rPr>
              <w:t>14.6 %</w:t>
            </w:r>
          </w:p>
        </w:tc>
      </w:tr>
    </w:tbl>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Residential &amp; SMB ARPU (4)</w:t>
            </w:r>
          </w:p>
        </w:tc>
        <w:tc>
          <w:tcPr>
            <w:tcW w:w="3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00" w:type="dxa"/>
            <w:vAlign w:val="bottom"/>
          </w:tcPr>
          <w:p>
            <w:pPr>
              <w:ind w:left="120"/>
              <w:spacing w:after="0"/>
              <w:rPr>
                <w:sz w:val="20"/>
                <w:szCs w:val="20"/>
                <w:color w:val="auto"/>
              </w:rPr>
            </w:pPr>
            <w:r>
              <w:rPr>
                <w:rFonts w:ascii="Arial" w:cs="Arial" w:eastAsia="Arial" w:hAnsi="Arial"/>
                <w:sz w:val="18"/>
                <w:szCs w:val="18"/>
                <w:color w:val="auto"/>
              </w:rPr>
              <w:t>Broadband Data</w:t>
            </w:r>
          </w:p>
        </w:tc>
        <w:tc>
          <w:tcPr>
            <w:tcW w:w="3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80.11</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77.93</w:t>
            </w: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Incumbent Cable</w:t>
            </w:r>
          </w:p>
        </w:tc>
        <w:tc>
          <w:tcPr>
            <w:tcW w:w="3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80.88</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78.12</w:t>
            </w: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Glo Fiber</w:t>
            </w:r>
          </w:p>
        </w:tc>
        <w:tc>
          <w:tcPr>
            <w:tcW w:w="3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74.33</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74.24</w:t>
            </w: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Beam</w:t>
            </w:r>
          </w:p>
        </w:tc>
        <w:tc>
          <w:tcPr>
            <w:tcW w:w="3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73.48</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73.14</w:t>
            </w:r>
          </w:p>
        </w:tc>
      </w:tr>
      <w:tr>
        <w:trPr>
          <w:trHeight w:val="229"/>
        </w:trPr>
        <w:tc>
          <w:tcPr>
            <w:tcW w:w="5100" w:type="dxa"/>
            <w:vAlign w:val="bottom"/>
          </w:tcPr>
          <w:p>
            <w:pPr>
              <w:ind w:left="120"/>
              <w:spacing w:after="0"/>
              <w:rPr>
                <w:sz w:val="20"/>
                <w:szCs w:val="20"/>
                <w:color w:val="auto"/>
              </w:rPr>
            </w:pPr>
            <w:r>
              <w:rPr>
                <w:rFonts w:ascii="Arial" w:cs="Arial" w:eastAsia="Arial" w:hAnsi="Arial"/>
                <w:sz w:val="18"/>
                <w:szCs w:val="18"/>
                <w:color w:val="auto"/>
              </w:rPr>
              <w:t>Video</w:t>
            </w:r>
          </w:p>
        </w:tc>
        <w:tc>
          <w:tcPr>
            <w:tcW w:w="3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103.42</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99.50</w:t>
            </w: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Voice</w:t>
            </w:r>
          </w:p>
        </w:tc>
        <w:tc>
          <w:tcPr>
            <w:tcW w:w="3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27.90</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29.34</w:t>
            </w:r>
          </w:p>
        </w:tc>
      </w:tr>
      <w:tr>
        <w:trPr>
          <w:trHeight w:val="337"/>
        </w:trPr>
        <w:tc>
          <w:tcPr>
            <w:tcW w:w="5100" w:type="dxa"/>
            <w:vAlign w:val="bottom"/>
          </w:tcPr>
          <w:p>
            <w:pPr>
              <w:spacing w:after="0"/>
              <w:rPr>
                <w:sz w:val="20"/>
                <w:szCs w:val="20"/>
                <w:color w:val="auto"/>
              </w:rPr>
            </w:pPr>
            <w:r>
              <w:rPr>
                <w:rFonts w:ascii="Arial" w:cs="Arial" w:eastAsia="Arial" w:hAnsi="Arial"/>
                <w:sz w:val="18"/>
                <w:szCs w:val="18"/>
                <w:color w:val="auto"/>
              </w:rPr>
              <w:t>Fiber route miles</w:t>
            </w:r>
          </w:p>
        </w:tc>
        <w:tc>
          <w:tcPr>
            <w:tcW w:w="330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7,611</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6,888</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Total fiber miles (5)</w:t>
            </w:r>
          </w:p>
        </w:tc>
        <w:tc>
          <w:tcPr>
            <w:tcW w:w="3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564,097</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407,710</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60" w:hanging="328"/>
        <w:spacing w:after="0" w:line="241" w:lineRule="auto"/>
        <w:tabs>
          <w:tab w:leader="none" w:pos="652" w:val="left"/>
        </w:tabs>
        <w:numPr>
          <w:ilvl w:val="0"/>
          <w:numId w:val="4"/>
        </w:numPr>
        <w:rPr>
          <w:rFonts w:ascii="Arial" w:cs="Arial" w:eastAsia="Arial" w:hAnsi="Arial"/>
          <w:sz w:val="14"/>
          <w:szCs w:val="14"/>
          <w:color w:val="auto"/>
        </w:rPr>
      </w:pPr>
      <w:r>
        <w:rPr>
          <w:rFonts w:ascii="Arial" w:cs="Arial" w:eastAsia="Arial" w:hAnsi="Arial"/>
          <w:sz w:val="14"/>
          <w:szCs w:val="14"/>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640" w:hanging="30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passings or available homes, as appropriate.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Revenue Per RGU calculation = (Residential &amp; SMB Revenue * 1,000) / average RGUs / 3 months</w:t>
      </w:r>
    </w:p>
    <w:p>
      <w:pPr>
        <w:spacing w:after="0" w:line="1" w:lineRule="exact"/>
        <w:rPr>
          <w:rFonts w:ascii="Arial" w:cs="Arial" w:eastAsia="Arial" w:hAnsi="Arial"/>
          <w:sz w:val="14"/>
          <w:szCs w:val="14"/>
          <w:color w:val="auto"/>
        </w:rPr>
      </w:pPr>
    </w:p>
    <w:p>
      <w:pPr>
        <w:ind w:left="660" w:hanging="328"/>
        <w:spacing w:after="0" w:line="255" w:lineRule="auto"/>
        <w:tabs>
          <w:tab w:leader="none" w:pos="652"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7"/>
          </w:tcPr>
          <w:p>
            <w:pPr>
              <w:spacing w:after="0"/>
              <w:rPr>
                <w:sz w:val="20"/>
                <w:szCs w:val="20"/>
                <w:color w:val="auto"/>
              </w:rPr>
            </w:pPr>
            <w:r>
              <w:rPr>
                <w:rFonts w:ascii="Arial" w:cs="Arial" w:eastAsia="Arial" w:hAnsi="Arial"/>
                <w:sz w:val="18"/>
                <w:szCs w:val="18"/>
                <w:b w:val="1"/>
                <w:bCs w:val="1"/>
                <w:color w:val="auto"/>
                <w:w w:val="98"/>
              </w:rPr>
              <w:t>Three Months Ended March 31, 2022 Compared with the Three Months Ended March 31, 2021</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620" w:type="dxa"/>
            <w:vAlign w:val="bottom"/>
            <w:gridSpan w:val="2"/>
          </w:tcPr>
          <w:p>
            <w:pPr>
              <w:spacing w:after="0"/>
              <w:rPr>
                <w:sz w:val="20"/>
                <w:szCs w:val="20"/>
                <w:color w:val="auto"/>
              </w:rPr>
            </w:pPr>
            <w:r>
              <w:rPr>
                <w:rFonts w:ascii="Arial" w:cs="Arial" w:eastAsia="Arial" w:hAnsi="Arial"/>
                <w:sz w:val="18"/>
                <w:szCs w:val="18"/>
                <w:color w:val="auto"/>
                <w:w w:val="92"/>
              </w:rPr>
              <w:t>Broadband results from operations are summarized as follows: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right"/>
              <w:ind w:right="1030"/>
              <w:spacing w:after="0"/>
              <w:rPr>
                <w:sz w:val="20"/>
                <w:szCs w:val="20"/>
                <w:color w:val="auto"/>
              </w:rPr>
            </w:pPr>
            <w:r>
              <w:rPr>
                <w:rFonts w:ascii="Arial" w:cs="Arial" w:eastAsia="Arial" w:hAnsi="Arial"/>
                <w:sz w:val="18"/>
                <w:szCs w:val="18"/>
                <w:b w:val="1"/>
                <w:bCs w:val="1"/>
                <w:color w:val="auto"/>
                <w:w w:val="93"/>
              </w:rPr>
              <w:t>Three Months Ended March 31,</w:t>
            </w:r>
          </w:p>
        </w:tc>
        <w:tc>
          <w:tcPr>
            <w:tcW w:w="100" w:type="dxa"/>
            <w:vAlign w:val="bottom"/>
          </w:tcPr>
          <w:p>
            <w:pPr>
              <w:spacing w:after="0"/>
              <w:rPr>
                <w:sz w:val="24"/>
                <w:szCs w:val="2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4"/>
                <w:szCs w:val="24"/>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09"/>
        </w:trPr>
        <w:tc>
          <w:tcPr>
            <w:tcW w:w="4360" w:type="dxa"/>
            <w:vAlign w:val="bottom"/>
          </w:tcPr>
          <w:p>
            <w:pPr>
              <w:ind w:left="20"/>
              <w:spacing w:after="0"/>
              <w:rPr>
                <w:sz w:val="20"/>
                <w:szCs w:val="20"/>
                <w:color w:val="auto"/>
              </w:rPr>
            </w:pPr>
            <w:r>
              <w:rPr>
                <w:rFonts w:ascii="Arial" w:cs="Arial" w:eastAsia="Arial" w:hAnsi="Arial"/>
                <w:sz w:val="18"/>
                <w:szCs w:val="18"/>
                <w:color w:val="auto"/>
              </w:rPr>
              <w:t>Broadband operating revenue</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Residential &amp; SMB</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46,913</w:t>
            </w:r>
          </w:p>
        </w:tc>
        <w:tc>
          <w:tcPr>
            <w:tcW w:w="120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42,930</w:t>
            </w:r>
          </w:p>
        </w:tc>
        <w:tc>
          <w:tcPr>
            <w:tcW w:w="1220" w:type="dxa"/>
            <w:vAlign w:val="bottom"/>
          </w:tcPr>
          <w:p>
            <w:pPr>
              <w:jc w:val="right"/>
              <w:spacing w:after="0"/>
              <w:rPr>
                <w:sz w:val="20"/>
                <w:szCs w:val="20"/>
                <w:color w:val="auto"/>
              </w:rPr>
            </w:pPr>
            <w:r>
              <w:rPr>
                <w:rFonts w:ascii="Arial" w:cs="Arial" w:eastAsia="Arial" w:hAnsi="Arial"/>
                <w:sz w:val="18"/>
                <w:szCs w:val="18"/>
                <w:color w:val="auto"/>
              </w:rPr>
              <w:t>77.8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Commercial Fiber</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9,064</w:t>
            </w: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8,479</w:t>
            </w: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RLEC &amp; Other</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2"/>
        </w:trPr>
        <w:tc>
          <w:tcPr>
            <w:tcW w:w="4360" w:type="dxa"/>
            <w:vAlign w:val="bottom"/>
          </w:tcPr>
          <w:p>
            <w:pPr>
              <w:ind w:left="360"/>
              <w:spacing w:after="0"/>
              <w:rPr>
                <w:sz w:val="20"/>
                <w:szCs w:val="20"/>
                <w:color w:val="auto"/>
              </w:rPr>
            </w:pPr>
            <w:r>
              <w:rPr>
                <w:rFonts w:ascii="Arial" w:cs="Arial" w:eastAsia="Arial" w:hAnsi="Arial"/>
                <w:sz w:val="18"/>
                <w:szCs w:val="18"/>
                <w:color w:val="auto"/>
              </w:rPr>
              <w:t>Total broadband revenue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59,714</w:t>
            </w: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55,154</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Broadband operating expenses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25,168</w:t>
            </w:r>
          </w:p>
        </w:tc>
        <w:tc>
          <w:tcPr>
            <w:tcW w:w="12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22,277</w:t>
            </w:r>
          </w:p>
        </w:tc>
        <w:tc>
          <w:tcPr>
            <w:tcW w:w="1220" w:type="dxa"/>
            <w:vAlign w:val="bottom"/>
          </w:tcPr>
          <w:p>
            <w:pPr>
              <w:jc w:val="right"/>
              <w:spacing w:after="0"/>
              <w:rPr>
                <w:sz w:val="20"/>
                <w:szCs w:val="20"/>
                <w:color w:val="auto"/>
              </w:rPr>
            </w:pPr>
            <w:r>
              <w:rPr>
                <w:rFonts w:ascii="Arial" w:cs="Arial" w:eastAsia="Arial" w:hAnsi="Arial"/>
                <w:sz w:val="18"/>
                <w:szCs w:val="18"/>
                <w:color w:val="auto"/>
              </w:rPr>
              <w:t>40.4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13,489</w:t>
            </w:r>
          </w:p>
        </w:tc>
        <w:tc>
          <w:tcPr>
            <w:tcW w:w="12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10,725</w:t>
            </w: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 broadband operating expenses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Broadband operating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&amp; SMB (small &amp; medium business) revenue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Residential &amp; SMB revenue increased approximately $4.0 million, or 9.3%, for the three months ended March 31, 2022 primarily driven by 14.1% year-over-year growth in broadband RGUs, driven by demand for higher speed data service and the rollout of our Glo Fiber and Beam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Fiber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Commercial Fiber revenue increased approximately $0.6 million due primarily to increased connections in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services increased approximately $2.9 million, or 13.0%, compared with the three months ended March 31, 2021, driven by higher maintenance and compensation expenses. Maintenance increased due to higher cable replacement costs, higher gasoline, field engineering and software costs. Compensation increased due to higher headcount to support the expansion of our Glo Fiber network, salary and wage increases and higher medical benefit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Selling, general and administrative expense increased $2.8 million, or 25.8%, compared with the three months ended March 31, 2021, driven primarily by a $1.0 million increase in compensation, $0.7 million in software and professional service fees due to upgrades to our financial and operational systems, and $0.5 million in advertising to support Glo Fiber expansion. Compensation costs increased due primarily to increased headcount to support the expansion of Glo Fiber, salary and wage increases and higher medical benefit costs.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Depreciation and amortization increased $1.1 million or 9.5%, compared with the three months ended March 31, 2021, primarily as a result of our network expansion of our Glo Fiber network.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Tower</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Tower segment owns cell towers and leases colocation space on the towers to wireless communications providers. Substantially all of our owned towers are built on ground that we lease from the respective landlords.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i w:val="1"/>
                <w:iCs w:val="1"/>
                <w:color w:val="0000FF"/>
                <w:w w:val="88"/>
              </w:rPr>
            </w:pPr>
            <w:hyperlink w:anchor="page1">
              <w:r>
                <w:rPr>
                  <w:rFonts w:ascii="Arial" w:cs="Arial" w:eastAsia="Arial" w:hAnsi="Arial"/>
                  <w:sz w:val="18"/>
                  <w:szCs w:val="18"/>
                  <w:i w:val="1"/>
                  <w:iCs w:val="1"/>
                  <w:color w:val="0000FF"/>
                  <w:w w:val="88"/>
                </w:rPr>
                <w:t>Table of Contents</w:t>
              </w:r>
            </w:hyperlink>
          </w:p>
        </w:tc>
        <w:tc>
          <w:tcPr>
            <w:tcW w:w="6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790"/>
        </w:trPr>
        <w:tc>
          <w:tcPr>
            <w:tcW w:w="8240" w:type="dxa"/>
            <w:vAlign w:val="bottom"/>
            <w:gridSpan w:val="2"/>
          </w:tcPr>
          <w:p>
            <w:pPr>
              <w:spacing w:after="0"/>
              <w:rPr>
                <w:sz w:val="20"/>
                <w:szCs w:val="20"/>
                <w:color w:val="auto"/>
              </w:rPr>
            </w:pPr>
            <w:r>
              <w:rPr>
                <w:rFonts w:ascii="Arial" w:cs="Arial" w:eastAsia="Arial" w:hAnsi="Arial"/>
                <w:sz w:val="18"/>
                <w:szCs w:val="18"/>
                <w:color w:val="auto"/>
              </w:rPr>
              <w:t>The following table indicates selected operating statistics of the Tower segment:</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r>
      <w:tr>
        <w:trPr>
          <w:trHeight w:val="229"/>
        </w:trPr>
        <w:tc>
          <w:tcPr>
            <w:tcW w:w="128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2"/>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Macro tower sites</w:t>
            </w:r>
          </w:p>
        </w:tc>
        <w:tc>
          <w:tcPr>
            <w:tcW w:w="14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Tenants (1)</w:t>
            </w:r>
          </w:p>
        </w:tc>
        <w:tc>
          <w:tcPr>
            <w:tcW w:w="144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Average tenants per tower</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ind w:left="640" w:hanging="30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33 and 236 tenants for our Wireless operations, (reported as a discontinued operation), and Broadband operations, as of March 31, 2022 and 2021,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Compared with the Three Months Ended March 31,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w w:val="94"/>
              </w:rPr>
              <w:t>Tower results from operations are summarized as follows: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1"/>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right"/>
              <w:ind w:right="1030"/>
              <w:spacing w:after="0"/>
              <w:rPr>
                <w:sz w:val="20"/>
                <w:szCs w:val="20"/>
                <w:color w:val="auto"/>
              </w:rPr>
            </w:pPr>
            <w:r>
              <w:rPr>
                <w:rFonts w:ascii="Arial" w:cs="Arial" w:eastAsia="Arial" w:hAnsi="Arial"/>
                <w:sz w:val="18"/>
                <w:szCs w:val="18"/>
                <w:b w:val="1"/>
                <w:bCs w:val="1"/>
                <w:color w:val="auto"/>
                <w:w w:val="93"/>
              </w:rPr>
              <w:t>Three Months Ended March 31,</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Borders>
              <w:bottom w:val="single" w:sz="8" w:color="auto"/>
            </w:tcBorders>
          </w:tcPr>
          <w:p>
            <w:pPr>
              <w:spacing w:after="0"/>
              <w:rPr>
                <w:sz w:val="24"/>
                <w:szCs w:val="24"/>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 of Revenue</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22"/>
        </w:trPr>
        <w:tc>
          <w:tcPr>
            <w:tcW w:w="4360" w:type="dxa"/>
            <w:vAlign w:val="bottom"/>
          </w:tcPr>
          <w:p>
            <w:pPr>
              <w:ind w:left="140"/>
              <w:spacing w:after="0"/>
              <w:rPr>
                <w:sz w:val="20"/>
                <w:szCs w:val="20"/>
                <w:color w:val="auto"/>
              </w:rPr>
            </w:pPr>
            <w:r>
              <w:rPr>
                <w:rFonts w:ascii="Arial" w:cs="Arial" w:eastAsia="Arial" w:hAnsi="Arial"/>
                <w:sz w:val="18"/>
                <w:szCs w:val="18"/>
                <w:color w:val="auto"/>
              </w:rPr>
              <w:t>Tower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182</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Tower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Revenue increased approximately $0.2 million, or 3.9%, for the three months ended March 31, 2022 compared with the three months ended March 31, 2021, primarily due to a 5.6% increase in tenants partially offset by a 3.6% decline in average revenue per lease as T-Mobile converted 80 leases to month-to-month leases in the third quarter 2021. T-Mobile has an option to terminate the month-to-month leases prior to June 30, 2023 for a one-time termination fee of $10 thousand per lease and could result in a decline in our Tower revenue if we are unable to find alternative tenants.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consistent with the prior year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 Liquidity and Capital Resources</w:t>
      </w:r>
    </w:p>
    <w:p>
      <w:pPr>
        <w:spacing w:after="0" w:line="24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Sources and Uses of Cash: </w:t>
      </w:r>
      <w:r>
        <w:rPr>
          <w:rFonts w:ascii="Arial" w:cs="Arial" w:eastAsia="Arial" w:hAnsi="Arial"/>
          <w:sz w:val="18"/>
          <w:szCs w:val="18"/>
          <w:color w:val="auto"/>
        </w:rPr>
        <w:t>Our principal sources of liquidity are our cash and cash equivalents, cash generated from operations, and proceeds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Credit Agreement.</w:t>
      </w:r>
    </w:p>
    <w:p>
      <w:pPr>
        <w:spacing w:after="0" w:line="18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March 31, 2022, our cash and cash equivalents totaled $54.0 million and the availability under our delayed draw term loans and revolving line of credit was $400.0 million, for total available liquidity of $454.0 million.</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activities from continuing operations generated approximately $16.1 million during the three months ended March 31, 2022, representing an increase of $6.9 million compared with 2021, driven by changes in working capital.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activities from discontinued operations were not material during the three months ended March 31, 2022 due to the sale of the Wireless business in 2021.</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for continuing operations increased $6.1 million during the three months ended March 31, 2022, compared with the three months ended March 31, 2021, primarily due to $6.2 million increase in capital expenditures due primarily to higher spending in the Broadband segment to enable our Glo Fiber market expansion.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continuing operations decreased approximately $1.2 million due primarily to lower tax payments for stock-based compensation equity issuances during the three months ended March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half of 2022, the Company expects to receive income tax refunds of $29.7 million after filing our 2021 income tax returns.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We have not made any borrowings under the Credit Agreement as of this date. We expect to start drawing against the Credit Agreement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2022, with additional borrowings occurring as needed to fund the Company's future capital expenditures. We expect to draw $300 million against the Credit Agreement by June 2023.</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expect our cash on hand, cash flow from continuing operations, and availability of funds from our Credit Agreement, will be sufficient to meet our anticipated liquidity needs for business operations for the next twelve months. There can be no assurance that we will continue to generate cash flows at or above current levels or that we will be able to raise additional financing to support the Company's planned capital expenditures aimed at our network and subscriber growth and expansion initiatives.</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expect our capital expenditures to exceed the cash flow provided from continuing operations through 2025, as we expand our Glo Fiber broadband network to reach over 450,000 passings.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actual amount and timing of our future capital requirements may differ materially from our estimates depending on the demand for our products and services, new market developments and expansion opportunities.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cash flows from continuing operations could be adversely affected by events outside our control, including, without limitation, changes in overall economic conditions,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as previously disclosed in Part II, Item 8 of our Annual Report on Form 10-K 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have not drawn on our Credit Agreement as of March 31, 2022. As a result, our exposure to significant risks concerning fluctuating variable interest rates has been mitigated. We expect to start drawing against the Credit Agreement in the second quarter of 2022, with additional borrowings occurring as needed to fund the Company's future capital expenditures. We expect to draw $300 million against the Credit Agreement by June 2023. Fluctuations in interest rates on future borrowings could result in increased market risk.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the Senior Vice President - Finance and Chief Financial Officer, who is the Principal Financial Officer, and the Vice President and Chief Accounting Officer, who is the Principal Accounting Officer, conducted an evaluation of our disclosure controls and procedures, (as defined by Rule 13a-15(e) under the Securities Exchange Act of 1934), as of the end of the period covered by this Quarterly report on Form 10-Q.</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As disclosed in our Annual Report on Form 10-K for our fiscal year ended </w:t>
      </w:r>
      <w:r>
        <w:rPr>
          <w:rFonts w:ascii="Arial" w:cs="Arial" w:eastAsia="Arial" w:hAnsi="Arial"/>
          <w:sz w:val="17"/>
          <w:szCs w:val="17"/>
          <w:color w:val="212529"/>
        </w:rPr>
        <w:t>December 31, 2021</w:t>
      </w:r>
      <w:r>
        <w:rPr>
          <w:rFonts w:ascii="Arial" w:cs="Arial" w:eastAsia="Arial" w:hAnsi="Arial"/>
          <w:sz w:val="17"/>
          <w:szCs w:val="17"/>
          <w:color w:val="auto"/>
        </w:rPr>
        <w:t>,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our Senior Vice President - Finance, and Chief Financial Officer and our Vice President and Chief Accounting Officer have concluded that our disclosure controls and procedures continued to be ineffective as of March 31, 2022.</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material weaknesses, management performed additional analysis and other procedures to ensure that our unaudited condensed consolidated financial statements were prepared in accordance with U.S. generally accepted accounting principles (GAAP).</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three months ended March 31, 2022, the Company continued execution of Management's Remediation Plan. Aside from continued improvements under this plan,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March 31, 2022, the Company has not identified any needed updates to the risk factors included in our most recent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conjunction with the vesting of shares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first quarter ended March 31, 2022, to settle employee tax withholding obligations related to the vesting of stock awards.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680" w:type="dxa"/>
            <w:vAlign w:val="bottom"/>
          </w:tcPr>
          <w:p>
            <w:pPr>
              <w:jc w:val="center"/>
              <w:ind w:left="450"/>
              <w:spacing w:after="0"/>
              <w:rPr>
                <w:sz w:val="20"/>
                <w:szCs w:val="20"/>
                <w:color w:val="auto"/>
              </w:rPr>
            </w:pPr>
            <w:r>
              <w:rPr>
                <w:rFonts w:ascii="Arial" w:cs="Arial" w:eastAsia="Arial" w:hAnsi="Arial"/>
                <w:sz w:val="18"/>
                <w:szCs w:val="18"/>
                <w:b w:val="1"/>
                <w:bCs w:val="1"/>
                <w:color w:val="auto"/>
                <w:w w:val="88"/>
              </w:rPr>
              <w:t>Average Price</w:t>
            </w:r>
          </w:p>
        </w:tc>
        <w:tc>
          <w:tcPr>
            <w:tcW w:w="0" w:type="dxa"/>
            <w:vAlign w:val="bottom"/>
          </w:tcPr>
          <w:p>
            <w:pPr>
              <w:spacing w:after="0"/>
              <w:rPr>
                <w:sz w:val="1"/>
                <w:szCs w:val="1"/>
                <w:color w:val="auto"/>
              </w:rPr>
            </w:pPr>
          </w:p>
        </w:tc>
      </w:tr>
      <w:tr>
        <w:trPr>
          <w:trHeight w:val="230"/>
        </w:trPr>
        <w:tc>
          <w:tcPr>
            <w:tcW w:w="7140" w:type="dxa"/>
            <w:vAlign w:val="bottom"/>
            <w:vMerge w:val="continue"/>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Surrendered</w:t>
            </w:r>
          </w:p>
        </w:tc>
        <w:tc>
          <w:tcPr>
            <w:tcW w:w="168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Paid per Share</w:t>
            </w:r>
          </w:p>
        </w:tc>
        <w:tc>
          <w:tcPr>
            <w:tcW w:w="0" w:type="dxa"/>
            <w:vAlign w:val="bottom"/>
          </w:tcPr>
          <w:p>
            <w:pPr>
              <w:spacing w:after="0"/>
              <w:rPr>
                <w:sz w:val="1"/>
                <w:szCs w:val="1"/>
                <w:color w:val="auto"/>
              </w:rPr>
            </w:pP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January 1 to January 31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February 1 to February 28</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90"/>
              </w:rPr>
              <w:t>$22.57</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March 1 to March 31</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Exhibit Description</w:t>
      </w:r>
    </w:p>
    <w:p>
      <w:pPr>
        <w:spacing w:after="0" w:line="297"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26">
        <w:r>
          <w:rPr>
            <w:rFonts w:ascii="Arial" w:cs="Arial" w:eastAsia="Arial" w:hAnsi="Arial"/>
            <w:sz w:val="18"/>
            <w:szCs w:val="18"/>
            <w:u w:val="single" w:color="auto"/>
            <w:color w:val="0000FF"/>
          </w:rPr>
          <w:t>31.1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27">
        <w:r>
          <w:rPr>
            <w:rFonts w:ascii="Arial" w:cs="Arial" w:eastAsia="Arial" w:hAnsi="Arial"/>
            <w:sz w:val="18"/>
            <w:szCs w:val="18"/>
            <w:u w:val="single" w:color="auto"/>
            <w:color w:val="0000FF"/>
          </w:rPr>
          <w:t>31.2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Financial Officer pursuant to Rule 13a-14(a) under the Securities Exchange Act of 1934.</w:t>
      </w:r>
    </w:p>
    <w:p>
      <w:pPr>
        <w:spacing w:after="0" w:line="293" w:lineRule="exact"/>
        <w:rPr>
          <w:sz w:val="20"/>
          <w:szCs w:val="20"/>
          <w:color w:val="auto"/>
        </w:rPr>
      </w:pPr>
    </w:p>
    <w:p>
      <w:pPr>
        <w:ind w:left="400"/>
        <w:spacing w:after="0"/>
        <w:tabs>
          <w:tab w:leader="none" w:pos="1200" w:val="left"/>
        </w:tabs>
        <w:rPr>
          <w:rFonts w:ascii="Arial" w:cs="Arial" w:eastAsia="Arial" w:hAnsi="Arial"/>
          <w:sz w:val="18"/>
          <w:szCs w:val="18"/>
          <w:color w:val="0000FF"/>
        </w:rPr>
      </w:pPr>
      <w:hyperlink w:anchor="page28">
        <w:r>
          <w:rPr>
            <w:rFonts w:ascii="Arial" w:cs="Arial" w:eastAsia="Arial" w:hAnsi="Arial"/>
            <w:sz w:val="18"/>
            <w:szCs w:val="18"/>
            <w:u w:val="single" w:color="auto"/>
            <w:color w:val="0000FF"/>
          </w:rPr>
          <w:t>31.3</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rFonts w:ascii="Arial" w:cs="Arial" w:eastAsia="Arial" w:hAnsi="Arial"/>
          <w:sz w:val="18"/>
          <w:szCs w:val="18"/>
          <w:color w:val="0000FF"/>
        </w:rPr>
      </w:pPr>
      <w:hyperlink w:anchor="page29">
        <w:r>
          <w:rPr>
            <w:rFonts w:ascii="Arial" w:cs="Arial" w:eastAsia="Arial" w:hAnsi="Arial"/>
            <w:sz w:val="18"/>
            <w:szCs w:val="18"/>
            <w:u w:val="single" w:color="auto"/>
            <w:color w:val="0000FF"/>
          </w:rPr>
          <w:t>32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Formatted in Inline XBRL (Extensible Business Reporting Language)</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880" w:type="dxa"/>
            <w:vAlign w:val="bottom"/>
          </w:tcPr>
          <w:p>
            <w:pPr>
              <w:ind w:left="3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w:t>
            </w:r>
          </w:p>
        </w:tc>
      </w:tr>
      <w:tr>
        <w:trPr>
          <w:trHeight w:val="230"/>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Arial" w:cs="Arial" w:eastAsia="Arial" w:hAnsi="Arial"/>
                <w:sz w:val="18"/>
                <w:szCs w:val="18"/>
                <w:color w:val="auto"/>
              </w:rPr>
              <w:t>tags are embedded within the Inline XBRL document</w:t>
            </w:r>
          </w:p>
        </w:tc>
      </w:tr>
      <w:tr>
        <w:trPr>
          <w:trHeight w:val="458"/>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880" w:type="dxa"/>
            <w:vAlign w:val="bottom"/>
          </w:tcPr>
          <w:p>
            <w:pPr>
              <w:ind w:left="3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9" w:lineRule="exact"/>
        <w:rPr>
          <w:sz w:val="20"/>
          <w:szCs w:val="20"/>
          <w:color w:val="auto"/>
        </w:rPr>
      </w:pPr>
    </w:p>
    <w:p>
      <w:pPr>
        <w:ind w:right="4240" w:firstLine="467"/>
        <w:spacing w:after="0" w:line="641" w:lineRule="auto"/>
        <w:tabs>
          <w:tab w:leader="none" w:pos="1206"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660" w:hanging="652"/>
        <w:spacing w:after="0" w:line="263" w:lineRule="auto"/>
        <w:tabs>
          <w:tab w:leader="none" w:pos="41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-902335</wp:posOffset>
            </wp:positionV>
            <wp:extent cx="54864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Senior Vice President and Chief Financial Officer</w:t>
      </w:r>
    </w:p>
    <w:p>
      <w:pPr>
        <w:ind w:left="1280"/>
        <w:spacing w:after="0"/>
        <w:rPr>
          <w:sz w:val="20"/>
          <w:szCs w:val="20"/>
          <w:color w:val="auto"/>
        </w:rPr>
      </w:pPr>
      <w:r>
        <w:rPr>
          <w:rFonts w:ascii="Arial" w:cs="Arial" w:eastAsia="Arial" w:hAnsi="Arial"/>
          <w:sz w:val="18"/>
          <w:szCs w:val="18"/>
          <w:i w:val="1"/>
          <w:iCs w:val="1"/>
          <w:color w:val="auto"/>
        </w:rPr>
        <w:t>(Principal Financial Officer)</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Date: April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25" w:right="3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2"/>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2"/>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571"/>
        <w:spacing w:after="0" w:line="342"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2"/>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Dennis Romps, certify that:</w:t>
      </w:r>
    </w:p>
    <w:p>
      <w:pPr>
        <w:spacing w:after="0" w:line="11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324"/>
        <w:spacing w:after="0" w:line="342" w:lineRule="auto"/>
        <w:tabs>
          <w:tab w:leader="none" w:pos="974"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/s/DENNIS ROMPS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Dennis Romps, Vice President - Chief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97" w:lineRule="exact"/>
        <w:rPr>
          <w:sz w:val="20"/>
          <w:szCs w:val="20"/>
          <w:color w:val="auto"/>
        </w:rPr>
      </w:pPr>
    </w:p>
    <w:p>
      <w:pPr>
        <w:ind w:firstLine="656"/>
        <w:spacing w:after="0" w:line="342" w:lineRule="auto"/>
        <w:tabs>
          <w:tab w:leader="none" w:pos="121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March 31, 2022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28, 2022</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28, 2022</w:t>
      </w:r>
    </w:p>
    <w:p>
      <w:pPr>
        <w:spacing w:after="0" w:line="3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20"/>
      </w:cols>
      <w:pgMar w:left="320" w:top="11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32"/>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01"/>
    </w:lvl>
  </w:abstractNum>
  <w:abstractNum w:abstractNumId="6">
    <w:nsid w:val="12200854"/>
    <w:multiLevelType w:val="hybridMultilevel"/>
    <w:lvl w:ilvl="0">
      <w:lvlJc w:val="left"/>
      <w:lvlText w:val="*"/>
      <w:numFmt w:val="bullet"/>
      <w:start w:val="1"/>
    </w:lvl>
    <w:lvl w:ilvl="1">
      <w:lvlJc w:val="left"/>
      <w:lvlText w:val="%2"/>
      <w:numFmt w:val="decimal"/>
      <w:start w:val="104"/>
    </w:lvl>
  </w:abstractNum>
  <w:abstractNum w:abstractNumId="7">
    <w:nsid w:val="4DB127F8"/>
    <w:multiLevelType w:val="hybridMultilevel"/>
    <w:lvl w:ilvl="0">
      <w:lvlJc w:val="left"/>
      <w:lvlText w:val="**"/>
      <w:numFmt w:val="bullet"/>
      <w:start w:val="1"/>
    </w:lvl>
    <w:lvl w:ilvl="1">
      <w:lvlJc w:val="left"/>
      <w:lvlText w:val="%2"/>
      <w:numFmt w:val="decimal"/>
      <w:start w:val="1"/>
    </w:lvl>
  </w:abstractNum>
  <w:abstractNum w:abstractNumId="8">
    <w:nsid w:val="216231B"/>
    <w:multiLevelType w:val="hybridMultilevel"/>
    <w:lvl w:ilvl="0">
      <w:lvlJc w:val="left"/>
      <w:lvlText w:val="%1."/>
      <w:numFmt w:val="decimal"/>
      <w:start w:val="1"/>
    </w:lvl>
    <w:lvl w:ilvl="1">
      <w:lvlJc w:val="left"/>
      <w:lvlText w:val="(%2)"/>
      <w:numFmt w:val="decimal"/>
      <w:start w:val="1"/>
    </w:lvl>
  </w:abstractNum>
  <w:abstractNum w:abstractNumId="9">
    <w:nsid w:val="1F16E9E8"/>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0">
    <w:nsid w:val="1190CDE7"/>
    <w:multiLevelType w:val="hybridMultilevel"/>
    <w:lvl w:ilvl="0">
      <w:lvlJc w:val="left"/>
      <w:lvlText w:val="%1."/>
      <w:numFmt w:val="decimal"/>
      <w:start w:val="1"/>
    </w:lvl>
    <w:lvl w:ilvl="1">
      <w:lvlJc w:val="left"/>
      <w:lvlText w:val="(%2)"/>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2022-04-28T17:19:23Z</dcterms:created>
  <dcterms:modified xsi:type="dcterms:W3CDTF">2022-04-28T17:19:23Z</dcterms:modified>
</cp:coreProperties>
</file>