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360" w:hanging="258"/>
        <w:spacing w:after="0" w:line="218"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239" w:lineRule="exact"/>
        <w:rPr>
          <w:sz w:val="24"/>
          <w:szCs w:val="24"/>
          <w:color w:val="auto"/>
        </w:rPr>
      </w:pPr>
    </w:p>
    <w:p>
      <w:pPr>
        <w:ind w:left="3540" w:right="2200" w:hanging="3438"/>
        <w:spacing w:after="0" w:line="452"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6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171450</wp:posOffset>
            </wp:positionV>
            <wp:extent cx="18434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26"/>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34"/>
        </w:trPr>
        <w:tc>
          <w:tcPr>
            <w:tcW w:w="62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60" w:type="dxa"/>
            <w:vAlign w:val="bottom"/>
          </w:tcPr>
          <w:p>
            <w:pPr>
              <w:jc w:val="center"/>
              <w:ind w:right="131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Shentel Way, Edinburg, Virginia</w:t>
            </w:r>
          </w:p>
        </w:tc>
        <w:tc>
          <w:tcPr>
            <w:tcW w:w="4460" w:type="dxa"/>
            <w:vAlign w:val="bottom"/>
          </w:tcPr>
          <w:p>
            <w:pPr>
              <w:jc w:val="right"/>
              <w:ind w:right="3798"/>
              <w:spacing w:after="0"/>
              <w:rPr>
                <w:sz w:val="20"/>
                <w:szCs w:val="20"/>
                <w:color w:val="auto"/>
              </w:rPr>
            </w:pPr>
            <w:r>
              <w:rPr>
                <w:rFonts w:ascii="Times New Roman" w:cs="Times New Roman" w:eastAsia="Times New Roman" w:hAnsi="Times New Roman"/>
                <w:sz w:val="18"/>
                <w:szCs w:val="18"/>
                <w:color w:val="auto"/>
              </w:rPr>
              <w:t>22824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41"/>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2340" w:type="dxa"/>
            <w:vAlign w:val="bottom"/>
            <w:gridSpan w:val="2"/>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2"/>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40" w:type="dxa"/>
            <w:vAlign w:val="bottom"/>
          </w:tcPr>
          <w:p>
            <w:pPr>
              <w:jc w:val="center"/>
              <w:ind w:left="338"/>
              <w:spacing w:after="0"/>
              <w:rPr>
                <w:sz w:val="20"/>
                <w:szCs w:val="20"/>
                <w:color w:val="auto"/>
              </w:rPr>
            </w:pPr>
            <w:r>
              <w:rPr>
                <w:rFonts w:ascii="Times New Roman" w:cs="Times New Roman" w:eastAsia="Times New Roman" w:hAnsi="Times New Roman"/>
                <w:sz w:val="14"/>
                <w:szCs w:val="14"/>
                <w:color w:val="auto"/>
              </w:rPr>
              <w:t>SHEN</w:t>
            </w:r>
          </w:p>
        </w:tc>
        <w:tc>
          <w:tcPr>
            <w:tcW w:w="28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54,547,093</w:t>
            </w:r>
          </w:p>
        </w:tc>
        <w:tc>
          <w:tcPr>
            <w:tcW w:w="0" w:type="dxa"/>
            <w:vAlign w:val="bottom"/>
          </w:tcPr>
          <w:p>
            <w:pPr>
              <w:spacing w:after="0"/>
              <w:rPr>
                <w:sz w:val="1"/>
                <w:szCs w:val="1"/>
                <w:color w:val="auto"/>
              </w:rPr>
            </w:pPr>
          </w:p>
        </w:tc>
      </w:tr>
      <w:tr>
        <w:trPr>
          <w:trHeight w:val="158"/>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64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color w:val="auto"/>
              </w:rPr>
              <w:t>(Trading Symbol)</w:t>
            </w:r>
          </w:p>
        </w:tc>
        <w:tc>
          <w:tcPr>
            <w:tcW w:w="280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460" w:type="dxa"/>
            <w:vAlign w:val="bottom"/>
          </w:tcPr>
          <w:p>
            <w:pPr>
              <w:jc w:val="center"/>
              <w:ind w:left="278"/>
              <w:spacing w:after="0" w:line="159"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color w:val="auto"/>
              </w:rPr>
              <w:t>April 26, 2024)</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80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12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color w:val="auto"/>
                <w:w w:val="99"/>
              </w:rPr>
              <w:t>Numbers</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Income</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80" w:type="dxa"/>
            <w:vAlign w:val="bottom"/>
            <w:gridSpan w:val="4"/>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tcPr>
          <w:p>
            <w:pPr>
              <w:spacing w:after="0"/>
              <w:rPr>
                <w:sz w:val="24"/>
                <w:szCs w:val="24"/>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2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UNAUDITED CONDENSED CONSOLIDATED BALANCE SHEETS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7"/>
                <w:szCs w:val="17"/>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2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80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139,255</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$1,064 and $886, respectively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8"/>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176,071</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850,337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2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68,915</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1,445,922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1,214,229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 net of unamortized loan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98,355</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 net of unamortized loan fees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292,804</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85,664</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plan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2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56,696</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192,530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170,400</w:t>
            </w:r>
          </w:p>
        </w:tc>
        <w:tc>
          <w:tcPr>
            <w:tcW w:w="0" w:type="dxa"/>
            <w:vAlign w:val="bottom"/>
          </w:tcPr>
          <w:p>
            <w:pPr>
              <w:spacing w:after="0"/>
              <w:rPr>
                <w:sz w:val="1"/>
                <w:szCs w:val="1"/>
                <w:color w:val="auto"/>
              </w:rPr>
            </w:pPr>
          </w:p>
        </w:tc>
      </w:tr>
      <w:tr>
        <w:trPr>
          <w:trHeight w:val="205"/>
        </w:trPr>
        <w:tc>
          <w:tcPr>
            <w:tcW w:w="8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Common stock, no par value, authorized 96,000; 50,447 and 50,272 issued and outstanding at March 31,</w:t>
            </w:r>
          </w:p>
        </w:tc>
        <w:tc>
          <w:tcPr>
            <w:tcW w:w="260" w:type="dxa"/>
            <w:vAlign w:val="bottom"/>
          </w:tcPr>
          <w:p>
            <w:pPr>
              <w:spacing w:after="0"/>
              <w:rPr>
                <w:sz w:val="15"/>
                <w:szCs w:val="15"/>
                <w:color w:val="auto"/>
              </w:rPr>
            </w:pPr>
          </w:p>
        </w:tc>
        <w:tc>
          <w:tcPr>
            <w:tcW w:w="150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66,933</w:t>
            </w:r>
          </w:p>
        </w:tc>
        <w:tc>
          <w:tcPr>
            <w:tcW w:w="0" w:type="dxa"/>
            <w:vAlign w:val="bottom"/>
          </w:tcPr>
          <w:p>
            <w:pPr>
              <w:spacing w:after="0"/>
              <w:rPr>
                <w:sz w:val="1"/>
                <w:szCs w:val="1"/>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584,069</w:t>
            </w:r>
          </w:p>
        </w:tc>
        <w:tc>
          <w:tcPr>
            <w:tcW w:w="0" w:type="dxa"/>
            <w:vAlign w:val="bottom"/>
          </w:tcPr>
          <w:p>
            <w:pPr>
              <w:spacing w:after="0"/>
              <w:rPr>
                <w:sz w:val="1"/>
                <w:szCs w:val="1"/>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871,643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652,670</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1,214,229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4"/>
                <w:szCs w:val="14"/>
                <w:color w:val="auto"/>
              </w:rPr>
            </w:pPr>
          </w:p>
        </w:tc>
        <w:tc>
          <w:tcPr>
            <w:tcW w:w="2480" w:type="dxa"/>
            <w:vAlign w:val="bottom"/>
            <w:gridSpan w:val="4"/>
          </w:tcPr>
          <w:p>
            <w:pPr>
              <w:jc w:val="right"/>
              <w:ind w:right="579"/>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4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 and other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69,248</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67,165</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services exclusive of 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25,431</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26,159</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15,269</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72,024</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66,859</w:t>
            </w:r>
          </w:p>
        </w:tc>
        <w:tc>
          <w:tcPr>
            <w:tcW w:w="0" w:type="dxa"/>
            <w:vAlign w:val="bottom"/>
          </w:tcPr>
          <w:p>
            <w:pPr>
              <w:spacing w:after="0"/>
              <w:rPr>
                <w:sz w:val="1"/>
                <w:szCs w:val="1"/>
                <w:color w:val="auto"/>
              </w:rPr>
            </w:pPr>
          </w:p>
        </w:tc>
      </w:tr>
      <w:tr>
        <w:trPr>
          <w:trHeight w:val="209"/>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16"/>
        </w:trPr>
        <w:tc>
          <w:tcPr>
            <w:tcW w:w="8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the sale of discontinued operations,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216,805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income from discontinued operations,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218,786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10"/>
        </w:trPr>
        <w:tc>
          <w:tcPr>
            <w:tcW w:w="8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214,696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26"/>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on interest rate hedge,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216,290</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26"/>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basic and diluted:</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 (Loss) income from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 Income from discontinued operations,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 (Loss) income from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 Income from discontinued operations,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50,520</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50,291</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4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51,011</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50,512</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20" w:right="3560"/>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SHAREHOLDERS' EQUITY </w:t>
      </w:r>
      <w:r>
        <w:rPr>
          <w:rFonts w:ascii="Times New Roman" w:cs="Times New Roman" w:eastAsia="Times New Roman" w:hAnsi="Times New Roman"/>
          <w:sz w:val="18"/>
          <w:szCs w:val="18"/>
          <w:i w:val="1"/>
          <w:iCs w:val="1"/>
          <w:color w:val="auto"/>
        </w:rPr>
        <w:t>(in thousands)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value)</w:t>
            </w:r>
          </w:p>
        </w:tc>
        <w:tc>
          <w:tcPr>
            <w:tcW w:w="2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66,933</w:t>
            </w:r>
          </w:p>
        </w:tc>
        <w:tc>
          <w:tcPr>
            <w:tcW w:w="12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584,069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652,670</w:t>
            </w:r>
          </w:p>
        </w:tc>
        <w:tc>
          <w:tcPr>
            <w:tcW w:w="0" w:type="dxa"/>
            <w:vAlign w:val="bottom"/>
          </w:tcPr>
          <w:p>
            <w:pPr>
              <w:spacing w:after="0"/>
              <w:rPr>
                <w:sz w:val="1"/>
                <w:szCs w:val="1"/>
                <w:color w:val="auto"/>
              </w:rPr>
            </w:pPr>
          </w:p>
        </w:tc>
      </w:tr>
      <w:tr>
        <w:trPr>
          <w:trHeight w:val="19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214,696</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188"/>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vested 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 on interest rate hedge, net of tax</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23"/>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00" w:type="dxa"/>
            <w:vAlign w:val="bottom"/>
            <w:vMerge w:val="continue"/>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69,616</w:t>
            </w:r>
          </w:p>
        </w:tc>
        <w:tc>
          <w:tcPr>
            <w:tcW w:w="120" w:type="dxa"/>
            <w:vAlign w:val="bottom"/>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798,765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871,643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value)</w:t>
            </w:r>
          </w:p>
        </w:tc>
        <w:tc>
          <w:tcPr>
            <w:tcW w:w="2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6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50,110</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57,453</w:t>
            </w:r>
          </w:p>
        </w:tc>
        <w:tc>
          <w:tcPr>
            <w:tcW w:w="120" w:type="dxa"/>
            <w:vAlign w:val="bottom"/>
          </w:tcPr>
          <w:p>
            <w:pPr>
              <w:spacing w:after="0"/>
              <w:rPr>
                <w:sz w:val="16"/>
                <w:szCs w:val="16"/>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580,554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638,007</w:t>
            </w:r>
          </w:p>
        </w:tc>
        <w:tc>
          <w:tcPr>
            <w:tcW w:w="0" w:type="dxa"/>
            <w:vAlign w:val="bottom"/>
          </w:tcPr>
          <w:p>
            <w:pPr>
              <w:spacing w:after="0"/>
              <w:rPr>
                <w:sz w:val="1"/>
                <w:szCs w:val="1"/>
                <w:color w:val="auto"/>
              </w:rPr>
            </w:pPr>
          </w:p>
        </w:tc>
      </w:tr>
      <w:tr>
        <w:trPr>
          <w:trHeight w:val="19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92"/>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vested 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60,160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582,620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642,780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4"/>
                <w:szCs w:val="14"/>
                <w:color w:val="auto"/>
              </w:rPr>
            </w:pPr>
          </w:p>
        </w:tc>
        <w:tc>
          <w:tcPr>
            <w:tcW w:w="2680" w:type="dxa"/>
            <w:vAlign w:val="bottom"/>
            <w:gridSpan w:val="4"/>
          </w:tcPr>
          <w:p>
            <w:pPr>
              <w:jc w:val="right"/>
              <w:ind w:right="679"/>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214,696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218,786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(4,152)</w:t>
            </w: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45,680</w:t>
            </w: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09"/>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48,324</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(67,468)</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 grants received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0"/>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(67,343)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(67,367)</w:t>
            </w:r>
          </w:p>
        </w:tc>
        <w:tc>
          <w:tcPr>
            <w:tcW w:w="0" w:type="dxa"/>
            <w:vAlign w:val="bottom"/>
          </w:tcPr>
          <w:p>
            <w:pPr>
              <w:spacing w:after="0"/>
              <w:rPr>
                <w:sz w:val="1"/>
                <w:szCs w:val="1"/>
                <w:color w:val="auto"/>
              </w:rPr>
            </w:pPr>
          </w:p>
        </w:tc>
      </w:tr>
      <w:tr>
        <w:trPr>
          <w:trHeight w:val="216"/>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investing activities - discontinued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305,827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238,484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(67,570)</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23,581</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44,061</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389,735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48,396</w:t>
            </w:r>
          </w:p>
        </w:tc>
        <w:tc>
          <w:tcPr>
            <w:tcW w:w="0" w:type="dxa"/>
            <w:vAlign w:val="bottom"/>
          </w:tcPr>
          <w:p>
            <w:pPr>
              <w:spacing w:after="0"/>
              <w:rPr>
                <w:sz w:val="1"/>
                <w:szCs w:val="1"/>
                <w:color w:val="auto"/>
              </w:rPr>
            </w:pPr>
          </w:p>
        </w:tc>
      </w:tr>
      <w:tr>
        <w:trPr>
          <w:trHeight w:val="26"/>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 refunds received, net</w:t>
            </w: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220" w:type="dxa"/>
            <w:vAlign w:val="bottom"/>
            <w:vMerge w:val="continue"/>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Shenandoah Telecommunications Company and its subsidiaries (collectively, “Shentel”, “we”, “our”, “us”, or the “Company”) provide broadband data, video and voice services to residential and commercial customers in portions of Virginia, West Virginia, Maryland, Pennsylvania and Kentucky,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to customers in Virginia’s Shenandoah County and portions of adjacent counties as a Rural Local Exchange Carrier (“RLEC”). These integrated networks are connected by a fiber network.</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2023.</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Sale of Shentel’s Tower Portfolio</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March 29, 2024, Shenandoah Mobile, LLC, a wholly-owned subsidiary of Shenandoah Telecommunications Company, completed the initial closing of its previously disclosed sale of substantially all of Shentel’s tower portfolio and operations (“Tower Portfolio”) to Vertical Bridge Holdco, LLC for $309.9 million (the “Tower Transaction”). The Company received $305.8 million, net of certain transaction costs at the time of the initial closing. At the initial close, the Company conveyed sites representing approximately 99.5% of the tower portfolio value. The Company expects to convey the remaining tower sites in the portfolio by the end of March 2025. The Tower Transaction was completed pursuant to the terms of a Purchase and Sale Agreement, dated February 29, 2024, as amended by Amendment No. 1 to the Purchase and Sale Agreement, dated March 29, 2024.</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the assets and liabilities that transferred in the Tower Transaction (the “disposal group”) are presented as held for sale in our </w:t>
      </w:r>
      <w:r>
        <w:rPr>
          <w:rFonts w:ascii="Times New Roman" w:cs="Times New Roman" w:eastAsia="Times New Roman" w:hAnsi="Times New Roman"/>
          <w:sz w:val="18"/>
          <w:szCs w:val="18"/>
          <w:color w:val="000000"/>
        </w:rPr>
        <w:t>unaudited condensed consolidated balance sheets</w:t>
      </w:r>
      <w:r>
        <w:rPr>
          <w:rFonts w:ascii="Times New Roman" w:cs="Times New Roman" w:eastAsia="Times New Roman" w:hAnsi="Times New Roman"/>
          <w:sz w:val="18"/>
          <w:szCs w:val="18"/>
          <w:color w:val="212529"/>
        </w:rPr>
        <w:t>, and operating results and cash flows related to the Tower Portfolio were reflected as a discontinued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operations in our </w:t>
      </w:r>
      <w:r>
        <w:rPr>
          <w:rFonts w:ascii="Times New Roman" w:cs="Times New Roman" w:eastAsia="Times New Roman" w:hAnsi="Times New Roman"/>
          <w:sz w:val="18"/>
          <w:szCs w:val="18"/>
          <w:color w:val="000000"/>
        </w:rPr>
        <w:t>unaudited condensed consolidated statements of comprehensive income and unaudited condensed consolidated statements of cash flows</w:t>
      </w:r>
      <w:r>
        <w:rPr>
          <w:rFonts w:ascii="Times New Roman" w:cs="Times New Roman" w:eastAsia="Times New Roman" w:hAnsi="Times New Roman"/>
          <w:sz w:val="18"/>
          <w:szCs w:val="18"/>
          <w:color w:val="212529"/>
        </w:rPr>
        <w:t xml:space="preserve">. Refer to </w:t>
      </w:r>
      <w:r>
        <w:rPr>
          <w:rFonts w:ascii="Times New Roman" w:cs="Times New Roman" w:eastAsia="Times New Roman" w:hAnsi="Times New Roman"/>
          <w:sz w:val="18"/>
          <w:szCs w:val="18"/>
          <w:color w:val="000000"/>
        </w:rPr>
        <w:t>Note 14,</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Discontinued Operations</w:t>
      </w:r>
      <w:r>
        <w:rPr>
          <w:rFonts w:ascii="Times New Roman" w:cs="Times New Roman" w:eastAsia="Times New Roman" w:hAnsi="Times New Roman"/>
          <w:sz w:val="18"/>
          <w:szCs w:val="18"/>
          <w:color w:val="212529"/>
        </w:rPr>
        <w:t xml:space="preserve"> for more information regarding the presentation of the disposal group in the Company’s financial statements.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As a result of the sale of the Tower Portfolio, the Company has one reportable segment. Consequently, segment reporting previously disclosed is no longer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those disclosed in the Company’s Annual Report on Form 10-K for its fiscal year ended December 31, 2023, that would be expected to impact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by activity type are as follows: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&amp; SMB - Cable Markets</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44,370</w:t>
            </w:r>
          </w:p>
        </w:tc>
        <w:tc>
          <w:tcPr>
            <w:tcW w:w="1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44,756</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&amp; SMB - Glo Fiber Markets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Fiber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RLEC &amp; Other</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69,248</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67,165</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comprehensive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of current and non-current contract assets: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2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Commission payments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amortization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in its unaudited condensed consolidated balance sheets and the Company’s non-current contract liabilities are included in other liabilities in its unaudited condensed consolidated balance sheets.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Shentel’s current contract liability balances were $10.0 million at both March 31, 2024 and December 31, 2023, respectively. Shentel’s non-current contract liability balances were $0.9 million and $1.0 million as of March 31, 2024 and December 31, 2023, respectively. Shentel expects its current contract liability balances to be recognized as revenues during the twelve-month periods following the respective balance sheet dates and its non-current contract liability balances to be recognized as revenues after the twelve-month periods following the respective balance sheet dates.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method investments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9"/>
        </w:trPr>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34"/>
        </w:trPr>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20" w:space="720"/>
            <w:col w:w="3100"/>
          </w:cols>
          <w:pgMar w:left="320" w:top="119" w:right="339" w:bottom="1440" w:gutter="0" w:footer="0" w:header="0"/>
        </w:sectPr>
      </w:pP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fair value of the SERP investments are based on unadjusted quoted prices in active markets and are classified as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of the fair value hierarchy.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Shentel’s investment in CoBank’s Class A common stock, derived from the CoBank patronage program, represented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Company’s cost method investments with a balance of $10.1 million at both March 31, 2024 and December 31, 2023. We recognized approximately $0.3 million and $0.1 million of patronage income in other income for the three months ended March 31, 2024 and 2023, respectively. The Company expects that approximately 88% of the patronage distributions will be collected in cash and 12% in equity in 2024.</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5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 years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- 45 years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- 30 years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799,612</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 years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348,677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331,595</w:t>
            </w:r>
          </w:p>
        </w:tc>
        <w:tc>
          <w:tcPr>
            <w:tcW w:w="0" w:type="dxa"/>
            <w:vAlign w:val="bottom"/>
          </w:tcPr>
          <w:p>
            <w:pPr>
              <w:spacing w:after="0"/>
              <w:rPr>
                <w:sz w:val="1"/>
                <w:szCs w:val="1"/>
                <w:color w:val="auto"/>
              </w:rPr>
            </w:pPr>
          </w:p>
        </w:tc>
      </w:tr>
      <w:tr>
        <w:trPr>
          <w:trHeight w:val="218"/>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in service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1,182,197</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156,513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145,623</w:t>
            </w:r>
          </w:p>
        </w:tc>
        <w:tc>
          <w:tcPr>
            <w:tcW w:w="0" w:type="dxa"/>
            <w:vAlign w:val="bottom"/>
          </w:tcPr>
          <w:p>
            <w:pPr>
              <w:spacing w:after="0"/>
              <w:rPr>
                <w:sz w:val="1"/>
                <w:szCs w:val="1"/>
                <w:color w:val="auto"/>
              </w:rPr>
            </w:pPr>
          </w:p>
        </w:tc>
      </w:tr>
      <w:tr>
        <w:trPr>
          <w:trHeight w:val="218"/>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1,327,820</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(493,488)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(477,483)</w:t>
            </w: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896,208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850,337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net increased due primarily to capital expenditures driven by the Company’s Glo Fiber market expansion. The Company’s accounts payable as of March 31, 2024 and December 31, 2023 included amounts associated with capital expenditures of approximately $48.4 million and $51.1 million, respectively. Depreciation and amortization expense was $17.3 million and $15.1 million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Goodwill and intangible assets consist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5"/>
                <w:szCs w:val="15"/>
                <w:color w:val="auto"/>
              </w:rPr>
            </w:pPr>
          </w:p>
        </w:tc>
        <w:tc>
          <w:tcPr>
            <w:tcW w:w="960" w:type="dxa"/>
            <w:vAlign w:val="bottom"/>
            <w:gridSpan w:val="2"/>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5"/>
                <w:szCs w:val="15"/>
                <w:color w:val="auto"/>
              </w:rPr>
            </w:pPr>
          </w:p>
        </w:tc>
        <w:tc>
          <w:tcPr>
            <w:tcW w:w="152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and Other</w:t>
            </w: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30"/>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34"/>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Railroad crossing rights and other</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76,673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76,673</w:t>
            </w:r>
          </w:p>
        </w:tc>
        <w:tc>
          <w:tcPr>
            <w:tcW w:w="0" w:type="dxa"/>
            <w:vAlign w:val="bottom"/>
          </w:tcPr>
          <w:p>
            <w:pPr>
              <w:spacing w:after="0"/>
              <w:rPr>
                <w:sz w:val="1"/>
                <w:szCs w:val="1"/>
                <w:color w:val="auto"/>
              </w:rPr>
            </w:pPr>
          </w:p>
        </w:tc>
      </w:tr>
      <w:tr>
        <w:trPr>
          <w:trHeight w:val="47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4"/>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23"/>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108,852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81,123</w:t>
            </w:r>
          </w:p>
        </w:tc>
        <w:tc>
          <w:tcPr>
            <w:tcW w:w="0" w:type="dxa"/>
            <w:vAlign w:val="bottom"/>
          </w:tcPr>
          <w:p>
            <w:pPr>
              <w:spacing w:after="0"/>
              <w:rPr>
                <w:sz w:val="1"/>
                <w:szCs w:val="1"/>
                <w:color w:val="auto"/>
              </w:rPr>
            </w:pPr>
          </w:p>
        </w:tc>
      </w:tr>
      <w:tr>
        <w:trPr>
          <w:trHeight w:val="21"/>
        </w:trPr>
        <w:tc>
          <w:tcPr>
            <w:tcW w:w="37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Amortization expense was $0.1 million during each of the three months ended March 31, 2024 and 2023.</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Other Assets and Accrued Liabilities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4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3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3"/>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10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39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39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98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1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classified as current liabilities, included the following:</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08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lease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financing leases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various broadband network and telecommunications sites, fiber optic cable routes, warehouses, retail stores and office facilities for use in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1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6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Finance lease cost</w:t>
            </w: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6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w:t>
      </w:r>
    </w:p>
    <w:p>
      <w:pPr>
        <w:spacing w:after="0" w:line="14"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expense is presented in cost of services or selling, general and administrative expense based on the use of the relevant facility.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as of March 31, 2024:</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40" w:type="dxa"/>
            <w:vAlign w:val="bottom"/>
          </w:tcPr>
          <w:p>
            <w:pPr>
              <w:spacing w:after="0"/>
              <w:rPr>
                <w:sz w:val="22"/>
                <w:szCs w:val="22"/>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w:t>
            </w:r>
          </w:p>
        </w:tc>
      </w:tr>
      <w:tr>
        <w:trPr>
          <w:trHeight w:val="21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0"/>
        </w:trPr>
        <w:tc>
          <w:tcPr>
            <w:tcW w:w="6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6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79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operating and finance leases was as follows: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20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526"/>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5"/>
          </w:tcPr>
          <w:p>
            <w:pPr>
              <w:jc w:val="center"/>
              <w:ind w:left="2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24"/>
                <w:szCs w:val="24"/>
                <w:color w:val="auto"/>
              </w:rPr>
            </w:pPr>
          </w:p>
        </w:tc>
      </w:tr>
      <w:tr>
        <w:trPr>
          <w:trHeight w:val="212"/>
        </w:trPr>
        <w:tc>
          <w:tcPr>
            <w:tcW w:w="12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left="25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r>
      <w:tr>
        <w:trPr>
          <w:trHeight w:val="227"/>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r>
      <w:tr>
        <w:trPr>
          <w:trHeight w:val="218"/>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8"/>
                <w:szCs w:val="18"/>
                <w:color w:val="auto"/>
              </w:rPr>
            </w:pP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180"/>
        </w:trPr>
        <w:tc>
          <w:tcPr>
            <w:tcW w:w="7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new lease liabilities (includes new leases or</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modification of existing leases)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Shentel has a credit agreement, dated as of July 1, 2021 (as amended by (i) Amendment No. 1 to Credit Agreement, dated as of May 17, 2023 and (ii) Consent and Amendment No. 2 to Credit Agreement, dated as of October 24, 2023, the “Credit Agreement”), with various financial institutions party thereto (the “Lenders”) and CoBank, ACB, as administrative agent for the Lenders, which contains (i) a $100 million, five-year available revolving credit facility (the “Revolver”), (ii) a $150 million five-year delayed draw amortizing term loan (“Term Loan A-1”) and (iii) a $150 million seven-year delayed draw amortizing term loan (“Term Loan A-2” and collectively with Term Loan A-1, the “Term Loans”). The following loans were outstanding under the Credit Agreement:</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4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149,625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298,595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299,899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Term Loan A-1 and Term Loan A-2 bore interest at one-month LIBOR plus a margin of 1.50% until May 2023 and now bear interest at one-month term SOFR plus a margin of 1.60%. The margin of 1.60% is variable and determined by the Company’s net leverage ratio. Interest is paid monthly. The interest rate was 6.93% and 6.95% at March 31, 2024 and December 31,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recorded in Shentel’s unaudited condensed consolidated statements of comprehensive income consists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5,383</w:t>
            </w:r>
          </w:p>
        </w:tc>
        <w:tc>
          <w:tcPr>
            <w:tcW w:w="12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8"/>
              </w:rPr>
              <w:t>(1,307)</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8"/>
              </w:rPr>
              <w:t>4,076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various covenants, including total net leverage ratio and debt service coverage ratio financial covenants.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Shentel’s Term Loans require quarterly payments based on a percentage of the outstanding balance. Based on the outstanding balance as of March 31, 2024, Term Loan A-1 requires quarterly principal repayments of 0.63% from March 31, 2024 through June 30, 2024; then increasing to 1.25% quarterly from September 30, 2024 through March 31, 2026, with the remaining balance due June 30, 2026. Based on the outstanding balance as of March 31, 2024, Term Loan A-2 requires quarterly principal repayments of 0.25% from March 31, 2024 through March 31, 2028, with the remaining balance due June 30, 2028.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payments of Shentel’s outstanding borrowings as of March 31, 2024:</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0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138,827</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144,112</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298,688</w:t>
            </w:r>
          </w:p>
        </w:tc>
      </w:tr>
      <w:tr>
        <w:trPr>
          <w:trHeight w:val="21"/>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Shentel has not made any borrowings under its Revolver as of March 31, 2024. In the event borrowings are made in the future, the entire outstanding principal amount borrowed is due June 30,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events that occurred subsequent to March 31, 2024 which affect Shentel’s Credit Agreement.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and Hedging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Shentel entered into pay fixed (2.90%), receive variable (one-month term SOFR) interest rate swaps totaling $150.0 million of notional principal (the “Swaps”). The Swaps contain monthly payment terms beginning in May 2024, which extend through their maturity dates in June 2026. The Swaps are designated as cash flow hedges, representing 50% of the Company’s expected outstanding debt. The Company uses the Swaps to manage its exposure to interest rate risk for its long-term variable-rate Term Loans.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Swaps were determined to be highly effective hedges and therefore all change in the fair value of the Swaps was recognized in other comprehensive income. Since the Company did not have outstanding interest rate swaps in the prior year period, there were no gains or losses recorded for the three months ended March 31, 2023. Shentel expects to begin reclassifying amounts related to the Swaps from accumulated other comprehensive income to interest expense in May 2024, when the payment periods of the Swaps begin.</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Layout w:type="fixed"/>
        <w:tblInd w:w="20" w:type="dxa"/>
        <w:tblCellMar>
          <w:top w:w="0" w:type="dxa"/>
          <w:left w:w="0" w:type="dxa"/>
          <w:bottom w:w="0" w:type="dxa"/>
          <w:right w:w="0" w:type="dxa"/>
        </w:tblCellMar>
      </w:tblPr>
      <w:tr>
        <w:trPr>
          <w:trHeight w:val="185"/>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40"/>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6"/>
                <w:szCs w:val="16"/>
                <w:color w:val="auto"/>
              </w:rPr>
            </w:pPr>
          </w:p>
        </w:tc>
        <w:tc>
          <w:tcPr>
            <w:tcW w:w="1360" w:type="dxa"/>
            <w:vAlign w:val="bottom"/>
          </w:tcPr>
          <w:p>
            <w:pPr>
              <w:jc w:val="right"/>
              <w:ind w:right="15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6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8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sheet line item of derivative financial instruments: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4"/>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accumulated other comprehensive income by component:</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0" w:type="dxa"/>
            <w:vAlign w:val="bottom"/>
          </w:tcPr>
          <w:p>
            <w:pPr>
              <w:spacing w:after="0"/>
              <w:rPr>
                <w:sz w:val="1"/>
                <w:szCs w:val="1"/>
                <w:color w:val="auto"/>
              </w:rPr>
            </w:pPr>
          </w:p>
        </w:tc>
      </w:tr>
      <w:tr>
        <w:trPr>
          <w:trHeight w:val="184"/>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6"/>
                <w:szCs w:val="16"/>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Gain on Swaps</w:t>
            </w: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spacing w:after="0"/>
              <w:rPr>
                <w:sz w:val="16"/>
                <w:szCs w:val="16"/>
                <w:color w:val="auto"/>
              </w:rPr>
            </w:pPr>
          </w:p>
        </w:tc>
        <w:tc>
          <w:tcPr>
            <w:tcW w:w="15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29"/>
        </w:trPr>
        <w:tc>
          <w:tcPr>
            <w:tcW w:w="5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net of taxes</w:t>
            </w:r>
          </w:p>
        </w:tc>
        <w:tc>
          <w:tcPr>
            <w:tcW w:w="0" w:type="dxa"/>
            <w:vAlign w:val="bottom"/>
          </w:tcPr>
          <w:p>
            <w:pPr>
              <w:spacing w:after="0"/>
              <w:rPr>
                <w:sz w:val="1"/>
                <w:szCs w:val="1"/>
                <w:color w:val="auto"/>
              </w:rPr>
            </w:pP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currently involved in one state income tax audit and no federal income tax audits as of March 31, 2024. The Company’s income tax returns are generally open to examination from 2020 forward and the net operating losses acquired in the acquisition of nTelos are open to examination from 2004 forward.</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and three months ended March 31, 2024 and 2023, differ from the statutory U.S. federal income tax rate of 21% primarily due to the state income taxes, excess tax benefits and other discrete items.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tax (benefit) expense at federal statutory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 income tax (benefit) expense, net of federal tax effect</w:t>
      </w:r>
    </w:p>
    <w:p>
      <w:pPr>
        <w:spacing w:after="0" w:line="27" w:lineRule="exact"/>
        <w:rPr>
          <w:sz w:val="20"/>
          <w:szCs w:val="20"/>
          <w:color w:val="auto"/>
        </w:rPr>
      </w:pPr>
    </w:p>
    <w:p>
      <w:pPr>
        <w:ind w:left="140" w:right="1940" w:hanging="120"/>
        <w:spacing w:after="0" w:line="292" w:lineRule="auto"/>
        <w:rPr>
          <w:sz w:val="20"/>
          <w:szCs w:val="20"/>
          <w:color w:val="auto"/>
        </w:rPr>
      </w:pPr>
      <w:r>
        <w:rPr>
          <w:rFonts w:ascii="Times New Roman" w:cs="Times New Roman" w:eastAsia="Times New Roman" w:hAnsi="Times New Roman"/>
          <w:sz w:val="18"/>
          <w:szCs w:val="18"/>
          <w:color w:val="auto"/>
        </w:rPr>
        <w:t>Excess tax deficiency from share-based compensation and other expense, net Income tax (benefit) expense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19" w:right="339" w:bottom="1440" w:gutter="0" w:footer="0" w:header="0"/>
          <w:type w:val="continuous"/>
        </w:sectPr>
      </w:pP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made no cash payments and received no cash refunds for income taxes for the three months ended March 31, 2024. The Company received $25.0 million in cash refunds for income taxes for the three months ended March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Stock Compensation and Earnings (Loss) per Share</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the Company’s restricted stock units (“RSUs”) was as follows: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8060" w:type="dxa"/>
            <w:vAlign w:val="bottom"/>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December 31, 2023</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34"/>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awards, March 31, 2024</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vested was $4.9 million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related to the Company’s Relative Total Shareholder Return RSUs (“RTSRs”) was as follows: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 average grant price)</w:t>
            </w:r>
          </w:p>
        </w:tc>
        <w:tc>
          <w:tcPr>
            <w:tcW w:w="1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8060" w:type="dxa"/>
            <w:vAlign w:val="bottom"/>
            <w:gridSpan w:val="2"/>
            <w:vMerge w:val="continue"/>
          </w:tcPr>
          <w:p>
            <w:pPr>
              <w:spacing w:after="0"/>
              <w:rPr>
                <w:sz w:val="21"/>
                <w:szCs w:val="21"/>
                <w:color w:val="auto"/>
              </w:rPr>
            </w:pPr>
          </w:p>
        </w:tc>
        <w:tc>
          <w:tcPr>
            <w:tcW w:w="1660" w:type="dxa"/>
            <w:vAlign w:val="bottom"/>
            <w:gridSpan w:val="5"/>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45"/>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awards, December 31, 2023</w:t>
            </w: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top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25.80</w:t>
            </w:r>
          </w:p>
        </w:tc>
        <w:tc>
          <w:tcPr>
            <w:tcW w:w="0" w:type="dxa"/>
            <w:vAlign w:val="bottom"/>
          </w:tcPr>
          <w:p>
            <w:pPr>
              <w:spacing w:after="0"/>
              <w:rPr>
                <w:sz w:val="1"/>
                <w:szCs w:val="1"/>
                <w:color w:val="auto"/>
              </w:rPr>
            </w:pPr>
          </w:p>
        </w:tc>
      </w:tr>
      <w:tr>
        <w:trPr>
          <w:trHeight w:val="23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22.30</w:t>
            </w:r>
          </w:p>
        </w:tc>
        <w:tc>
          <w:tcPr>
            <w:tcW w:w="0" w:type="dxa"/>
            <w:vAlign w:val="bottom"/>
          </w:tcPr>
          <w:p>
            <w:pPr>
              <w:spacing w:after="0"/>
              <w:rPr>
                <w:sz w:val="1"/>
                <w:szCs w:val="1"/>
                <w:color w:val="auto"/>
              </w:rPr>
            </w:pPr>
          </w:p>
        </w:tc>
      </w:tr>
      <w:tr>
        <w:trPr>
          <w:trHeight w:val="22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awards, March 31, 2024</w:t>
            </w: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24.74</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 was as follows:</w:t>
            </w: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3,852</w:t>
            </w:r>
          </w:p>
        </w:tc>
        <w:tc>
          <w:tcPr>
            <w:tcW w:w="0" w:type="dxa"/>
            <w:vAlign w:val="bottom"/>
          </w:tcPr>
          <w:p>
            <w:pPr>
              <w:spacing w:after="0"/>
              <w:rPr>
                <w:sz w:val="1"/>
                <w:szCs w:val="1"/>
                <w:color w:val="auto"/>
              </w:rPr>
            </w:pPr>
          </w:p>
        </w:tc>
      </w:tr>
      <w:tr>
        <w:trPr>
          <w:trHeight w:val="23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stock compensation</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compensation expense, net</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3,717</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there was $13.8 million of total unrecognized compensation cost related to non-vested RSUs and RTSRs which is expected to be recognized over weighted average period of 2.3 years.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utilize the treasury stock method to calculate the impact on diluted earnings (loss) per share that potentially dilutive stock-based compensation awards have. The following table indicates the computation of basic and diluted earnings (loss) per share:</w:t>
      </w:r>
    </w:p>
    <w:tbl>
      <w:tblPr>
        <w:tblLayout w:type="fixed"/>
        <w:tblInd w:w="2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590"/>
              <w:spacing w:after="0" w:line="190"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income per share: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income from discontinued operations, net of tax</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218,786</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466"/>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0" w:type="dxa"/>
            <w:vAlign w:val="bottom"/>
          </w:tcPr>
          <w:p>
            <w:pPr>
              <w:spacing w:after="0"/>
              <w:rPr>
                <w:sz w:val="1"/>
                <w:szCs w:val="1"/>
                <w:color w:val="auto"/>
              </w:rPr>
            </w:pPr>
          </w:p>
        </w:tc>
      </w:tr>
      <w:tr>
        <w:trPr>
          <w:trHeight w:val="481"/>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(loss) income per share - 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income per share - discontinued operations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awards outstanding:</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50,512</w:t>
            </w:r>
          </w:p>
        </w:tc>
        <w:tc>
          <w:tcPr>
            <w:tcW w:w="0" w:type="dxa"/>
            <w:vAlign w:val="bottom"/>
          </w:tcPr>
          <w:p>
            <w:pPr>
              <w:spacing w:after="0"/>
              <w:rPr>
                <w:sz w:val="1"/>
                <w:szCs w:val="1"/>
                <w:color w:val="auto"/>
              </w:rPr>
            </w:pPr>
          </w:p>
        </w:tc>
      </w:tr>
      <w:tr>
        <w:trPr>
          <w:trHeight w:val="461"/>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(loss) income per share - 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 - discontinued operations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approximately 462,000 and 478,000 anti-dilutive equity awards outstanding during the three months ended March 31, 2024 and 2023, respectively.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Government Grants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Shentel was awarded an additional grant of $0.6 million to strategically expand the Company’s broadband network in order to provide broadband services to unserved residences.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recognizes grant receivables at the time it becomes probable that the Company will be eligible to receive the grant, which is estimated to correspond with the date when specified build-out milestones are achieved. As a result of these programs, the Company received $2.7 million in cash reimbursements during the three months ended March 31, 2024 and had approximately $2.8 million and $1.9 million in accounts receivable as of March 31, 2024 and December 31, 2023, respectively. The Company did not recognize any material amounts under these programs during the three months ended March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are committed to make payments to satisfy our lease liabilities. The scheduled payments under those obligations are summarized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also have outstanding unconditional purchase commitments to procure marketing services and IT software licenses through 2027.</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Company’s financial position, results of operations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Discontinued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As discussed in </w:t>
      </w:r>
      <w:r>
        <w:rPr>
          <w:rFonts w:ascii="Times New Roman" w:cs="Times New Roman" w:eastAsia="Times New Roman" w:hAnsi="Times New Roman"/>
          <w:sz w:val="18"/>
          <w:szCs w:val="18"/>
          <w:color w:val="000000"/>
        </w:rPr>
        <w:t>Note 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Basis of Presentation and Other Information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above, t</w:t>
      </w:r>
      <w:r>
        <w:rPr>
          <w:rFonts w:ascii="Times New Roman" w:cs="Times New Roman" w:eastAsia="Times New Roman" w:hAnsi="Times New Roman"/>
          <w:sz w:val="18"/>
          <w:szCs w:val="18"/>
          <w:color w:val="212529"/>
        </w:rPr>
        <w:t xml:space="preserve">he Tower Transaction represented a strategic shift in the Company’s business and the Tower Portfolio has been reclassified as a discontinued operation. As a result, for all periods presented, the assets and liabilities that transferred in the Tower Transaction disposal group are presented as held for sale in our </w:t>
      </w:r>
      <w:r>
        <w:rPr>
          <w:rFonts w:ascii="Times New Roman" w:cs="Times New Roman" w:eastAsia="Times New Roman" w:hAnsi="Times New Roman"/>
          <w:sz w:val="18"/>
          <w:szCs w:val="18"/>
          <w:color w:val="000000"/>
        </w:rPr>
        <w:t>unaudited condensed consolidated balance sheets</w:t>
      </w:r>
      <w:r>
        <w:rPr>
          <w:rFonts w:ascii="Times New Roman" w:cs="Times New Roman" w:eastAsia="Times New Roman" w:hAnsi="Times New Roman"/>
          <w:sz w:val="18"/>
          <w:szCs w:val="18"/>
          <w:color w:val="212529"/>
        </w:rPr>
        <w:t xml:space="preserve">, and operating results and cash flows related to the Tower Portfolio were reflected as a discontinued operations in our </w:t>
      </w:r>
      <w:r>
        <w:rPr>
          <w:rFonts w:ascii="Times New Roman" w:cs="Times New Roman" w:eastAsia="Times New Roman" w:hAnsi="Times New Roman"/>
          <w:sz w:val="18"/>
          <w:szCs w:val="18"/>
          <w:color w:val="000000"/>
        </w:rPr>
        <w:t>unaudited condensed consolidated statements of comprehensive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income and unaudited condensed consolidated statements of cash flows</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classified as held for sale in the unaudited condensed consolidated balance sheets, were as follows:</w:t>
      </w:r>
    </w:p>
    <w:tbl>
      <w:tblPr>
        <w:tblLayout w:type="fixed"/>
        <w:tblInd w:w="20" w:type="dxa"/>
        <w:tblCellMar>
          <w:top w:w="0" w:type="dxa"/>
          <w:left w:w="0" w:type="dxa"/>
          <w:bottom w:w="0" w:type="dxa"/>
          <w:right w:w="0" w:type="dxa"/>
        </w:tblCellMar>
      </w:tblPr>
      <w:tr>
        <w:trPr>
          <w:trHeight w:val="185"/>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280" w:type="dxa"/>
            <w:vAlign w:val="bottom"/>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97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97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37,616</w:t>
            </w: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68,915</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9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29"/>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30"/>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0" w:type="dxa"/>
            <w:vAlign w:val="bottom"/>
          </w:tcPr>
          <w:p>
            <w:pPr>
              <w:spacing w:after="0"/>
              <w:rPr>
                <w:sz w:val="1"/>
                <w:szCs w:val="1"/>
                <w:color w:val="auto"/>
              </w:rPr>
            </w:pPr>
          </w:p>
        </w:tc>
      </w:tr>
      <w:tr>
        <w:trPr>
          <w:trHeight w:val="234"/>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56,696</w:t>
            </w:r>
          </w:p>
        </w:tc>
        <w:tc>
          <w:tcPr>
            <w:tcW w:w="0" w:type="dxa"/>
            <w:vAlign w:val="bottom"/>
          </w:tcPr>
          <w:p>
            <w:pPr>
              <w:spacing w:after="0"/>
              <w:rPr>
                <w:sz w:val="1"/>
                <w:szCs w:val="1"/>
                <w:color w:val="auto"/>
              </w:rPr>
            </w:pPr>
          </w:p>
        </w:tc>
      </w:tr>
      <w:tr>
        <w:trPr>
          <w:trHeight w:val="21"/>
        </w:trPr>
        <w:tc>
          <w:tcPr>
            <w:tcW w:w="9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Income from discontinued operations, net of tax in the unaudited condensed consolidated statements of comprehensive income consist of the following for the periods ended:</w:t>
      </w:r>
    </w:p>
    <w:tbl>
      <w:tblPr>
        <w:tblLayout w:type="fixed"/>
        <w:tblInd w:w="20" w:type="dxa"/>
        <w:tblCellMar>
          <w:top w:w="0" w:type="dxa"/>
          <w:left w:w="0" w:type="dxa"/>
          <w:bottom w:w="0" w:type="dxa"/>
          <w:right w:w="0" w:type="dxa"/>
        </w:tblCellMar>
      </w:tblPr>
      <w:tr>
        <w:trPr>
          <w:trHeight w:val="165"/>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14"/>
                <w:szCs w:val="14"/>
                <w:color w:val="auto"/>
              </w:rPr>
            </w:pPr>
          </w:p>
        </w:tc>
        <w:tc>
          <w:tcPr>
            <w:tcW w:w="2660" w:type="dxa"/>
            <w:vAlign w:val="bottom"/>
            <w:gridSpan w:val="4"/>
          </w:tcPr>
          <w:p>
            <w:pPr>
              <w:jc w:val="right"/>
              <w:ind w:right="67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disposition of Tower Portfolio</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294,250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34"/>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218,786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Consummation of the sale triggered the recognition of approximately $4.4 million of incremental transaction costs during the </w:t>
      </w:r>
      <w:r>
        <w:rPr>
          <w:rFonts w:ascii="Times New Roman" w:cs="Times New Roman" w:eastAsia="Times New Roman" w:hAnsi="Times New Roman"/>
          <w:sz w:val="18"/>
          <w:szCs w:val="18"/>
          <w:color w:val="000000"/>
        </w:rPr>
        <w:t>three months ended March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31, 2024</w:t>
      </w:r>
      <w:r>
        <w:rPr>
          <w:rFonts w:ascii="Times New Roman" w:cs="Times New Roman" w:eastAsia="Times New Roman" w:hAnsi="Times New Roman"/>
          <w:sz w:val="18"/>
          <w:szCs w:val="18"/>
          <w:color w:val="212529"/>
        </w:rPr>
        <w:t>, for contingent deal advisory fees and legal expenses, which are netted against the gain on sale of disposition of Tower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 Transaction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2024 (the “Closing Date”), Shentel completed its previously announced acquisition of Horizon Acquisition Parent LLC, a Delaware limited liability company (“Horizon”). On the Closing Date, Shentel acquired 100% of the outstanding equity interests of Horizon in exchange for (i) issuing 4,100,375 shares of Shentel’s common stock to a selling shareholder of Horizon; and (ii) paying $305 million in cash consideration to the other sellers and certain third parties, including Horizon’s existing lenders to discharge debt (collectively, the “Horizon Transaction”). The Horizon selling shareholder has agreed to an investor rights agreement with the Company that includes among other provision, a one year lockup period of common shares received.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Shentel paid certain sellers an additional amount of approximately $39 million based on Horizon’s capital expenditures funded by capital contributions of such Sellers between July 1, 2023 and the Closing Date, plus interest in the amount of 6.00% per annum.</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Shentel is in the process of finalizing its evaluation of the tangible and intangible assets acquired and liabilities assumed, as well as the initial purchase price allocation as of the acquisition date, including the determination of any resulting goodwill; therefore, this information cannot be provided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Contemporaneously with the Horizon Transaction, Shentel and Shentel Broadband Holding Inc., a wholly-owned subsidiary of Shentel (“Shentel Broadband”), entered into an investment agreement (the “Investment Agreement”) with a third party (the “Investor”). Subject to the terms and conditions set forth in the Investment Agreement, on the Closing Date, Shentel Broadband issued 81,000 shares of Shentel Broadband’s 7% Series A Participating Exchangeable Perpetual Preferred Stock, par value $0.01 per share (the “Series A Preferred Stock”), at a purchase price of $1,000 per share in exchange for $81 million in cash. The Series A Preferred Stock is exchangeable at the option of the Investor in certain circumstances for shares of Common Stock at an exchange price of $24.50 per share (as it may be adjusted pursuant to the terms of the Investment Agreement, the “Exchange Price”).</w:t>
      </w:r>
    </w:p>
    <w:p>
      <w:pPr>
        <w:spacing w:after="0" w:line="214" w:lineRule="exact"/>
        <w:rPr>
          <w:sz w:val="20"/>
          <w:szCs w:val="20"/>
          <w:color w:val="auto"/>
        </w:rPr>
      </w:pPr>
    </w:p>
    <w:p>
      <w:pPr>
        <w:ind w:right="540"/>
        <w:spacing w:after="0" w:line="257" w:lineRule="auto"/>
        <w:rPr>
          <w:sz w:val="20"/>
          <w:szCs w:val="20"/>
          <w:color w:val="auto"/>
        </w:rPr>
      </w:pPr>
      <w:r>
        <w:rPr>
          <w:rFonts w:ascii="Times New Roman" w:cs="Times New Roman" w:eastAsia="Times New Roman" w:hAnsi="Times New Roman"/>
          <w:sz w:val="18"/>
          <w:szCs w:val="18"/>
          <w:color w:val="auto"/>
        </w:rPr>
        <w:t>As a condition to closing the transactions contemplated by the Investment Agreement, Shentel completed a corporate reorganization of Shentel’s subsidiaries (the “Reorganization”). As a result of the Reorganization effected on the Closing Date, Shentel Broadband, both directly and through its subsidiaries, holds substantially all of the operating assets of Shentel.</w:t>
      </w:r>
    </w:p>
    <w:p>
      <w:pPr>
        <w:spacing w:after="0" w:line="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On the Closing Date, Shentel Broadband filed a certificate of designations with the Secretary of State of the State of Delaware authorizing 100,000 shares of Series A Preferred Stock and setting forth the powers, designations, preferences, rights, qualifications, limitations and restrictions of the Series A Preferred Stock (the “Certificate of Designations”). 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spacing w:after="0" w:line="2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Beginning two years after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Agreement, the Investor has the right to nominate a director to the Board so long as the Investor beneficially owns at least 7.5% of Shentel’s outstanding Common Stock (including on an as exchanged basis with respect to the Series A Preferred Stock).</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 long as the Investor beneficially owns at least 7.5% of Shentel’s outstanding Common Stock (including on an as exchanged basis with respect to the Series A Preferred Stock), the Investor is subject to certain standstill provisions and voting covenants and has certain other rights with respect to the shares of Series A Preferred Stock, including, among others, pre-emptive, information and participation rights. The shares of Series A Preferred Stock are subject to a lock-up until the first anniversary of the Closing Date and are subject to certain other transfer restrictions.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to Credit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2024, Shentel entered into Amendment No. 3 to Credit Agreement, Incremental Term Loan Funding Agreement, Joinder and Assignment and Assumption (the “Third Amendment”) to its existing Credit Agreement, dated as of July 1, 2021, with various financial institutions party thereto (the “Lenders”) and CoBank, ACB, as administrative agent for the Lenders (as previously amended by Amendment No. 1 to Credit Agreement, dated as of May 17, 2023, and Consent and Amendment No. 2 to Credit Agreement, dated October 24, 2023, the “Credit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Third Amendment provides for, among other things, incremental delay draw term loan commitments under the Credit Agreement in an aggregate amount equal to $225 million and an increase in the revolving commitment under the Credit Agreement in an amount equal to $50 million.</w:t>
      </w:r>
    </w:p>
    <w:p>
      <w:pPr>
        <w:spacing w:after="0" w:line="200" w:lineRule="exact"/>
        <w:rPr>
          <w:sz w:val="20"/>
          <w:szCs w:val="20"/>
          <w:color w:val="auto"/>
        </w:rPr>
      </w:pPr>
    </w:p>
    <w:p>
      <w:pPr>
        <w:spacing w:after="0" w:line="29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 w:right="7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its fiscal year ended December 31, 2023 (“2023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2023 Form 10-K, including the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in the Mid-Atlantic portion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Sale of Shentel’s Tower Portfolio</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On March 29, 2024, Shenandoah Mobile, LLC, a wholly-owned subsidiary of Shenandoah Telecommunications Company, completed the initial closing of its previously disclosed sale of substantially all of Shentel’s tower portfolio and operations (“Tower Portfolio”) to Vertical Bridge Holdco, LLC for $309.9 million (the “Tower Transaction”). The Company received $305.8 million, net of certain transaction costs at the time of the initial closing. At the initial close, the Company conveyed approximately 99.5% of the tower portfolio. The Company expects to convey the remaining tower sites in the portfolio by the end of March 2025. The Tower Transaction was completed pursuant to the terms of a Purchase and Sale Agreement, dated February 29, 2024, as amended by Amendment No. 1 to the Purchase and Sale Agreement, dated March 29, 2024.</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the assets and liabilities that transferred in the Tower Transaction (the “disposal group”) are presented as held for sale in our </w:t>
      </w:r>
      <w:r>
        <w:rPr>
          <w:rFonts w:ascii="Times New Roman" w:cs="Times New Roman" w:eastAsia="Times New Roman" w:hAnsi="Times New Roman"/>
          <w:sz w:val="18"/>
          <w:szCs w:val="18"/>
          <w:color w:val="000000"/>
        </w:rPr>
        <w:t>unaudited condensed consolidated balance sheets</w:t>
      </w:r>
      <w:r>
        <w:rPr>
          <w:rFonts w:ascii="Times New Roman" w:cs="Times New Roman" w:eastAsia="Times New Roman" w:hAnsi="Times New Roman"/>
          <w:sz w:val="18"/>
          <w:szCs w:val="18"/>
          <w:color w:val="212529"/>
        </w:rPr>
        <w:t>, and operating results and cash flows related to the Tower Portfolio were reflected as a discontinued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operations in our </w:t>
      </w:r>
      <w:r>
        <w:rPr>
          <w:rFonts w:ascii="Times New Roman" w:cs="Times New Roman" w:eastAsia="Times New Roman" w:hAnsi="Times New Roman"/>
          <w:sz w:val="18"/>
          <w:szCs w:val="18"/>
          <w:color w:val="000000"/>
        </w:rPr>
        <w:t>unaudited condensed consolidated statements of comprehensive income and unaudited condensed consolidated statements of cash flows</w:t>
      </w:r>
      <w:r>
        <w:rPr>
          <w:rFonts w:ascii="Times New Roman" w:cs="Times New Roman" w:eastAsia="Times New Roman" w:hAnsi="Times New Roman"/>
          <w:sz w:val="18"/>
          <w:szCs w:val="18"/>
          <w:color w:val="212529"/>
        </w:rPr>
        <w:t xml:space="preserve">. Refer to </w:t>
      </w:r>
      <w:r>
        <w:rPr>
          <w:rFonts w:ascii="Times New Roman" w:cs="Times New Roman" w:eastAsia="Times New Roman" w:hAnsi="Times New Roman"/>
          <w:sz w:val="18"/>
          <w:szCs w:val="18"/>
          <w:color w:val="000000"/>
        </w:rPr>
        <w:t>Note 14,</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Discontinued Operations</w:t>
      </w:r>
      <w:r>
        <w:rPr>
          <w:rFonts w:ascii="Times New Roman" w:cs="Times New Roman" w:eastAsia="Times New Roman" w:hAnsi="Times New Roman"/>
          <w:sz w:val="18"/>
          <w:szCs w:val="18"/>
          <w:color w:val="000000"/>
        </w:rPr>
        <w:t>, in Part I, Item 1 of this quarterly report on Form 10-Q</w:t>
      </w:r>
      <w:r>
        <w:rPr>
          <w:rFonts w:ascii="Times New Roman" w:cs="Times New Roman" w:eastAsia="Times New Roman" w:hAnsi="Times New Roman"/>
          <w:sz w:val="18"/>
          <w:szCs w:val="18"/>
          <w:color w:val="212529"/>
        </w:rPr>
        <w:t xml:space="preserve"> for more information regarding the presentation of the disposal group in the Company’s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Tower Transaction also represents a sale of the Tower segment as the Tower Portfolio constituted substantially all of the assets and liabilities and the totality of operations reported in the Tower segment. Under the new organizational and reporting structure, the Company has one reportable segment. Consequently, segment reporting previously disclosed is no longer applicable.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As a result of the sale of the Tower Portfolio, the Company has one reportable segment. Consequently, segment reporting previously disclosed is no longer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with the Three Months Ended March 31,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of Revenue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2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Cable Markets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&amp; SMB - Glo Fiber Markets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r>
      <w:tr>
        <w:trPr>
          <w:trHeight w:val="230"/>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Fiber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4"/>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RLEC &amp; Other</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r>
      <w:tr>
        <w:trPr>
          <w:trHeight w:val="205"/>
        </w:trPr>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r>
      <w:tr>
        <w:trPr>
          <w:trHeight w:val="156"/>
        </w:trPr>
        <w:tc>
          <w:tcPr>
            <w:tcW w:w="42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before</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8"/>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r>
      <w:tr>
        <w:trPr>
          <w:trHeight w:val="23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r>
      <w:tr>
        <w:trPr>
          <w:trHeight w:val="218"/>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r>
      <w:tr>
        <w:trPr>
          <w:trHeight w:val="234"/>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218,786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r>
      <w:tr>
        <w:trPr>
          <w:trHeight w:val="223"/>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NMF</w:t>
            </w: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Cable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Cable Markets revenue for the three months ended March 31, 2024 decreased approximately $0.4 million, or 0.9%, compared with the three months ended March 31, 2023, primarily driven by a 15.1% year-over-year decline in video RGUs, partially offset by a 2.4% increase in data ARPU driven by increased customer demand for higher speed data service.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 Glo Fiber Markets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 Glo Fiber Markets revenue for the three months ended March 31, 2024 increased approximately $5.1 million, or 73.0%, compared with the three months ended March 31, 2023, primarily driven by 62.3% year-over-year growth in data RGUs driven by the Company’s expansion of Glo Fiber and a 9.7% increase in data ARPU.</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Commercial Fiber revenue for the three months ended March 31, 2024 decreased approximately $2.3 million, or 19.8%, compared with the three months ended March 31, 2023, primarily driven by the expected decline in T-Mobile revenue from prior period backhaul circuit disconnects as part of the previously disclosed decommissioning of the former Sprint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RLEC &amp; Other revenue for the three months ended March 31, 2024 decreased approximately $0.3 million, or 8.8%, compared with the three months ended March 31, 2023, primarily driven by a 25.8% year-over-year decline in RLEC data RGUs as customers migrate to cable and fiber based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services for the three months ended March 31, 2024, increased approximately $0.6 million, or 2.2%, compared with the three months ended March 31, 2023, primarily driven by a 17% increase in average cost per video RGU as a result of annual programming cost increases and higher line costs from expanding our Glo Fiber network into new markets.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March 31, 2024, increased $2.4 million, or 9.3%, compared with the three months ended March 31, 2023, primarily driven by higher advertising costs associated with the Company’s expansion of Glo Fiber, higher bad debt charges due to macro-economic conditions and higher payroll and stock compensation expenses.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Depreciation and amortization increased $2.2 million, or 14.2%, compared with the three months ended March 31, 2023, primarily driven by the Company’s expansion of its Glo Fiber network.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Other expense, net was $2.3 million for the three months ended March 31, 2024 compared with other income, net of $1.1 million for the three months ended March 31, 2023, primarily driven by an increase in interest expense due to a higher outstanding debt balance during the three months ended March 31, 2024 compared to the three months ended March 31,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$1.0 million of income tax benefit for the three months ended March 31, 2024, compared with $0.7 million of income tax expense for the three months ended March 31, 2023. The $1.7 million increase in income tax benefit was driven by higher pre-tax loss from continuing operations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Shentel provides broadband internet, video and voice services to residential and commercial customers in portions of Virginia, West Virginia, Maryland, Pennsylvania and Kentucky, via fiber optics under the brand name of Glo Fiber and hybrid fiber coaxial cable under the brand name of Shentel. The Company also leases dark fiber and provides Ethernet and Wavelength fiber optic services to enterprise and wholesale customers throughout the entirety of our service area. The Company also provides voice and DSL telephone services to customers in Virginia’s Shenandoah County and portions of adjacent counties as a Rural Local Exchange Carrier (“RLEC”). These integrated networks are connected by over 10,100 route miles of fiber.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7"/>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Homes and businesses passed (1)</w:t>
            </w:r>
          </w:p>
        </w:tc>
        <w:tc>
          <w:tcPr>
            <w:tcW w:w="2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476,081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377,348</w:t>
            </w: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Cable Markets</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216,514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212,290</w:t>
            </w:r>
          </w:p>
        </w:tc>
      </w:tr>
      <w:tr>
        <w:trPr>
          <w:trHeight w:val="234"/>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 Fiber Markets</w:t>
            </w:r>
          </w:p>
        </w:tc>
        <w:tc>
          <w:tcPr>
            <w:tcW w:w="2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259,567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165,058</w:t>
            </w:r>
          </w:p>
        </w:tc>
      </w:tr>
      <w:tr>
        <w:trPr>
          <w:trHeight w:val="3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Small and Medium Business ("SMB") Revenue Generating Units ("RGUs"):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155,687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138,713</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Cable Markets</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108,958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109,920</w:t>
            </w:r>
          </w:p>
        </w:tc>
      </w:tr>
      <w:tr>
        <w:trPr>
          <w:trHeight w:val="229"/>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 Markets</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46,729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28,793</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45,660</w:t>
            </w: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40,734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40,135</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&amp; SMB RGUs (excludes RLEC)</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236,569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224,508</w:t>
            </w:r>
          </w:p>
        </w:tc>
      </w:tr>
      <w:tr>
        <w:trPr>
          <w:trHeight w:val="3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SMB Penetration (2)</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Cable Markets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r>
      <w:tr>
        <w:trPr>
          <w:trHeight w:val="229"/>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 Markets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3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SMB Average Revenue per User ("ARPU") (3)</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83.83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81.09</w:t>
            </w:r>
          </w:p>
        </w:tc>
      </w:tr>
      <w:tr>
        <w:trPr>
          <w:trHeight w:val="229"/>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Cable Markets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84.81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82.83</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 Markets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81.39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74.18</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116.19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105.51</w:t>
            </w: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25.25</w:t>
            </w:r>
          </w:p>
        </w:tc>
      </w:tr>
      <w:tr>
        <w:trPr>
          <w:trHeight w:val="3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route miles</w:t>
            </w:r>
          </w:p>
        </w:tc>
        <w:tc>
          <w:tcPr>
            <w:tcW w:w="26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10,132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8,663</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fiber miles (4)</w:t>
            </w:r>
          </w:p>
        </w:tc>
        <w:tc>
          <w:tcPr>
            <w:tcW w:w="2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883,199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709,123</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right="20" w:hanging="328"/>
        <w:spacing w:after="0" w:line="259"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passings or available homes, as appropriate.</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RGU calculation = (Residential &amp; SMB Revenue) / average RGUs / 3 months.</w:t>
      </w:r>
    </w:p>
    <w:p>
      <w:pPr>
        <w:spacing w:after="0" w:line="14" w:lineRule="exact"/>
        <w:rPr>
          <w:rFonts w:ascii="Times New Roman" w:cs="Times New Roman" w:eastAsia="Times New Roman" w:hAnsi="Times New Roman"/>
          <w:sz w:val="14"/>
          <w:szCs w:val="14"/>
          <w:color w:val="auto"/>
        </w:rPr>
      </w:pPr>
    </w:p>
    <w:p>
      <w:pPr>
        <w:ind w:left="660" w:hanging="328"/>
        <w:spacing w:after="0" w:line="263"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Our principal sources of liquidity are our cash and cash equivalents, cash generated from operations, and borrowings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dated July 1, 2021 (as amended by (i) Amendment No. 1 to Credit Agreement, dated as of May 17, 2023 and (ii) Consent and Amendment No. 2 to Credit Agreement, dated as of October 24, 2023, the “Credit Agreement”). The Credit Agreement contains (i) a $100 million, five-year available revolving credit facility (the “Revolver”), (ii) a $150 million five-year delayed draw amortizing term loan (“Term Loan A-1”) and (iii) a $150 million seven-year delayed draw amortizing term loan (“Term Loan A-2” and collectively with Term Loan A-1, the “Term Loans”).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2021, Congress passed the American Rescue Plan Act to subsidize the deployment of high-speed broadband internet access in unserved areas. We have been awarded approximately $86.3 million in grants to serve approximately 25,000 unserved homes in the states of Virginia, West Virginia and Maryland. The grants will be paid to the Company as certain milestones are completed. The Company expects to fulfill its obligations under these programs by 2026.</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As of March 31, 2024, our cash and cash equivalents totaled $390 million and the availability under our Revolver was $100 million, for total available liquidity of $490 million. </w:t>
      </w:r>
      <w:r>
        <w:rPr>
          <w:rFonts w:ascii="Times New Roman" w:cs="Times New Roman" w:eastAsia="Times New Roman" w:hAnsi="Times New Roman"/>
          <w:sz w:val="18"/>
          <w:szCs w:val="18"/>
          <w:color w:val="212529"/>
        </w:rPr>
        <w:t>As discussed in</w:t>
      </w:r>
      <w:r>
        <w:rPr>
          <w:rFonts w:ascii="Times New Roman" w:cs="Times New Roman" w:eastAsia="Times New Roman" w:hAnsi="Times New Roman"/>
          <w:sz w:val="18"/>
          <w:szCs w:val="18"/>
          <w:color w:val="auto"/>
        </w:rPr>
        <w:t xml:space="preserv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Part I, Item 1 of this quarterly report on Form 10-Q, </w:t>
      </w:r>
      <w:r>
        <w:rPr>
          <w:rFonts w:ascii="Times New Roman" w:cs="Times New Roman" w:eastAsia="Times New Roman" w:hAnsi="Times New Roman"/>
          <w:sz w:val="18"/>
          <w:szCs w:val="18"/>
          <w:color w:val="212529"/>
        </w:rPr>
        <w:t>Shentel entered into various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agreements on April 1, 2024, which affected the Company’s liquidity. The Company utilized $344 million to fund the acquisition of Horizon (the “Horizon Transaction”), including payment of certain capital expenditures. Furthermore, the Company received </w:t>
      </w:r>
      <w:r>
        <w:rPr>
          <w:rFonts w:ascii="Times New Roman" w:cs="Times New Roman" w:eastAsia="Times New Roman" w:hAnsi="Times New Roman"/>
          <w:sz w:val="18"/>
          <w:szCs w:val="18"/>
          <w:color w:val="000000"/>
        </w:rPr>
        <w:t>$81 million</w:t>
      </w:r>
      <w:r>
        <w:rPr>
          <w:rFonts w:ascii="Times New Roman" w:cs="Times New Roman" w:eastAsia="Times New Roman" w:hAnsi="Times New Roman"/>
          <w:sz w:val="18"/>
          <w:szCs w:val="18"/>
          <w:color w:val="212529"/>
        </w:rPr>
        <w:t xml:space="preserve"> in exchange for the issuance of Series A Preferred Stock (“Preferred Stock”). Finally, the Company amended its Credit Agreement, resulting in </w:t>
      </w:r>
      <w:r>
        <w:rPr>
          <w:rFonts w:ascii="Times New Roman" w:cs="Times New Roman" w:eastAsia="Times New Roman" w:hAnsi="Times New Roman"/>
          <w:sz w:val="18"/>
          <w:szCs w:val="18"/>
          <w:color w:val="000000"/>
        </w:rPr>
        <w:t>incremental delay draw term loan commitments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under the Credit Agreement in an aggregate amount equal to $225 million and an increase in the revolving commitment under the Credit Agreement of $50 million. On a pro forma basis for the Horizon Transaction, issuance of Preferred Stock and credit facility amendment and upsizing, total available liquidity was $484 million, including approximately $109 million in cash and cash equivalents, $225 million in delayed draw term loans and $150 million in revolving line of credit. On a pro forma basis for the above transactions, debt, net of the Company’s cash balance, was approximately $190 million.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above, Shentel sold its Tower Portfolio for </w:t>
      </w:r>
      <w:r>
        <w:rPr>
          <w:rFonts w:ascii="Times New Roman" w:cs="Times New Roman" w:eastAsia="Times New Roman" w:hAnsi="Times New Roman"/>
          <w:sz w:val="18"/>
          <w:szCs w:val="18"/>
          <w:color w:val="212529"/>
        </w:rPr>
        <w:t>$309.9 million in cash during the</w:t>
      </w:r>
      <w:r>
        <w:rPr>
          <w:rFonts w:ascii="Times New Roman" w:cs="Times New Roman" w:eastAsia="Times New Roman" w:hAnsi="Times New Roman"/>
          <w:sz w:val="18"/>
          <w:szCs w:val="18"/>
          <w:color w:val="auto"/>
        </w:rPr>
        <w:t xml:space="preserve"> three months ended March 31, 2024. The majority of these cash proceeds was used to fund Shentel’s purchase of Horizon Telcom on April 1,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was approximately $12.9 million during the three months ended March 31, 2024, representing a decrease of $32.8 million compared with the prior year period, primarily driven by lower current tax refunds received during the three months ended March 31, 2024 and changes in working capital.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was approximately $67.3 million during the three months ended March 31, 2024, which was consistent with the prior year period, primarily driven by a $2.6 million increase in capital expenditures was primarily driven by inventory timing and DOCSIS upgrades in Cable Markets and Glo Fiber and government-subsidized market expansion, partially offset by $2.7 million of grants received related to government funded infrastructure expansion programs.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from continuing operations was approximately $3.2 million during the three months ended March 31, 2024, compared with net cash provided by financing activities of $23.6 million for the three months ended March 31, 2023. Shentel began making principal payments on its long-term debt during the three months ended March 31, 2024, compared to the three months ended March 31, 2023, during which the Company was continuing to borrow additional amounts against the Credit Agreement.</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To date, Shentel has borrowed $150 million under each of the Term Loans available under the Credit Agreement for a total of $300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2024, the Company’s indebtedness totaled approximately $298.6 million, net of unamortized loan fees of $0.1 million. The borrowed amounts bear interest at a variable rate determined by one-month term SOFR, plus a margin of 1.60%. This rate, including the margin, was 6.93% as of March 31, 2024.</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Shentel’s Term Loans require quarterly principal repayments based on a percentage of the outstanding balance. Based on the outstanding balance as of March 31, 2024, Term Loan A-1 requires quarterly repayments of 0.63% from March 31, 2024 through June 30, 2024, then increasing to 1.25% quarterly from September 30, 2024 through March 31, 2026, with the remaining balance due June 30, 2026. Based on the outstanding balance as of March 31, 2024, Term Loan A-2 requires quarterly principal repayments of 0.25% from March 31, 2024 through March 31, 2028, with the remaining balance due June 30, 2028.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Company’s unaudited condensed consolidated financial statements for more information about the Credit Agreement.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was in compliance with the financial covenants in our Credit Agreement.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cash on hand, cash flows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our capital expenditures of $70.1 million exceeded our net cash provided by operating activities by $57.1 million, and we expect our capital expenditures to exceed the cash flows provided from continuing operations through 2026, as we expand our Glo Fiber broadband network.</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is critical to our ability to maintain a positive cash flow from operations. The foregoing events individually or collectively could affect our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previously disclosed in Part II, Item 8 of our 2023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borrowed a total of $300 million pursuant to the variable rate delayed draw Term Loans available under the Credit Agreement. As of December 31, 2023, Shentel has borrowed the full amount available under our Term Loans.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$298.7 million of gross variable rate debt outstanding, bearing interest at 6.93%. An increase in market interest rates of 1.00% would add approximately $3.0 million to annual interest expense.</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May 2023, Shentel entered into pay fixed, receive variable interest rate swaps totaling $150.0 million of notional principal (the “Swaps”). The Swaps contain monthly payment terms beginning in May 2024 which extend through their maturity dates in June 2026. The Swaps are designated as cash flow hedges, representing 50% of the Company’s expected outstanding debt. The Company uses the Swaps to manage its exposure to interest rate risk for its long-term variable-rate Term Loans through interest rate swaps. When the Swaps’ payments term begins, Shentel will effectively pay a fixed weighted-average interest rate of 2.90%, prior to interest rate margin provided under our credit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March 31, 2024. Our certifying officers concluded that our disclosure controls and procedures were effective as of March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March 31, 2024, the Company has not identified any needed updates to the risk factors included in our most recent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March 31, 2024, to settle employee tax withholding obligations related to the vesting of stock awards.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 to January 31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to February 29</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to March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r>
      <w:tr>
        <w:trPr>
          <w:trHeight w:val="241"/>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Surrendered</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r>
      <w:tr>
        <w:trPr>
          <w:trHeight w:val="22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$19.88</w:t>
            </w:r>
          </w:p>
        </w:tc>
      </w:tr>
      <w:tr>
        <w:trPr>
          <w:trHeight w:val="234"/>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3"/>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708" w:lineRule="exact"/>
        <w:rPr>
          <w:sz w:val="20"/>
          <w:szCs w:val="20"/>
          <w:color w:val="auto"/>
        </w:rPr>
      </w:pPr>
    </w:p>
    <w:p>
      <w:pPr>
        <w:sectPr>
          <w:pgSz w:w="11900" w:h="16838" w:orient="portrait"/>
          <w:cols w:equalWidth="0" w:num="2">
            <w:col w:w="6440" w:space="720"/>
            <w:col w:w="4080"/>
          </w:cols>
          <w:pgMar w:left="320" w:top="119" w:right="339" w:bottom="1440" w:gutter="0" w:footer="0" w:header="0"/>
          <w:type w:val="continuous"/>
        </w:sectPr>
      </w:pPr>
    </w:p>
    <w:p>
      <w:pPr>
        <w:spacing w:after="0" w:line="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none of our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 Description</w:t>
      </w:r>
    </w:p>
    <w:p>
      <w:pPr>
        <w:spacing w:after="0" w:line="297" w:lineRule="exact"/>
        <w:rPr>
          <w:sz w:val="20"/>
          <w:szCs w:val="20"/>
          <w:color w:val="auto"/>
        </w:rPr>
      </w:pPr>
    </w:p>
    <w:p>
      <w:pPr>
        <w:ind w:left="1220" w:right="400" w:hanging="858"/>
        <w:spacing w:after="0" w:line="237" w:lineRule="auto"/>
        <w:tabs>
          <w:tab w:leader="none" w:pos="1200" w:val="left"/>
        </w:tabs>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Purchase and Sale Agreement, dated February 29, 2024, by and among Shenandoah Mobile, LLC and Vertical Bridge Holdco, LLC (incorporated by reference to Exhibit 10.1 to Shentel’s Current Report on Form 8-K filed March 1, 2024).</w:t>
      </w:r>
    </w:p>
    <w:p>
      <w:pPr>
        <w:spacing w:after="0" w:line="280" w:lineRule="exact"/>
        <w:rPr>
          <w:sz w:val="20"/>
          <w:szCs w:val="20"/>
          <w:color w:val="auto"/>
        </w:rPr>
      </w:pPr>
    </w:p>
    <w:p>
      <w:pPr>
        <w:ind w:left="1220" w:right="20" w:hanging="858"/>
        <w:spacing w:after="0" w:line="237" w:lineRule="auto"/>
        <w:tabs>
          <w:tab w:leader="none" w:pos="1200" w:val="left"/>
        </w:tabs>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u w:val="single" w:color="auto"/>
            <w:color w:val="0000FF"/>
          </w:rPr>
          <w:t>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Amendment No. 1 to Purchase and Sale Agreement, dated March 29, 2024, by and among Shenandoah Mobile, LLC and Vertical Bridge Holdco, LLC (incorporated by reference to Exhibit 2.2 to Shentel’s Current Report on Form 8-K filed March 29, 2024).</w:t>
      </w:r>
    </w:p>
    <w:p>
      <w:pPr>
        <w:spacing w:after="0" w:line="280" w:lineRule="exact"/>
        <w:rPr>
          <w:sz w:val="20"/>
          <w:szCs w:val="20"/>
          <w:color w:val="auto"/>
        </w:rPr>
      </w:pPr>
    </w:p>
    <w:p>
      <w:pPr>
        <w:jc w:val="both"/>
        <w:ind w:left="1220" w:right="60" w:hanging="858"/>
        <w:spacing w:after="0" w:line="226" w:lineRule="auto"/>
        <w:tabs>
          <w:tab w:leader="none" w:pos="1200" w:val="left"/>
        </w:tabs>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u w:val="single" w:color="auto"/>
            <w:color w:val="0000FF"/>
          </w:rPr>
          <w:t>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First Amendment to Agreement and Plan of Merger, dated April 1, 2024, by and among Shenandoah Telecommunications Company and Novacap TMT V, L.P., as Seller Representative (incorporated by reference to Exhibit 2.2 to Shentel’s Current Report on Form 8-K filed April 1, 2024).</w:t>
      </w:r>
    </w:p>
    <w:p>
      <w:pPr>
        <w:spacing w:after="0" w:line="279" w:lineRule="exact"/>
        <w:rPr>
          <w:sz w:val="20"/>
          <w:szCs w:val="20"/>
          <w:color w:val="auto"/>
        </w:rPr>
      </w:pPr>
    </w:p>
    <w:p>
      <w:pPr>
        <w:ind w:left="1220" w:right="80" w:hanging="903"/>
        <w:spacing w:after="0" w:line="237" w:lineRule="auto"/>
        <w:tabs>
          <w:tab w:leader="none" w:pos="1200" w:val="left"/>
        </w:tabs>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Investor Rights Agreement, dated April 1, 2024, between Shenandoah Telecommunications Company and LIF Vista, LLC (incorporated by reference to Exhibit 10.2 to Shentel’s Current Report on Form 8-K filed April 1, 2024).</w:t>
      </w:r>
    </w:p>
    <w:p>
      <w:pPr>
        <w:spacing w:after="0" w:line="280" w:lineRule="exact"/>
        <w:rPr>
          <w:sz w:val="20"/>
          <w:szCs w:val="20"/>
          <w:color w:val="auto"/>
        </w:rPr>
      </w:pPr>
    </w:p>
    <w:p>
      <w:pPr>
        <w:ind w:left="1220" w:hanging="903"/>
        <w:spacing w:after="0" w:line="226" w:lineRule="auto"/>
        <w:tabs>
          <w:tab w:leader="none" w:pos="1200" w:val="left"/>
        </w:tabs>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Registration Rights Agreement, dated April 1, 2024, by and among Shenandoah Telecommunications Company, ECP Fiber Holdings, LP and, solely for the limited purposes specified therein, Hill City Holdings, LP (incorporated by reference to Exhibit 10.3 to Shentel’s Current Report on Form 8-K filed April 1, 2024).</w:t>
      </w:r>
    </w:p>
    <w:p>
      <w:pPr>
        <w:spacing w:after="0" w:line="279" w:lineRule="exact"/>
        <w:rPr>
          <w:sz w:val="20"/>
          <w:szCs w:val="20"/>
          <w:color w:val="auto"/>
        </w:rPr>
      </w:pPr>
    </w:p>
    <w:p>
      <w:pPr>
        <w:ind w:left="1220" w:right="100" w:hanging="903"/>
        <w:spacing w:after="0" w:line="226" w:lineRule="auto"/>
        <w:tabs>
          <w:tab w:leader="none" w:pos="1200" w:val="left"/>
        </w:tabs>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Amendment No. 3 to Credit Agreement, dated April 1, 2024, by and among Shenandoah Telecommunications Company, certain of its subsidiaries, CoBank ACB, as administrative agent, and the lenders party thereto (incorporated by reference to Exhibit 10.4 to Shentel’s Current Report on Form 8-K filed April 1, 2024).</w:t>
      </w:r>
    </w:p>
    <w:p>
      <w:pPr>
        <w:spacing w:after="0" w:line="279"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(Extensible Business Reporting Language)</w:t>
      </w:r>
    </w:p>
    <w:p>
      <w:pPr>
        <w:spacing w:after="0" w:line="22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0"/>
        <w:spacing w:after="0"/>
        <w:tabs>
          <w:tab w:leader="none" w:pos="252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293" w:lineRule="exact"/>
        <w:rPr>
          <w:sz w:val="20"/>
          <w:szCs w:val="20"/>
          <w:color w:val="auto"/>
        </w:rPr>
      </w:pPr>
    </w:p>
    <w:p>
      <w:pPr>
        <w:ind w:right="4240" w:firstLine="467"/>
        <w:spacing w:after="0" w:line="641"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4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Shentel agrees to furnish supplementally to the SEC a copy of any omitted schedule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-1299845</wp:posOffset>
            </wp:positionV>
            <wp:extent cx="54864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 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19"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571"/>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/S/DENNIS ROMPS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20" w:firstLine="656"/>
        <w:spacing w:after="0" w:line="282" w:lineRule="auto"/>
        <w:tabs>
          <w:tab w:leader="none" w:pos="12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months ended March 31, 2024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3, 2024</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3, 2024</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01"/>
    </w:lvl>
  </w:abstractNum>
  <w:abstractNum w:abstractNumId="5">
    <w:nsid w:val="5BD062C2"/>
    <w:multiLevelType w:val="hybridMultilevel"/>
    <w:lvl w:ilvl="0">
      <w:lvlJc w:val="left"/>
      <w:lvlText w:val="*"/>
      <w:numFmt w:val="bullet"/>
      <w:start w:val="1"/>
    </w:lvl>
    <w:lvl w:ilvl="1">
      <w:lvlJc w:val="left"/>
      <w:lvlText w:val="%2"/>
      <w:numFmt w:val="decimal"/>
      <w:start w:val="104"/>
    </w:lvl>
  </w:abstractNum>
  <w:abstractNum w:abstractNumId="6">
    <w:nsid w:val="12200854"/>
    <w:multiLevelType w:val="hybridMultilevel"/>
    <w:lvl w:ilvl="0">
      <w:lvlJc w:val="left"/>
      <w:lvlText w:val="**"/>
      <w:numFmt w:val="bullet"/>
      <w:start w:val="1"/>
    </w:lvl>
    <w:lvl w:ilvl="1">
      <w:lvlJc w:val="left"/>
      <w:lvlText w:val="%2"/>
      <w:numFmt w:val="decimal"/>
      <w:start w:val="1"/>
    </w:lvl>
  </w:abstractNum>
  <w:abstractNum w:abstractNumId="7">
    <w:nsid w:val="4DB127F8"/>
    <w:multiLevelType w:val="hybridMultilevel"/>
    <w:lvl w:ilvl="0">
      <w:lvlJc w:val="left"/>
      <w:lvlText w:val="***"/>
      <w:numFmt w:val="bullet"/>
      <w:start w:val="1"/>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decimal"/>
      <w:start w:val="1"/>
    </w:lvl>
  </w:abstractNum>
  <w:abstractNum w:abstractNumId="9">
    <w:nsid w:val="1F16E9E8"/>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0">
    <w:nsid w:val="1190CDE7"/>
    <w:multiLevelType w:val="hybridMultilevel"/>
    <w:lvl w:ilvl="0">
      <w:lvlJc w:val="left"/>
      <w:lvlText w:val="%1."/>
      <w:numFmt w:val="decimal"/>
      <w:start w:val="1"/>
    </w:lvl>
    <w:lvl w:ilvl="1">
      <w:lvlJc w:val="left"/>
      <w:lvlText w:val="(%2)"/>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41" Type="http://schemas.openxmlformats.org/officeDocument/2006/relationships/hyperlink" Target="https://www.sec.gov/Archives/edgar/data/354963/000117184324001118/exh_101.htm" TargetMode="External"/><Relationship Id="rId42" Type="http://schemas.openxmlformats.org/officeDocument/2006/relationships/hyperlink" Target="https://www.sec.gov/Archives/edgar/data/354963/000117184324001718/exh_22.htm" TargetMode="External"/><Relationship Id="rId43" Type="http://schemas.openxmlformats.org/officeDocument/2006/relationships/hyperlink" Target="https://www.sec.gov/Archives/edgar/data/354963/000117184324001743/exh_22.htm" TargetMode="External"/><Relationship Id="rId44" Type="http://schemas.openxmlformats.org/officeDocument/2006/relationships/hyperlink" Target="https://www.sec.gov/Archives/edgar/data/354963/000117184324001743/exh_102.htm" TargetMode="External"/><Relationship Id="rId45" Type="http://schemas.openxmlformats.org/officeDocument/2006/relationships/hyperlink" Target="https://www.sec.gov/Archives/edgar/data/354963/000117184324001743/exh_103.htm" TargetMode="External"/><Relationship Id="rId46" Type="http://schemas.openxmlformats.org/officeDocument/2006/relationships/hyperlink" Target="https://www.sec.gov/Archives/edgar/data/354963/000117184324001743/exh_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2024-05-03T07:10:18Z</dcterms:created>
  <dcterms:modified xsi:type="dcterms:W3CDTF">2024-05-03T07:10:18Z</dcterms:modified>
</cp:coreProperties>
</file>