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500" w:right="2240" w:hanging="492"/>
        <w:spacing w:after="0" w:line="250"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2015</w:t>
      </w:r>
    </w:p>
    <w:p>
      <w:pPr>
        <w:spacing w:after="0" w:line="1" w:lineRule="exact"/>
        <w:rPr>
          <w:sz w:val="24"/>
          <w:szCs w:val="24"/>
          <w:color w:val="auto"/>
        </w:rPr>
      </w:pPr>
    </w:p>
    <w:p>
      <w:pPr>
        <w:ind w:left="500" w:right="2280" w:hanging="492"/>
        <w:spacing w:after="0" w:line="266"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SECURITIESEXCHANGE ACT OF 1934 For the transition period from__________ to __________</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152400</wp:posOffset>
            </wp:positionV>
            <wp:extent cx="234950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950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28" w:right="239" w:bottom="1440" w:gutter="0" w:footer="0" w:header="0"/>
          <w:type w:val="continuous"/>
        </w:sectPr>
      </w:pPr>
    </w:p>
    <w:p>
      <w:pPr>
        <w:spacing w:after="0" w:line="2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24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April 23, 2015 was 24,178,774.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210185</wp:posOffset>
            </wp:positionV>
            <wp:extent cx="18307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482600</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932180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740" w:type="dxa"/>
            <w:vAlign w:val="bottom"/>
            <w:gridSpan w:val="18"/>
          </w:tcPr>
          <w:p>
            <w:pPr>
              <w:ind w:left="160"/>
              <w:spacing w:after="0"/>
              <w:rPr>
                <w:sz w:val="20"/>
                <w:szCs w:val="20"/>
                <w:color w:val="auto"/>
              </w:rPr>
            </w:pPr>
            <w:r>
              <w:rPr>
                <w:rFonts w:ascii="Arial" w:cs="Arial" w:eastAsia="Arial" w:hAnsi="Arial"/>
                <w:sz w:val="18"/>
                <w:szCs w:val="18"/>
                <w:color w:val="auto"/>
              </w:rPr>
              <w:t>FINANCIAL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18"/>
          </w:tcPr>
          <w:p>
            <w:pPr>
              <w:ind w:left="160"/>
              <w:spacing w:after="0"/>
              <w:rPr>
                <w:sz w:val="20"/>
                <w:szCs w:val="20"/>
                <w:color w:val="auto"/>
              </w:rPr>
            </w:pPr>
            <w:r>
              <w:rPr>
                <w:rFonts w:ascii="Arial" w:cs="Arial" w:eastAsia="Arial" w:hAnsi="Arial"/>
                <w:sz w:val="18"/>
                <w:szCs w:val="18"/>
                <w:color w:val="auto"/>
              </w:rPr>
              <w:t>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March 31, 2015 and December 31, 2014</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Income and Comprehensive Income (Loss) for the Three Months Ended March 31, 2015 and</w:t>
              </w:r>
            </w:hyperlink>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2014</w:t>
              </w:r>
            </w:hyperlink>
          </w:p>
        </w:tc>
        <w:tc>
          <w:tcPr>
            <w:tcW w:w="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18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1180" w:type="dxa"/>
            <w:vAlign w:val="bottom"/>
            <w:tcBorders>
              <w:top w:val="single" w:sz="8" w:color="0000EE"/>
            </w:tcBorders>
            <w:shd w:val="clear" w:color="auto" w:fill="CCEEFF"/>
          </w:tcPr>
          <w:p>
            <w:pPr>
              <w:spacing w:after="0"/>
              <w:rPr>
                <w:sz w:val="18"/>
                <w:szCs w:val="18"/>
                <w:color w:val="auto"/>
              </w:rPr>
            </w:pPr>
          </w:p>
        </w:tc>
        <w:tc>
          <w:tcPr>
            <w:tcW w:w="14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Consolidated Statements of Shareholders’ Equity for the Three Months Ended March 31, 2015 and the Year Ended</w:t>
              </w:r>
            </w:hyperlink>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60" w:type="dxa"/>
            <w:vAlign w:val="bottom"/>
            <w:tcBorders>
              <w:top w:val="single" w:sz="8" w:color="0000EE"/>
            </w:tcBorders>
            <w:gridSpan w:val="15"/>
            <w:shd w:val="clear" w:color="auto" w:fill="CCEEFF"/>
          </w:tcPr>
          <w:p>
            <w:pPr>
              <w:ind w:left="16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December 31, 2014</w:t>
              </w:r>
            </w:hyperlink>
          </w:p>
        </w:tc>
        <w:tc>
          <w:tcPr>
            <w:tcW w:w="52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for the Three Months Ended March 31, 2015 and 2014</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74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OTHER INFORMATION</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740" w:type="dxa"/>
            <w:vAlign w:val="bottom"/>
            <w:gridSpan w:val="18"/>
            <w:shd w:val="clear" w:color="auto" w:fill="CCEEFF"/>
          </w:tcPr>
          <w:p>
            <w:pPr>
              <w:ind w:left="16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 Index</w:t>
              </w:r>
            </w:hyperlink>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6"/>
          </w:tcPr>
          <w:p>
            <w:pPr>
              <w:spacing w:after="0"/>
              <w:rPr>
                <w:sz w:val="24"/>
                <w:szCs w:val="24"/>
                <w:color w:val="auto"/>
              </w:rPr>
            </w:pPr>
          </w:p>
        </w:tc>
        <w:tc>
          <w:tcPr>
            <w:tcW w:w="4860" w:type="dxa"/>
            <w:vAlign w:val="bottom"/>
            <w:tcBorders>
              <w:top w:val="single" w:sz="8" w:color="CCEEFF"/>
            </w:tcBorders>
            <w:gridSpan w:val="6"/>
          </w:tcPr>
          <w:p>
            <w:pPr>
              <w:jc w:val="right"/>
              <w:ind w:right="1060"/>
              <w:spacing w:after="0"/>
              <w:rPr>
                <w:sz w:val="20"/>
                <w:szCs w:val="20"/>
                <w:color w:val="auto"/>
              </w:rPr>
            </w:pPr>
            <w:r>
              <w:rPr>
                <w:rFonts w:ascii="Arial" w:cs="Arial" w:eastAsia="Arial" w:hAnsi="Arial"/>
                <w:sz w:val="14"/>
                <w:szCs w:val="14"/>
                <w:color w:val="auto"/>
              </w:rPr>
              <w:t>2</w:t>
            </w:r>
          </w:p>
        </w:tc>
        <w:tc>
          <w:tcPr>
            <w:tcW w:w="6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77,152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28,277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Materials and supplies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10,261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128,208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including $2,727 and $2,661 carried at fair value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10,329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402,174</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67,939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charges and other assets, net</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6,856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Other assets, net</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74,795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615,506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7,524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3,017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8,181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53,232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195,500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74,075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Deferred lease payable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7,429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retirement obligations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9,694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long-term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98,454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Common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30,307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237,798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268,320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615,506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560" w:type="dxa"/>
            <w:vAlign w:val="bottom"/>
            <w:gridSpan w:val="3"/>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2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INCOME AND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84,287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goods and services, exclusive of depreciation and amortization shown separately below</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30,691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w w:val="98"/>
              </w:rPr>
              <w:t>Selling, general and administrative, exclusive of depreciation and amortization shown separately below</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18,733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16,337</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65,761</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18,526</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(loss) on investments, net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Non-operating income, net</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432</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17,145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6,859</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10,286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loss on interest rate hedge, net of tax</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9,379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0.42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24,153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24,451</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20" w:type="dxa"/>
            <w:vAlign w:val="bottom"/>
            <w:gridSpan w:val="3"/>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494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CONSOLIDATED STATEMENTS OF SHAREHOLDERS' EQUITY </w:t>
      </w:r>
      <w:r>
        <w:rPr>
          <w:rFonts w:ascii="Arial" w:cs="Arial" w:eastAsia="Arial" w:hAnsi="Arial"/>
          <w:sz w:val="18"/>
          <w:szCs w:val="18"/>
          <w:i w:val="1"/>
          <w:iCs w:val="1"/>
          <w:color w:val="auto"/>
        </w:rPr>
        <w:t>(in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24,040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26,759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204,962</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2,594</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33,883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($0.47 per share)</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through exercise of incentive stock</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24,132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29,712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227,512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10,286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955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March 31, 2015</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24,179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30,307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237,798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10,286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15,931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bad debt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825</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benefits on stock awards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disposal of equipment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from patronage and equity investments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Amortization of long term debt issuance costs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1,773</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9,319</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Increase (decrease) in: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Deferred lease payable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deferrals and accruals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50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23,821</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property, plant and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sale of equipment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distributions from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(9,476)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Excess tax benefits on stock awards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Repurchases of stock</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issuances of stock</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8,235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Beginning</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68,917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w:t>
            </w: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77,152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Cash payments for: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 (refunded)</w:t>
            </w:r>
          </w:p>
        </w:tc>
        <w:tc>
          <w:tcPr>
            <w:tcW w:w="1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right="1360"/>
        <w:spacing w:after="0" w:line="259" w:lineRule="auto"/>
        <w:rPr>
          <w:sz w:val="20"/>
          <w:szCs w:val="20"/>
          <w:color w:val="auto"/>
        </w:rPr>
      </w:pPr>
      <w:r>
        <w:rPr>
          <w:rFonts w:ascii="Arial" w:cs="Arial" w:eastAsia="Arial" w:hAnsi="Arial"/>
          <w:sz w:val="18"/>
          <w:szCs w:val="18"/>
          <w:color w:val="auto"/>
        </w:rPr>
        <w:t>At March 31, 2015, accounts payable included approximately $2.2 million associated with capital expenditures. Cash flows for accounts payable and acquisition of property, plant and equipment exclude this activity. During the three months ended March 31, 2014, cash flows included approximately $7.6 million of capital expenditures that were included in accounts payable at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5120"/>
        <w:spacing w:after="0" w:line="282" w:lineRule="auto"/>
        <w:rPr>
          <w:sz w:val="20"/>
          <w:szCs w:val="20"/>
          <w:color w:val="auto"/>
        </w:rPr>
      </w:pPr>
      <w:r>
        <w:rPr>
          <w:rFonts w:ascii="Arial" w:cs="Arial" w:eastAsia="Arial" w:hAnsi="Arial"/>
          <w:sz w:val="18"/>
          <w:szCs w:val="18"/>
          <w:b w:val="1"/>
          <w:bCs w:val="1"/>
          <w:color w:val="auto"/>
        </w:rPr>
        <w:t>SHENANDOAH TELECOMMUNICATIONS COMPANY AND SUBSIDIARIES NOTES TO UNAUDITED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interim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audited consolidated financial statements and related notes in the Company’s Annual Report on Form 10-K for the year ended December 31, 2014. The balance sheet information at December 31, 2014 was derived from the audited December 31, 2014 consolidated balance sheet. Operating revenues and income from operations for any interim period are not necessarily indicative of results that may be expected for the entire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2. Property, Plant and Equipment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March 31,</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17,880</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18,078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693,399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301,304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287,492</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405,907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721 thousand and 676 thousand shares and options outstanding at March 31, 2015 and 2014, respectively, 84 thousand and 96 thousand were anti-dilutive, respectively. These shares and options have been excluded from the computations of diluted earnings per share for their respective period. There were no adjustments to net income for either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4. Investments Carried at Fair Value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Investments include $2.7 million of investments carried at fair value as of both March 31, 2015 and December 31, 2014,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three months ended March 31, 2015, the Company recognized $39 thousand in dividend and interest income from investments, and recorded net unrealized gains of $38 thousand on these investments. Fair values for these investments held under the rabbi trust were determined by Level 1 quoted market prices for the underlying mutual funds.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5. Financial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Hedging Activities and Accumulated Other Comprehensive Income</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total outstanding notional amount of the cash flow hedge was $165.9 million as of March 31, 2015. The outstanding notional amount decreases as the Company makes scheduled principal payments on the debt.</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qualifies as a cash flow hedge are reclassified to interest expense as interest payments are made on the Company’s variable-rate debt. As of March 31, 2015, the Company estimates that $1.3 million will be reclassified as an increase to interest expense during the next twelve months due to the interest rate swap since the hedge interest rate exceeds the variable interest rate on the debt.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December 31, 2014 (in thousands):</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Derivatives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Fair Value as of</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80" w:type="dxa"/>
            <w:vAlign w:val="bottom"/>
          </w:tcPr>
          <w:p>
            <w:pPr>
              <w:jc w:val="center"/>
              <w:spacing w:after="0" w:line="201" w:lineRule="exact"/>
              <w:rPr>
                <w:sz w:val="20"/>
                <w:szCs w:val="20"/>
                <w:color w:val="auto"/>
              </w:rPr>
            </w:pPr>
            <w:r>
              <w:rPr>
                <w:rFonts w:ascii="Arial" w:cs="Arial" w:eastAsia="Arial" w:hAnsi="Arial"/>
                <w:sz w:val="18"/>
                <w:szCs w:val="18"/>
                <w:color w:val="auto"/>
                <w:w w:val="87"/>
              </w:rPr>
              <w:t>Balance Sheet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02"/>
        </w:trPr>
        <w:tc>
          <w:tcPr>
            <w:tcW w:w="1620" w:type="dxa"/>
            <w:vAlign w:val="bottom"/>
            <w:gridSpan w:val="2"/>
          </w:tcPr>
          <w:p>
            <w:pPr>
              <w:spacing w:after="0" w:line="201" w:lineRule="exact"/>
              <w:rPr>
                <w:sz w:val="20"/>
                <w:szCs w:val="20"/>
                <w:color w:val="auto"/>
              </w:rPr>
            </w:pPr>
            <w:r>
              <w:rPr>
                <w:rFonts w:ascii="Arial" w:cs="Arial" w:eastAsia="Arial" w:hAnsi="Arial"/>
                <w:sz w:val="18"/>
                <w:szCs w:val="18"/>
                <w:color w:val="auto"/>
                <w:w w:val="87"/>
              </w:rPr>
              <w:t>Derivatives designated</w:t>
            </w:r>
          </w:p>
        </w:tc>
        <w:tc>
          <w:tcPr>
            <w:tcW w:w="7080" w:type="dxa"/>
            <w:vAlign w:val="bottom"/>
          </w:tcPr>
          <w:p>
            <w:pPr>
              <w:ind w:left="80"/>
              <w:spacing w:after="0" w:line="201" w:lineRule="exact"/>
              <w:rPr>
                <w:sz w:val="20"/>
                <w:szCs w:val="20"/>
                <w:color w:val="auto"/>
              </w:rPr>
            </w:pPr>
            <w:r>
              <w:rPr>
                <w:rFonts w:ascii="Arial" w:cs="Arial" w:eastAsia="Arial" w:hAnsi="Arial"/>
                <w:sz w:val="18"/>
                <w:szCs w:val="18"/>
                <w:color w:val="auto"/>
              </w:rPr>
              <w:t>as hedging instruments: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160"/>
              <w:spacing w:after="0"/>
              <w:rPr>
                <w:sz w:val="20"/>
                <w:szCs w:val="20"/>
                <w:color w:val="auto"/>
              </w:rPr>
            </w:pPr>
            <w:r>
              <w:rPr>
                <w:rFonts w:ascii="Arial" w:cs="Arial" w:eastAsia="Arial" w:hAnsi="Arial"/>
                <w:sz w:val="18"/>
                <w:szCs w:val="18"/>
                <w:color w:val="auto"/>
              </w:rPr>
              <w:t>Interest rate swap</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and other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charges and other assets, 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3,180</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change in accumulated other comprehensive income by component for the three months ended March 31, 2015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 Tax</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(Expense)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Hedges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Benefit</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Income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7. Segment Information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Three months ended March 31, 2015</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48,375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21,401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3,030</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1,762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51,405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23,163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5,866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52,509</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23,311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16,187</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13,618</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7,334</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(6,465)</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9,052</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4,892</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3,944</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7,831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5,480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33,070</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23,990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19,439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71"/>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40" w:type="dxa"/>
            <w:vAlign w:val="bottom"/>
            <w:gridSpan w:val="3"/>
          </w:tcPr>
          <w:p>
            <w:pPr>
              <w:spacing w:after="0"/>
              <w:rPr>
                <w:sz w:val="20"/>
                <w:szCs w:val="20"/>
                <w:color w:val="auto"/>
              </w:rPr>
            </w:pPr>
            <w:r>
              <w:rPr>
                <w:rFonts w:ascii="Arial" w:cs="Arial" w:eastAsia="Arial" w:hAnsi="Arial"/>
                <w:sz w:val="18"/>
                <w:szCs w:val="18"/>
                <w:color w:val="auto"/>
              </w:rPr>
              <w:t>Three months ended March 31, 2014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2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w w:val="99"/>
              </w:rPr>
              <w:t>Cable (1)</w:t>
            </w:r>
          </w:p>
        </w:tc>
        <w:tc>
          <w:tcPr>
            <w:tcW w:w="2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5"/>
              </w:rPr>
              <w:t>Wireline (1)</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2,756</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49,988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20,454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51,079</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20,480</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15,775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18,657</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12,390</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7,482</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(6,293)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8,432</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4,646</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7,196</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5,404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34,285</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22,440</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Prior year figures have been recast to conform to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18,526</w:t>
            </w:r>
          </w:p>
        </w:tc>
        <w:tc>
          <w:tcPr>
            <w:tcW w:w="3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15,680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(2,048)</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534</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17,145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14,242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80"/>
          </w:cols>
          <w:pgMar w:left="240" w:top="114"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The Company’s assets by segment are as follows: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8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r>
      <w:tr>
        <w:trPr>
          <w:trHeight w:val="237"/>
        </w:trPr>
        <w:tc>
          <w:tcPr>
            <w:tcW w:w="6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Cable</w:t>
            </w: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208,736</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201,232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Wireline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95,614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98,081</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461,505</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971,964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964,228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(356,458)</w:t>
            </w:r>
          </w:p>
        </w:tc>
        <w:tc>
          <w:tcPr>
            <w:tcW w:w="1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(344,986)</w:t>
            </w:r>
          </w:p>
        </w:tc>
      </w:tr>
      <w:tr>
        <w:trPr>
          <w:trHeight w:val="257"/>
        </w:trPr>
        <w:tc>
          <w:tcPr>
            <w:tcW w:w="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615,506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files U.S. federal income tax returns and various state and local income tax returns. Years prior to 2011 are no longer subject to examination.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subject to any state or federal income tax audits as of March 31, 2015.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2014. The following management’s discussion and analysis should be read in conjunction with the Company’s Annual Report on Form 10-K for its fiscal year ended December 31, 2014, including the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is a diversified telecommunications company providing both regulated and unregulated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services through its wholly-owned subsidiaries. These subsidiaries provide wireless personal communications services (as a Sprint PCS Affiliate), local exchange telephone services, video, internet and data services, long distance services, fiber optics facilities, and leased tower facilities. The Company has three reportable segments, which it operates and manages as strategic business units organized by lines of business:</w:t>
      </w:r>
    </w:p>
    <w:p>
      <w:pPr>
        <w:spacing w:after="0" w:line="154" w:lineRule="exact"/>
        <w:rPr>
          <w:sz w:val="20"/>
          <w:szCs w:val="20"/>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Wireless segment provides digital wireless service as a Sprint PCS Affiliate to a portion of a four-state area covering the region from Harrisburg, York and Altoona, Pennsylvania, to Harrisonburg, Virginia. In this area, the Company is the exclusive provider of wireless mobility communications network products and services on the 800 and 1900 MHz bands under the Sprint brand. This segment also owns cell site towers built on leased land, and leases space on these towers to both affiliates and non-affiliated service providers.</w:t>
      </w:r>
    </w:p>
    <w:p>
      <w:pPr>
        <w:spacing w:after="0" w:line="171"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1" w:lineRule="exact"/>
        <w:rPr>
          <w:rFonts w:ascii="Arial" w:cs="Arial" w:eastAsia="Arial" w:hAnsi="Arial"/>
          <w:sz w:val="18"/>
          <w:szCs w:val="18"/>
          <w:color w:val="auto"/>
        </w:rPr>
      </w:pPr>
    </w:p>
    <w:p>
      <w:pPr>
        <w:ind w:left="660" w:right="28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with the Three Months Ended 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quarter of 2015 and 2014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2014</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84,287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80,452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65,761</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64,772</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18,526</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15,680</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income, net</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4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17,145</w:t>
            </w: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14,242</w:t>
            </w: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2,903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6,859</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5,626</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1,233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10,286</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8,616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1,670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March 31, 2015, operating revenues increased $3.8 million, or 4.8%. Cable segment revenue grew $2.8 million as a result of a 6.7% growth in average subscriber counts and an increase in revenue per subscriber. Wireless segment revenues increased $1.4 million compared to the first quarter of 2014. Net prepaid service revenue increased $0.9 million, primarily due to 6.4% growth in prepaid subscribers. Wireless equipment revenue increased due primarily to lower discounts on subsidized handset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Total operating expenses were $65.8 million in the first quarter of 2015 compared to $64.8 million in the prior year period. Cost of goods and services sold decreased $1.5 million, primarily due to a $2.7 million decrease in PCS postpaid handset costs, partially offset by a $1.3 million increase in cable programming costs. Selling, general and administrative expenses increased $1.6 million. Depreciation and amortization expense increased $0.9 million, primarily due to ongoing projects to expand and upgrade the wireless, cable and fiber networks.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 increased from 39.5% for the three months ended March 31, 2014 to 40.0% for the three months ended March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remainder of 2015, the Company expects that its effective tax rate, without unanticipated adjustments, will be approximately 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2015, net income increased $1.7 million, or 19.4%, primarily reflecting growth in subscriber counts in the Wireless and Cable segments, along with a decrease in cost of goods and services sold in the Wireless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This segment also leases land on which it builds Company-owned cell towers, which it leases to affiliated and non-affiliated wireless service providers, throughout the same four-state area described above, through Shenandoah Mobile, LLC (“Mobile”).</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These fees total 22% of net postpaid billed revenue, as defined.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 offers prepaid wireless products and services in its PCS network coverage area. Sprint retains a 6% Management Fee on prepaid revenues. Prepaid revenues received from Sprint are reported net of the cost of this fee. Other fees charged on a per unit basis are separately recorded as expenses according to the nature of the expense. The Company pays handset subsidies to Sprint for the difference between the selling price of prepaid handsets and their cost, in aggregate and as a net cost included in cost of goods sold. The revenue and expense components reported to us by Sprint are based on Sprint’s national averages for prepaid services, rather than being specifically determined by customers assigned to our geographic service areas.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April 2014, the Company’s PCS stores began participating in Sprint’s postpaid handset financing programs, whereby Sprint enters into a financing agreement with the subscriber and the subscriber receives a handset from Sprint. The equipment revenue from the subscriber and the handset expense are Sprint’s responsibility and are not recorded by the Company. In the first quarter of 2015, approximately 60% of postpaid handset transactions through Company channels involved a financing plan. All else being equal, the service plans for these subscribers generate less monthly service revenue compared to plans with a subsidized handset.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March 31,</w:t>
            </w:r>
          </w:p>
        </w:tc>
        <w:tc>
          <w:tcPr>
            <w:tcW w:w="1540" w:type="dxa"/>
            <w:vAlign w:val="bottom"/>
            <w:gridSpan w:val="4"/>
          </w:tcPr>
          <w:p>
            <w:pPr>
              <w:jc w:val="right"/>
              <w:ind w:right="380"/>
              <w:spacing w:after="0"/>
              <w:rPr>
                <w:sz w:val="20"/>
                <w:szCs w:val="20"/>
                <w:color w:val="auto"/>
              </w:rPr>
            </w:pPr>
            <w:r>
              <w:rPr>
                <w:rFonts w:ascii="Arial" w:cs="Arial" w:eastAsia="Arial" w:hAnsi="Arial"/>
                <w:sz w:val="18"/>
                <w:szCs w:val="18"/>
                <w:color w:val="auto"/>
              </w:rPr>
              <w:t>December 31,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12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291,078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275,025</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Retail PCS Subscribers – Prepaid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147,783</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145,162</w:t>
            </w:r>
          </w:p>
        </w:tc>
        <w:tc>
          <w:tcPr>
            <w:tcW w:w="1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138,537</w:t>
            </w:r>
          </w:p>
        </w:tc>
        <w:tc>
          <w:tcPr>
            <w:tcW w:w="6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137,047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2,418</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2,402</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PCS Covered POPS (000) (1)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2,210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2,072</w:t>
            </w:r>
          </w:p>
        </w:tc>
        <w:tc>
          <w:tcPr>
            <w:tcW w:w="6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542</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Towers Owned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Non-affiliate Cell Site Leases (2)</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5"/>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15,585</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PCS Subscriber Additions - Postpaid</w:t>
            </w:r>
          </w:p>
        </w:tc>
        <w:tc>
          <w:tcPr>
            <w:tcW w:w="13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23,620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19,172</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PCS Subscriber Additions - Prepaid</w:t>
            </w:r>
          </w:p>
        </w:tc>
        <w:tc>
          <w:tcPr>
            <w:tcW w:w="130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(3)</w:t>
            </w:r>
          </w:p>
        </w:tc>
        <w:tc>
          <w:tcPr>
            <w:tcW w:w="130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PCS Average Monthly Retail Churn % - Prepaid (3)</w:t>
            </w:r>
          </w:p>
        </w:tc>
        <w:tc>
          <w:tcPr>
            <w:tcW w:w="1300" w:type="dxa"/>
            <w:vAlign w:val="bottom"/>
          </w:tcPr>
          <w:p>
            <w:pPr>
              <w:spacing w:after="0"/>
              <w:rPr>
                <w:sz w:val="20"/>
                <w:szCs w:val="20"/>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4.76%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4.27%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right="220" w:hanging="324"/>
        <w:spacing w:after="0" w:line="25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 Covered POPS increased in 2014 primarily as a result of the Company’s deployment of the 800 megahertz spectrum at existing cell sites.</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decreases during 2014 are primarily a result of termination of Sprint iDEN leases associated with the former Nextel network.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7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540" w:type="dxa"/>
            <w:vAlign w:val="bottom"/>
            <w:gridSpan w:val="8"/>
          </w:tcPr>
          <w:p>
            <w:pPr>
              <w:spacing w:after="0"/>
              <w:rPr>
                <w:sz w:val="20"/>
                <w:szCs w:val="20"/>
                <w:color w:val="auto"/>
              </w:rPr>
            </w:pPr>
            <w:r>
              <w:rPr>
                <w:rFonts w:ascii="Arial" w:cs="Arial" w:eastAsia="Arial" w:hAnsi="Arial"/>
                <w:sz w:val="18"/>
                <w:szCs w:val="18"/>
                <w:b w:val="1"/>
                <w:bCs w:val="1"/>
                <w:color w:val="auto"/>
                <w:w w:val="94"/>
              </w:rPr>
              <w:t>Three Months Ended March 31, 2015 Compared with the Three Months Ended March 31, 2014</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Wireless service revenue</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48,375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47,232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Tower lease revenue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2,570</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2,565</w:t>
            </w:r>
          </w:p>
        </w:tc>
        <w:tc>
          <w:tcPr>
            <w:tcW w:w="420" w:type="dxa"/>
            <w:vAlign w:val="bottom"/>
          </w:tcPr>
          <w:p>
            <w:pPr>
              <w:spacing w:after="0"/>
              <w:rPr>
                <w:sz w:val="18"/>
                <w:szCs w:val="18"/>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Equipment 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52,509</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51,079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1,430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16,187</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18,657</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r>
        <w:trPr>
          <w:trHeight w:val="202"/>
        </w:trPr>
        <w:tc>
          <w:tcPr>
            <w:tcW w:w="20" w:type="dxa"/>
            <w:vAlign w:val="bottom"/>
          </w:tcPr>
          <w:p>
            <w:pPr>
              <w:spacing w:after="0"/>
              <w:rPr>
                <w:sz w:val="17"/>
                <w:szCs w:val="17"/>
                <w:color w:val="auto"/>
              </w:rPr>
            </w:pPr>
          </w:p>
        </w:tc>
        <w:tc>
          <w:tcPr>
            <w:tcW w:w="47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9,052</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8,432</w:t>
            </w:r>
          </w:p>
        </w:tc>
        <w:tc>
          <w:tcPr>
            <w:tcW w:w="4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620</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7,831</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635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33,070</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34,285</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(1,215)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19,439</w:t>
            </w:r>
          </w:p>
        </w:tc>
        <w:tc>
          <w:tcPr>
            <w:tcW w:w="4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16,794</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2,645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Wireless service revenue increased $1.1 million, or 2.4%, for the three months ended March 31, 2015, compared to the comparable 2014 period. Net prepaid service revenues grew $0.9 million, or 8.6%, due primarily to 6.4% growth in average prepaid subscribers over 2014. Net postpaid service revenues increased $0.2 million. Average postpaid subscribers increased 5.4% in 2015 over the 2014 period, but was largely offset by a switch to lower revenue service plans associated with handset financing and leasing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Equipment revenue increased due primarily to lower discounts on subsidized handset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 of goods and services decreased $2.5 million, or 13.2%, in 2015 from the first quarter of 2014. Postpaid handset costs decreased $2.7 million, as handset expenses associated with financing and leasing plans are Sprint’s responsibility and are not recorded by the Company. Network costs decreased $0.2 million, as a $0.4 million decrease in backhaul costs was partially offset by a $0.2 million increase in rent expense on cell sites and towers. Finally, the prior year period included a one-time $0.4 million gain on disposal of 3G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costs increased $0.6 million, or 7.4%, in the first quarter of 2015 from the comparable 2014 period. Costs to support the prepaid subscriber base grew $1.1 million, driven by subscriber growth, product mix, and higher overhead costs. Advertising expenses increased $0.2 million. The increases were partially offset by a $0.8 million decline in third party commissions expense due to lower volume of commissionable handsets activated through dealer channels.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Depreciation and amortization increased $0.6 million, or 8.8%, in the first quarter of 2015 over the comparable 2014 period. Depreciation expense grew $0.8 million due to ongoing investments in wireless network coverage and capacity. The increase was partially offset by a $0.2 million decline in amortization expense.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29" w:lineRule="exact"/>
        <w:rPr>
          <w:sz w:val="20"/>
          <w:szCs w:val="20"/>
          <w:color w:val="auto"/>
        </w:rPr>
      </w:pPr>
    </w:p>
    <w:p>
      <w:pPr>
        <w:jc w:val="both"/>
        <w:ind w:right="880"/>
        <w:spacing w:after="0" w:line="264"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December 31,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December 31,</w:t>
            </w: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2014</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170,711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Customer Relationships (2)</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Video customers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49,662</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49,247</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51,153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51,197</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Non-video customers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22,530</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22,051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19,517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18,341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customer relationships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72,192</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71,298</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70,670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69,538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Video</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51,708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52,095</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52,725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53,076</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tcPr>
          <w:p>
            <w:pPr>
              <w:jc w:val="right"/>
              <w:spacing w:after="0"/>
              <w:rPr>
                <w:sz w:val="20"/>
                <w:szCs w:val="20"/>
                <w:color w:val="auto"/>
              </w:rPr>
            </w:pPr>
            <w:r>
              <w:rPr>
                <w:rFonts w:ascii="Arial" w:cs="Arial" w:eastAsia="Arial" w:hAnsi="Arial"/>
                <w:sz w:val="18"/>
                <w:szCs w:val="18"/>
                <w:color w:val="auto"/>
              </w:rPr>
              <w:t>30.1%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Digital video penetration (5)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High-speed Internet</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172,022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168,573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168,255</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53,195</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51,359</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48,068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45,776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Voice</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169,285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163,582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163,282</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19,112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18,262</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15,799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14,988</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Revenue Generating Units (7)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124,015</w:t>
            </w:r>
          </w:p>
        </w:tc>
        <w:tc>
          <w:tcPr>
            <w:tcW w:w="1160" w:type="dxa"/>
            <w:vAlign w:val="bottom"/>
          </w:tcPr>
          <w:p>
            <w:pPr>
              <w:jc w:val="right"/>
              <w:spacing w:after="0"/>
              <w:rPr>
                <w:sz w:val="20"/>
                <w:szCs w:val="20"/>
                <w:color w:val="auto"/>
              </w:rPr>
            </w:pPr>
            <w:r>
              <w:rPr>
                <w:rFonts w:ascii="Arial" w:cs="Arial" w:eastAsia="Arial" w:hAnsi="Arial"/>
                <w:sz w:val="18"/>
                <w:szCs w:val="18"/>
                <w:color w:val="auto"/>
              </w:rPr>
              <w:t>121,716</w:t>
            </w:r>
          </w:p>
        </w:tc>
        <w:tc>
          <w:tcPr>
            <w:tcW w:w="2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116,592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113,840</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2,651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2,636</w:t>
            </w: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Fiber Miles (8)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73,294</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72,694</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69,913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69,296</w:t>
            </w:r>
          </w:p>
        </w:tc>
      </w:tr>
    </w:tbl>
    <w:p>
      <w:pPr>
        <w:spacing w:after="0" w:line="187" w:lineRule="exact"/>
        <w:rPr>
          <w:sz w:val="20"/>
          <w:szCs w:val="20"/>
          <w:color w:val="auto"/>
        </w:rPr>
      </w:pPr>
    </w:p>
    <w:p>
      <w:pPr>
        <w:ind w:left="660" w:right="4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580" w:type="dxa"/>
            <w:vAlign w:val="bottom"/>
            <w:gridSpan w:val="8"/>
          </w:tcPr>
          <w:p>
            <w:pPr>
              <w:spacing w:after="0"/>
              <w:rPr>
                <w:sz w:val="20"/>
                <w:szCs w:val="20"/>
                <w:color w:val="auto"/>
              </w:rPr>
            </w:pPr>
            <w:r>
              <w:rPr>
                <w:rFonts w:ascii="Arial" w:cs="Arial" w:eastAsia="Arial" w:hAnsi="Arial"/>
                <w:sz w:val="18"/>
                <w:szCs w:val="18"/>
                <w:b w:val="1"/>
                <w:bCs w:val="1"/>
                <w:color w:val="auto"/>
                <w:w w:val="95"/>
              </w:rPr>
              <w:t>Three Months Ended March 31, 2015 Compared with the Three Months Ended March 31, 2014</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2014</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432"/>
        </w:trPr>
        <w:tc>
          <w:tcPr>
            <w:tcW w:w="478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revenue (1)</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21,401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18,874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Other revenue (1)</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1,910</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1,606</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304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operating revenues</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23,311</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20,480</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2,831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13,618</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12,390</w:t>
            </w:r>
          </w:p>
        </w:tc>
        <w:tc>
          <w:tcPr>
            <w:tcW w:w="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Selling, general, and administrative, exclusive of depreciation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4,892</w:t>
            </w:r>
          </w:p>
        </w:tc>
        <w:tc>
          <w:tcPr>
            <w:tcW w:w="4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4,646</w:t>
            </w:r>
          </w:p>
        </w:tc>
        <w:tc>
          <w:tcPr>
            <w:tcW w:w="38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246</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5,480</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5,404</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23,990</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22,440</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1,550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1,281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Prior year figures have been recast to be comparable with line item changes made in the first quarter of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Cable segment service revenue increased $2.5 million, or 13.4%, due to a 6.7% increase in average revenue generating units, video rate increases in January 2015, new customers selecting higher-priced digital TV services and existing customers selecting higher-speed data access packages.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$0.3 million, primarily due to new fiber to the tower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Cable segment cost of goods and services increased $1.2 million, or 9.9%, in the first quarter of 2015 over the comparable 2014 period. Video programming costs, including retransmission fees, increased $1.3 million as the impact of rising rates per subscriber outpaced declining video subscriber counts.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Selling, general and administrative expenses grew $0.2 million against the prior year quarter as growth in operating taxes and administrative expenses was partially offset by a decline in customer service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29" w:lineRule="exact"/>
        <w:rPr>
          <w:sz w:val="20"/>
          <w:szCs w:val="20"/>
          <w:color w:val="auto"/>
        </w:rPr>
      </w:pPr>
    </w:p>
    <w:p>
      <w:pPr>
        <w:ind w:right="760"/>
        <w:spacing w:after="0" w:line="302" w:lineRule="auto"/>
        <w:rPr>
          <w:sz w:val="20"/>
          <w:szCs w:val="20"/>
          <w:color w:val="auto"/>
        </w:rPr>
      </w:pPr>
      <w:r>
        <w:rPr>
          <w:rFonts w:ascii="Arial" w:cs="Arial" w:eastAsia="Arial" w:hAnsi="Arial"/>
          <w:sz w:val="16"/>
          <w:szCs w:val="16"/>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3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4" w:right="39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Dec. 31,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 31,</w:t>
            </w:r>
          </w:p>
        </w:tc>
      </w:tr>
      <w:tr>
        <w:trPr>
          <w:trHeight w:val="237"/>
        </w:trPr>
        <w:tc>
          <w:tcPr>
            <w:tcW w:w="492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Telephone Access Lines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21,669</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21,612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21,955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Long Distance Subscribers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9,533</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9,571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9,773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9,851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Video Customers(1)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5,599</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5,692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6,222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DSL Subscribers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12,825</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12,742</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12,714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12,632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1,559</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Fiber Miles (2)</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99,523</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99,387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84,792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84,600</w:t>
            </w:r>
          </w:p>
        </w:tc>
      </w:tr>
    </w:tbl>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Wireline segment passes approximately 16,000 homes with video services.</w:t>
      </w:r>
    </w:p>
    <w:p>
      <w:pPr>
        <w:spacing w:after="0" w:line="23" w:lineRule="exact"/>
        <w:rPr>
          <w:rFonts w:ascii="Arial" w:cs="Arial" w:eastAsia="Arial" w:hAnsi="Arial"/>
          <w:sz w:val="18"/>
          <w:szCs w:val="18"/>
          <w:color w:val="auto"/>
        </w:rPr>
      </w:pPr>
    </w:p>
    <w:p>
      <w:pPr>
        <w:jc w:val="both"/>
        <w:ind w:left="660" w:hanging="328"/>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first quarter of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with the Three Months Ended March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Change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2014</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revenue (1)</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Carrier access and fiber revenues (1)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9,527</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9,875</w:t>
            </w:r>
          </w:p>
        </w:tc>
        <w:tc>
          <w:tcPr>
            <w:tcW w:w="420" w:type="dxa"/>
            <w:vAlign w:val="bottom"/>
          </w:tcPr>
          <w:p>
            <w:pPr>
              <w:spacing w:after="0"/>
              <w:rPr>
                <w:sz w:val="18"/>
                <w:szCs w:val="18"/>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(348)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revenue (1)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Total segment operating revenues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15,585</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15,775</w:t>
            </w:r>
          </w:p>
        </w:tc>
        <w:tc>
          <w:tcPr>
            <w:tcW w:w="42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Cost of goods and services, exclusive of depreciation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7,334</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7,482</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4"/>
              </w:rPr>
              <w:t>Selling, general and administrative, exclusive of depreciation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and amortization shown separately below</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42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254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227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Total segment operating expenses</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11,423</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Prior year figures have been recast to be comparable with line item changes made in the first quarter of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operating revenues in the quarter ended March 31, 2015 decreased $0.2 million, or 1.2%, against the comparable 2014 period. Carrier access and fiber revenues declined $0.4 million due to favorable NECA pool adjustments that were recorded in the first quarter of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overall increased $0.3 million, or 2.9%, in the quarter ended March 31, 2015, compared to the 2014 quarter. The decline in cost of goods and services primarily resulted from the benefit of additional labor costs being capitalized to fixed asset project costs. Sales, general and administrative expenses increased as a result of growth in sales and customer service support teams. Depreciation expense grew as a result of continued investment in the construction of fiber facilities.</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4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18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for the three months ended March 31, 2015 and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5"/>
          </w:tcPr>
          <w:p>
            <w:pPr>
              <w:jc w:val="center"/>
              <w:ind w:right="140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3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4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35,699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56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0" w:type="dxa"/>
            <w:vAlign w:val="bottom"/>
          </w:tcPr>
          <w:p>
            <w:pPr>
              <w:jc w:val="right"/>
              <w:ind w:right="1808"/>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adjusted OIBDA to operating income, which we consider to be the most directly comparable GAAP financial measure, for the three months ended March 31, 2015 and 2014:</w:t>
      </w:r>
    </w:p>
    <w:p>
      <w:pPr>
        <w:sectPr>
          <w:pgSz w:w="11900" w:h="16838" w:orient="portrait"/>
          <w:cols w:equalWidth="0" w:num="1">
            <w:col w:w="11340"/>
          </w:cols>
          <w:pgMar w:left="240" w:top="121" w:right="3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18,526</w:t>
            </w:r>
          </w:p>
        </w:tc>
        <w:tc>
          <w:tcPr>
            <w:tcW w:w="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15,680</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16,337</w:t>
            </w: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15,387</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(366)</w:t>
            </w:r>
          </w:p>
        </w:tc>
      </w:tr>
      <w:tr>
        <w:trPr>
          <w:trHeight w:val="237"/>
        </w:trPr>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35,699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680"/>
          </w:cols>
          <w:pgMar w:left="240" w:top="121" w:right="3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reconcile adjusted OIBDA to operating income by major segment for the three months ended March 31, 2015 and 2014:</w:t>
      </w:r>
    </w:p>
    <w:p>
      <w:pPr>
        <w:sectPr>
          <w:pgSz w:w="11900" w:h="16838" w:orient="portrait"/>
          <w:cols w:equalWidth="0" w:num="1">
            <w:col w:w="11340"/>
          </w:cols>
          <w:pgMar w:left="240" w:top="121" w:right="31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280" w:type="dxa"/>
            <w:vAlign w:val="bottom"/>
          </w:tcPr>
          <w:p>
            <w:pPr>
              <w:spacing w:after="0"/>
              <w:rPr>
                <w:sz w:val="18"/>
                <w:szCs w:val="18"/>
                <w:color w:val="auto"/>
              </w:rPr>
            </w:pPr>
          </w:p>
        </w:tc>
        <w:tc>
          <w:tcPr>
            <w:tcW w:w="146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19,439</w:t>
            </w:r>
          </w:p>
        </w:tc>
        <w:tc>
          <w:tcPr>
            <w:tcW w:w="4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16,794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7,831</w:t>
            </w: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7,196</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(352)</w:t>
            </w: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0"/>
                <w:szCs w:val="20"/>
                <w:color w:val="auto"/>
              </w:rPr>
            </w:pPr>
          </w:p>
        </w:tc>
      </w:tr>
      <w:tr>
        <w:trPr>
          <w:trHeight w:val="216"/>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27,481</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1"/>
        </w:trPr>
        <w:tc>
          <w:tcPr>
            <w:tcW w:w="280" w:type="dxa"/>
            <w:vAlign w:val="bottom"/>
          </w:tcPr>
          <w:p>
            <w:pPr>
              <w:spacing w:after="0"/>
              <w:rPr>
                <w:sz w:val="24"/>
                <w:szCs w:val="2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280" w:type="dxa"/>
            <w:vAlign w:val="bottom"/>
          </w:tcPr>
          <w:p>
            <w:pPr>
              <w:spacing w:after="0"/>
              <w:rPr>
                <w:sz w:val="18"/>
                <w:szCs w:val="18"/>
                <w:color w:val="auto"/>
              </w:rPr>
            </w:pPr>
          </w:p>
        </w:tc>
        <w:tc>
          <w:tcPr>
            <w:tcW w:w="146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(679)</w:t>
            </w:r>
          </w:p>
        </w:tc>
        <w:tc>
          <w:tcPr>
            <w:tcW w:w="4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(1,960)</w:t>
            </w:r>
          </w:p>
        </w:tc>
        <w:tc>
          <w:tcPr>
            <w:tcW w:w="60" w:type="dxa"/>
            <w:vAlign w:val="bottom"/>
            <w:gridSpan w:val="2"/>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5,480</w:t>
            </w: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5,404</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20"/>
                <w:szCs w:val="20"/>
                <w:color w:val="auto"/>
              </w:rPr>
            </w:pPr>
          </w:p>
        </w:tc>
      </w:tr>
      <w:tr>
        <w:trPr>
          <w:trHeight w:val="216"/>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5,078</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1"/>
        </w:trPr>
        <w:tc>
          <w:tcPr>
            <w:tcW w:w="280" w:type="dxa"/>
            <w:vAlign w:val="bottom"/>
          </w:tcPr>
          <w:p>
            <w:pPr>
              <w:spacing w:after="0"/>
              <w:rPr>
                <w:sz w:val="24"/>
                <w:szCs w:val="2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280" w:type="dxa"/>
            <w:vAlign w:val="bottom"/>
          </w:tcPr>
          <w:p>
            <w:pPr>
              <w:spacing w:after="0"/>
              <w:rPr>
                <w:sz w:val="18"/>
                <w:szCs w:val="18"/>
                <w:color w:val="auto"/>
              </w:rPr>
            </w:pPr>
          </w:p>
        </w:tc>
        <w:tc>
          <w:tcPr>
            <w:tcW w:w="146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March 31,</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80" w:type="dxa"/>
            <w:vAlign w:val="bottom"/>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3,829</w:t>
            </w:r>
          </w:p>
        </w:tc>
        <w:tc>
          <w:tcPr>
            <w:tcW w:w="4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4,352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2,924</w:t>
            </w: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20"/>
                <w:szCs w:val="20"/>
                <w:color w:val="auto"/>
              </w:rPr>
            </w:pPr>
          </w:p>
        </w:tc>
      </w:tr>
      <w:tr>
        <w:trPr>
          <w:trHeight w:val="216"/>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6,906</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7,233</w:t>
            </w:r>
          </w:p>
        </w:tc>
        <w:tc>
          <w:tcPr>
            <w:tcW w:w="40" w:type="dxa"/>
            <w:vAlign w:val="bottom"/>
          </w:tcPr>
          <w:p>
            <w:pPr>
              <w:spacing w:after="0"/>
              <w:rPr>
                <w:sz w:val="18"/>
                <w:szCs w:val="18"/>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680"/>
          </w:cols>
          <w:pgMar w:left="240" w:top="121" w:right="319" w:bottom="1440" w:gutter="0" w:footer="0" w:header="0"/>
          <w:type w:val="continuous"/>
        </w:sectPr>
      </w:pP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Sources and Uses of Cash</w:t>
      </w:r>
      <w:r>
        <w:rPr>
          <w:rFonts w:ascii="Arial" w:cs="Arial" w:eastAsia="Arial" w:hAnsi="Arial"/>
          <w:sz w:val="16"/>
          <w:szCs w:val="16"/>
          <w:color w:val="auto"/>
        </w:rPr>
        <w:t>. The Company generated $23.8 million of net cash from operations in the first three months of 2015, compared to $32.6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three months of 2014. The decrease was driven primarily by timing of cash payments for prepaid assets, accounts payable and accrued expenses.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March 31, 2015, the Company’s indebtedness totaled $218.5 million, with an annualized effective interest rate of approximately 3.40%</w:t>
      </w:r>
      <w:r>
        <w:rPr>
          <w:rFonts w:ascii="Arial" w:cs="Arial" w:eastAsia="Arial" w:hAnsi="Arial"/>
          <w:sz w:val="18"/>
          <w:szCs w:val="18"/>
          <w:i w:val="1"/>
          <w:iCs w:val="1"/>
          <w:color w:val="auto"/>
        </w:rPr>
        <w:t xml:space="preserve"> </w:t>
      </w:r>
      <w:r>
        <w:rPr>
          <w:rFonts w:ascii="Arial" w:cs="Arial" w:eastAsia="Arial" w:hAnsi="Arial"/>
          <w:sz w:val="18"/>
          <w:szCs w:val="18"/>
          <w:color w:val="auto"/>
        </w:rPr>
        <w:t>after considering the impact of the interest rate swap contract. The balance consists of the Term Loan Facility at a variable rate (2.68% as of March 31, 2015) that resets monthly based on one month LIBOR plus a base rate of 2.50% currently. The Term Loan Facility requires quarterly principal repayments of $5.75 million, which began on December 31, 2014 and will continue until the remaining expected balance of approximately $120.75 million is due at maturity on September 30, 2019.</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March 31, 2015, the Company was in compliance with all debt covenants, and ratios at March 31, 2015 were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Actual</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March 31, 2015</w:t>
            </w:r>
          </w:p>
        </w:tc>
      </w:tr>
      <w:tr>
        <w:trPr>
          <w:trHeight w:val="216"/>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2.50 or Lower</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w:t>
            </w: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2.50 or Higher</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43.6%</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35.0% or Higher</w:t>
            </w: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the twelve months ended March 31, 2015. In addition to the covenants above, the Company is required to supply the lender with quarterly financial statements and other reports as defined by the Credit Agreement. The Company was in compliance with all reporting requirements at March 31, 2015.</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no off-balance sheet arrangements (other than operating leases) and has not entered into any transactions involving unconsolidated, limited purpose entities or commodity contracts.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Capital expenditures budgeted for 2015 total $74.8 million. The 2015 budget includes $24.3 million on the Wireless segment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capacity and coverage enhancements and new retail stores; $21.8 million for Cable segment extensions and investment in customer premise equipment; $20.9 million on the Wireline segment budget, primarily for on-going spending to expand and upgrade our fiber networks; and $7.8 million for IT and other back office projects in the Other segment.</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first three months of 2015, the Company spent $9.5 million on capital projects, compared to $17.2 million in the comparable 2014 period. Spending related to Wireless projects accounted for $2.4 million in the first three months of 2015, primarily for new cell sites and upgrades to the network switch. Cable capital spending of $4.3 million related to network expansion and upgrades to support new customers and services. Wireline capital projects cost $2.7 million, driven primarily by fiber builds. Other projects totaled $0.1 million, largely related to information technology projects.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believes that cash on hand, cash flow from operations and borrowings expected to be available under the Company’s existing credit facilities will provide sufficient cash to enable the Company to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May 28,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7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February 2015, the FASB issued ASU No. 2015-2, Consolidation (Topic 820): Amendments to the Consolidation Analysis. The ASU provides a revised consolidation model for all reporting entities to use in evaluating whether they should consolidate certain legal entities. All legal entities will be subject to reevaluation under this revised consolidation model. The revised consolidation model, among other things, (i) modifies the evaluation of whether limited partnerships and similar legal entities are VIEs or voting interest entities, (ii) eliminates the presumption that a general partner should consolidate a limited partnership, and (iii) modifies the consolidation analysis of reporting entities that are involved with VIEs through fee arrangements and related party relationships. ASU 2015-2 is effective for fiscal years, and interim reporting periods within those fiscal years, beginning after September 1, 2016 (fiscal 2017). The Company is still evaluating what impact, if any, this ASU will have on the Company’s consolidated financial position, results of operations or cash flows.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April 2015, the FASB issued Accounting Standards Update ("ASU") 2015-03, Simplifying the Presentation of Debt Issuance Costs, which requires that debt issuance costs related to a recognized debt liability be presented in the balance sheet as a direct deduction from the carrying amount of that debt liability, consistent with debt discounts. This ASU requires retrospective adoption and will be effective for the Company beginning on January 1, 2016. Early adoption is permitted. The Company does not expect this adoption to have a material impact on its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March 31, 2015, the Company had $218.5 million of variable rate debt outstanding, bearing interest at a rate of 2.68% as determined on a monthly basis. An increase in market interest rates of 1.00% would add approximately $2.1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(0.18% as of March 31, 2015), to manage a portion of its interest rate risk. Changes in the net interest paid or received under the 2012 swap would offset approximately 76% of the change in interest expense on the variable rate debt outstanding. The 2012 swap currently adds approximately $1.3 million to annual interest expense, based on the spread between the fixed rate and the variable rate currently in effect on our debt.</w:t>
      </w:r>
    </w:p>
    <w:p>
      <w:pPr>
        <w:spacing w:after="0" w:line="18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As of March 31, 2015, the cash is invested in a combination of a commercial checking account that has limited interest rate risk, and three money market mutual funds that contain a total investment of $40 million. Management continually evaluates the most beneficial use of these funds.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March 31, 2015, the Company has $52.6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March 31, 2015, the Company had $7.6 million of cost and equity method investments. Approximately $2.5 million is invested in privately held companies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March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first quarter of 2015, there were no changes in the Company's internal control over financial reporting that have materially affected, or are reasonably likely to materially affect, its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Company’s agreements with Sprint, Sprint provides the Company with billing, collections, customer care, certain network operations and other back-office services for the PCS operation. As a result, Sprint remits to the Company approximately 57%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5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22.0% of revenue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2014 to September 30, 2014. The most recent report indicated there were no material issues which would adversely affect the information used to support the recording of the revenues provided by Sprint related to the Company’s relationship with them.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previously discussed, our actual results could differ materially from our forward-looking statements. There have been no material changes in the risk factors from those described in Part 1, Item 1A of the Company’s Annual Report on Form 10-K for the fiscal year ended December 31, 2014.</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March 31,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Number of Shares</w:t>
            </w:r>
          </w:p>
        </w:tc>
        <w:tc>
          <w:tcPr>
            <w:tcW w:w="10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Average Price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Paid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January 1 to January 31</w:t>
            </w:r>
          </w:p>
        </w:tc>
        <w:tc>
          <w:tcPr>
            <w:tcW w:w="24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31.23</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February 1 to February 28</w:t>
            </w:r>
          </w:p>
        </w:tc>
        <w:tc>
          <w:tcPr>
            <w:tcW w:w="4040" w:type="dxa"/>
            <w:vAlign w:val="bottom"/>
            <w:gridSpan w:val="3"/>
          </w:tcPr>
          <w:p>
            <w:pPr>
              <w:jc w:val="right"/>
              <w:ind w:right="180"/>
              <w:spacing w:after="0"/>
              <w:rPr>
                <w:sz w:val="20"/>
                <w:szCs w:val="20"/>
                <w:color w:val="auto"/>
              </w:rPr>
            </w:pPr>
            <w:r>
              <w:rPr>
                <w:rFonts w:ascii="Arial" w:cs="Arial" w:eastAsia="Arial" w:hAnsi="Arial"/>
                <w:sz w:val="18"/>
                <w:szCs w:val="18"/>
                <w:color w:val="auto"/>
              </w:rPr>
              <w:t>24,227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29.90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 to March 31</w:t>
            </w:r>
          </w:p>
        </w:tc>
        <w:tc>
          <w:tcPr>
            <w:tcW w:w="24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28.90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0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25,503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29.92</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296"/>
              <w:spacing w:after="0"/>
              <w:rPr>
                <w:sz w:val="20"/>
                <w:szCs w:val="20"/>
                <w:color w:val="auto"/>
              </w:rPr>
            </w:pPr>
            <w:r>
              <w:rPr>
                <w:rFonts w:ascii="Arial" w:cs="Arial" w:eastAsia="Arial" w:hAnsi="Arial"/>
                <w:sz w:val="14"/>
                <w:szCs w:val="14"/>
                <w:color w:val="auto"/>
              </w:rPr>
              <w:t>26</w:t>
            </w:r>
          </w:p>
        </w:tc>
        <w:tc>
          <w:tcPr>
            <w:tcW w:w="14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7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line="20" w:lineRule="exact"/>
              <w:rPr>
                <w:sz w:val="1"/>
                <w:szCs w:val="1"/>
                <w:color w:val="auto"/>
              </w:rPr>
            </w:pPr>
          </w:p>
        </w:tc>
      </w:tr>
      <w:tr>
        <w:trPr>
          <w:trHeight w:val="385"/>
        </w:trPr>
        <w:tc>
          <w:tcPr>
            <w:tcW w:w="640" w:type="dxa"/>
            <w:vAlign w:val="bottom"/>
            <w:gridSpan w:val="3"/>
          </w:tcPr>
          <w:p>
            <w:pPr>
              <w:spacing w:after="0"/>
              <w:rPr>
                <w:sz w:val="20"/>
                <w:szCs w:val="20"/>
                <w:color w:val="auto"/>
              </w:rPr>
            </w:pPr>
            <w:r>
              <w:rPr>
                <w:rFonts w:ascii="Arial" w:cs="Arial" w:eastAsia="Arial" w:hAnsi="Arial"/>
                <w:sz w:val="18"/>
                <w:szCs w:val="18"/>
                <w:color w:val="auto"/>
                <w:w w:val="98"/>
              </w:rPr>
              <w:t>ITEM 6.</w:t>
            </w:r>
          </w:p>
        </w:tc>
        <w:tc>
          <w:tcPr>
            <w:tcW w:w="10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(a) The following exhibits are filed with this Quarterly Report on Form 10-Q:</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31.1</w:t>
            </w:r>
          </w:p>
        </w:tc>
        <w:tc>
          <w:tcPr>
            <w:tcW w:w="320" w:type="dxa"/>
            <w:vAlign w:val="bottom"/>
            <w:shd w:val="clear" w:color="auto" w:fill="CCEEFF"/>
          </w:tcPr>
          <w:p>
            <w:pPr>
              <w:spacing w:after="0"/>
              <w:rPr>
                <w:sz w:val="18"/>
                <w:szCs w:val="18"/>
                <w:color w:val="auto"/>
              </w:rPr>
            </w:pPr>
          </w:p>
        </w:tc>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Certification of President and Chief Executive Officer pursuant to Rule 13a-14(a) under the 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31.2</w:t>
            </w:r>
          </w:p>
        </w:tc>
        <w:tc>
          <w:tcPr>
            <w:tcW w:w="320" w:type="dxa"/>
            <w:vAlign w:val="bottom"/>
            <w:shd w:val="clear" w:color="auto" w:fill="CCEEFF"/>
          </w:tcPr>
          <w:p>
            <w:pPr>
              <w:spacing w:after="0"/>
              <w:rPr>
                <w:sz w:val="18"/>
                <w:szCs w:val="18"/>
                <w:color w:val="auto"/>
              </w:rPr>
            </w:pPr>
          </w:p>
        </w:tc>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w w:val="97"/>
              </w:rPr>
              <w:t>Certification of Vice President - Finance and Chief Financial Officer pursuant to Rule 13a-14(a) under the 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Certifications pursuant to Rule 13a-14(b) under the Securities Exchange Act of 1934 and 18 U.S.C. § 1350.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101.INS</w:t>
            </w: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16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101.SCH</w:t>
            </w: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6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101.CAL</w:t>
            </w: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6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101.DEF</w:t>
            </w: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6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101.LAB</w:t>
            </w: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620" w:type="dxa"/>
            <w:vAlign w:val="bottom"/>
          </w:tcPr>
          <w:p>
            <w:pPr>
              <w:spacing w:after="0"/>
              <w:rPr>
                <w:sz w:val="18"/>
                <w:szCs w:val="18"/>
                <w:color w:val="auto"/>
              </w:rPr>
            </w:pPr>
          </w:p>
        </w:tc>
        <w:tc>
          <w:tcPr>
            <w:tcW w:w="9800" w:type="dxa"/>
            <w:vAlign w:val="bottom"/>
          </w:tcPr>
          <w:p>
            <w:pPr>
              <w:spacing w:after="0"/>
              <w:rPr>
                <w:sz w:val="18"/>
                <w:szCs w:val="18"/>
                <w:color w:val="auto"/>
              </w:rPr>
            </w:pPr>
          </w:p>
        </w:tc>
      </w:tr>
      <w:tr>
        <w:trPr>
          <w:trHeight w:val="216"/>
        </w:trPr>
        <w:tc>
          <w:tcPr>
            <w:tcW w:w="1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101.PRE</w:t>
            </w: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69"/>
        </w:trPr>
        <w:tc>
          <w:tcPr>
            <w:tcW w:w="1620" w:type="dxa"/>
            <w:vAlign w:val="bottom"/>
          </w:tcPr>
          <w:p>
            <w:pPr>
              <w:spacing w:after="0"/>
              <w:rPr>
                <w:sz w:val="24"/>
                <w:szCs w:val="24"/>
                <w:color w:val="auto"/>
              </w:rPr>
            </w:pPr>
          </w:p>
        </w:tc>
        <w:tc>
          <w:tcPr>
            <w:tcW w:w="9800" w:type="dxa"/>
            <w:vAlign w:val="bottom"/>
          </w:tcPr>
          <w:p>
            <w:pPr>
              <w:ind w:left="4020"/>
              <w:spacing w:after="0"/>
              <w:rPr>
                <w:sz w:val="20"/>
                <w:szCs w:val="20"/>
                <w:color w:val="auto"/>
              </w:rPr>
            </w:pPr>
            <w:r>
              <w:rPr>
                <w:rFonts w:ascii="Arial" w:cs="Arial" w:eastAsia="Arial" w:hAnsi="Arial"/>
                <w:sz w:val="14"/>
                <w:szCs w:val="14"/>
                <w:color w:val="auto"/>
              </w:rPr>
              <w:t>27</w:t>
            </w:r>
          </w:p>
        </w:tc>
      </w:tr>
      <w:tr>
        <w:trPr>
          <w:trHeight w:val="46"/>
        </w:trPr>
        <w:tc>
          <w:tcPr>
            <w:tcW w:w="1620" w:type="dxa"/>
            <w:vAlign w:val="bottom"/>
            <w:tcBorders>
              <w:bottom w:val="single" w:sz="8" w:color="auto"/>
            </w:tcBorders>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78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Date: May 4, 2015</w:t>
      </w:r>
    </w:p>
    <w:p>
      <w:pPr>
        <w:spacing w:after="0" w:line="3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21" w:right="8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2000" w:type="dxa"/>
            <w:vAlign w:val="bottom"/>
            <w:gridSpan w:val="7"/>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00" w:type="dxa"/>
            <w:vAlign w:val="bottom"/>
            <w:gridSpan w:val="7"/>
          </w:tcPr>
          <w:p>
            <w:pPr>
              <w:spacing w:after="0"/>
              <w:rPr>
                <w:sz w:val="20"/>
                <w:szCs w:val="20"/>
                <w:color w:val="auto"/>
              </w:rPr>
            </w:pPr>
            <w:r>
              <w:rPr>
                <w:rFonts w:ascii="Arial" w:cs="Arial" w:eastAsia="Arial" w:hAnsi="Arial"/>
                <w:sz w:val="18"/>
                <w:szCs w:val="18"/>
                <w:color w:val="auto"/>
              </w:rPr>
              <w:t>EXHIBIT INDEX</w:t>
            </w:r>
          </w:p>
        </w:tc>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Exhibit No.</w:t>
            </w:r>
          </w:p>
        </w:tc>
        <w:tc>
          <w:tcPr>
            <w:tcW w:w="450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jc w:val="center"/>
              <w:ind w:left="850"/>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160" w:type="dxa"/>
            <w:vAlign w:val="bottom"/>
            <w:shd w:val="clear" w:color="auto" w:fill="CCEEFF"/>
          </w:tcPr>
          <w:p>
            <w:pPr>
              <w:spacing w:after="0"/>
              <w:rPr>
                <w:sz w:val="15"/>
                <w:szCs w:val="15"/>
                <w:color w:val="auto"/>
              </w:rPr>
            </w:pPr>
          </w:p>
        </w:tc>
        <w:tc>
          <w:tcPr>
            <w:tcW w:w="9420" w:type="dxa"/>
            <w:vAlign w:val="bottom"/>
            <w:gridSpan w:val="3"/>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President and Chief Executive Officer pursuant to Rule 13a-14(a) under the Securities Exchange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4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820" w:type="dxa"/>
            <w:vAlign w:val="bottom"/>
            <w:gridSpan w:val="5"/>
            <w:shd w:val="clear" w:color="auto" w:fill="CCEEFF"/>
          </w:tcPr>
          <w:p>
            <w:pPr>
              <w:jc w:val="center"/>
              <w:ind w:left="850"/>
              <w:spacing w:after="0" w:line="17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160" w:type="dxa"/>
            <w:vAlign w:val="bottom"/>
            <w:shd w:val="clear" w:color="auto" w:fill="CCEEFF"/>
          </w:tcPr>
          <w:p>
            <w:pPr>
              <w:spacing w:after="0"/>
              <w:rPr>
                <w:sz w:val="15"/>
                <w:szCs w:val="15"/>
                <w:color w:val="auto"/>
              </w:rPr>
            </w:pPr>
          </w:p>
        </w:tc>
        <w:tc>
          <w:tcPr>
            <w:tcW w:w="9420" w:type="dxa"/>
            <w:vAlign w:val="bottom"/>
            <w:gridSpan w:val="3"/>
            <w:shd w:val="clear" w:color="auto" w:fill="CCEEFF"/>
          </w:tcPr>
          <w:p>
            <w:pPr>
              <w:ind w:left="160"/>
              <w:spacing w:after="0" w:line="176" w:lineRule="exact"/>
              <w:rPr>
                <w:sz w:val="20"/>
                <w:szCs w:val="20"/>
                <w:color w:val="auto"/>
              </w:rPr>
            </w:pPr>
            <w:r>
              <w:rPr>
                <w:rFonts w:ascii="Arial" w:cs="Arial" w:eastAsia="Arial" w:hAnsi="Arial"/>
                <w:sz w:val="18"/>
                <w:szCs w:val="18"/>
                <w:color w:val="auto"/>
              </w:rPr>
              <w:t>Certification of Vice President - Finance and Chief Financial Officer pursuant to Rule 13a-14(a) under the Securities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4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Exchange Act of 1934.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60" w:hanging="858"/>
        <w:spacing w:after="0"/>
        <w:tabs>
          <w:tab w:leader="none" w:pos="216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160" w:hanging="963"/>
        <w:spacing w:after="0"/>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560" w:type="dxa"/>
            <w:vAlign w:val="bottom"/>
            <w:tcBorders>
              <w:lef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101.INS</w:t>
            </w:r>
          </w:p>
        </w:tc>
        <w:tc>
          <w:tcPr>
            <w:tcW w:w="88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r>
      <w:tr>
        <w:trPr>
          <w:trHeight w:val="216"/>
        </w:trPr>
        <w:tc>
          <w:tcPr>
            <w:tcW w:w="256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16"/>
        </w:trPr>
        <w:tc>
          <w:tcPr>
            <w:tcW w:w="2560" w:type="dxa"/>
            <w:vAlign w:val="bottom"/>
            <w:tcBorders>
              <w:lef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101.SCH</w:t>
            </w:r>
          </w:p>
        </w:tc>
        <w:tc>
          <w:tcPr>
            <w:tcW w:w="88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56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16"/>
        </w:trPr>
        <w:tc>
          <w:tcPr>
            <w:tcW w:w="2560" w:type="dxa"/>
            <w:vAlign w:val="bottom"/>
            <w:tcBorders>
              <w:lef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101.CAL</w:t>
            </w:r>
          </w:p>
        </w:tc>
        <w:tc>
          <w:tcPr>
            <w:tcW w:w="88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56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16"/>
        </w:trPr>
        <w:tc>
          <w:tcPr>
            <w:tcW w:w="2560" w:type="dxa"/>
            <w:vAlign w:val="bottom"/>
            <w:tcBorders>
              <w:lef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101.DEF</w:t>
            </w:r>
          </w:p>
        </w:tc>
        <w:tc>
          <w:tcPr>
            <w:tcW w:w="88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56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16"/>
        </w:trPr>
        <w:tc>
          <w:tcPr>
            <w:tcW w:w="2560" w:type="dxa"/>
            <w:vAlign w:val="bottom"/>
            <w:tcBorders>
              <w:lef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101.LAB</w:t>
            </w:r>
          </w:p>
        </w:tc>
        <w:tc>
          <w:tcPr>
            <w:tcW w:w="88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256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16"/>
        </w:trPr>
        <w:tc>
          <w:tcPr>
            <w:tcW w:w="2560" w:type="dxa"/>
            <w:vAlign w:val="bottom"/>
            <w:tcBorders>
              <w:left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101.PRE</w:t>
            </w:r>
          </w:p>
        </w:tc>
        <w:tc>
          <w:tcPr>
            <w:tcW w:w="88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96"/>
        </w:trPr>
        <w:tc>
          <w:tcPr>
            <w:tcW w:w="2560" w:type="dxa"/>
            <w:vAlign w:val="bottom"/>
          </w:tcPr>
          <w:p>
            <w:pPr>
              <w:spacing w:after="0"/>
              <w:rPr>
                <w:sz w:val="24"/>
                <w:szCs w:val="24"/>
                <w:color w:val="auto"/>
              </w:rPr>
            </w:pPr>
          </w:p>
        </w:tc>
        <w:tc>
          <w:tcPr>
            <w:tcW w:w="8860" w:type="dxa"/>
            <w:vAlign w:val="bottom"/>
          </w:tcPr>
          <w:p>
            <w:pPr>
              <w:ind w:left="3080"/>
              <w:spacing w:after="0"/>
              <w:rPr>
                <w:sz w:val="20"/>
                <w:szCs w:val="20"/>
                <w:color w:val="auto"/>
              </w:rPr>
            </w:pPr>
            <w:r>
              <w:rPr>
                <w:rFonts w:ascii="Arial" w:cs="Arial" w:eastAsia="Arial" w:hAnsi="Arial"/>
                <w:sz w:val="14"/>
                <w:szCs w:val="14"/>
                <w:color w:val="auto"/>
              </w:rPr>
              <w:t>29</w:t>
            </w:r>
          </w:p>
        </w:tc>
      </w:tr>
      <w:tr>
        <w:trPr>
          <w:trHeight w:val="90"/>
        </w:trPr>
        <w:tc>
          <w:tcPr>
            <w:tcW w:w="2560" w:type="dxa"/>
            <w:vAlign w:val="bottom"/>
            <w:tcBorders>
              <w:bottom w:val="single" w:sz="8" w:color="808080"/>
            </w:tcBorders>
          </w:tcPr>
          <w:p>
            <w:pPr>
              <w:spacing w:after="0"/>
              <w:rPr>
                <w:sz w:val="7"/>
                <w:szCs w:val="7"/>
                <w:color w:val="auto"/>
              </w:rPr>
            </w:pPr>
          </w:p>
        </w:tc>
        <w:tc>
          <w:tcPr>
            <w:tcW w:w="8860" w:type="dxa"/>
            <w:vAlign w:val="bottom"/>
            <w:tcBorders>
              <w:bottom w:val="single" w:sz="8" w:color="808080"/>
            </w:tcBorders>
          </w:tcPr>
          <w:p>
            <w:pPr>
              <w:spacing w:after="0"/>
              <w:rPr>
                <w:sz w:val="7"/>
                <w:szCs w:val="7"/>
                <w:color w:val="auto"/>
              </w:rPr>
            </w:pPr>
          </w:p>
        </w:tc>
      </w:tr>
      <w:tr>
        <w:trPr>
          <w:trHeight w:val="41"/>
        </w:trPr>
        <w:tc>
          <w:tcPr>
            <w:tcW w:w="2560" w:type="dxa"/>
            <w:vAlign w:val="bottom"/>
            <w:tcBorders>
              <w:left w:val="single" w:sz="8" w:color="808080"/>
            </w:tcBorders>
            <w:shd w:val="clear" w:color="auto" w:fill="000000"/>
          </w:tcPr>
          <w:p>
            <w:pPr>
              <w:spacing w:after="0"/>
              <w:rPr>
                <w:sz w:val="3"/>
                <w:szCs w:val="3"/>
                <w:color w:val="auto"/>
              </w:rPr>
            </w:pPr>
          </w:p>
        </w:tc>
        <w:tc>
          <w:tcPr>
            <w:tcW w:w="8860" w:type="dxa"/>
            <w:vAlign w:val="bottom"/>
            <w:tcBorders>
              <w:right w:val="single" w:sz="8" w:color="808080"/>
            </w:tcBorders>
            <w:shd w:val="clear" w:color="auto" w:fill="000000"/>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1" w:name="page32"/>
    <w:bookmarkEnd w:id="31"/>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80" w:right="30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97" w:lineRule="exact"/>
        <w:rPr>
          <w:sz w:val="20"/>
          <w:szCs w:val="20"/>
          <w:color w:val="auto"/>
        </w:rPr>
      </w:pPr>
    </w:p>
    <w:p>
      <w:pPr>
        <w:ind w:left="80" w:right="220" w:firstLine="656"/>
        <w:spacing w:after="0" w:line="342" w:lineRule="auto"/>
        <w:tabs>
          <w:tab w:leader="none" w:pos="1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2015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1220" w:hanging="484"/>
        <w:spacing w:after="0"/>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75"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May 4, 2015</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May 4, 2015</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7301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1865" cy="38735"/>
                    </a:xfrm>
                    <a:prstGeom prst="rect">
                      <a:avLst/>
                    </a:prstGeom>
                    <a:noFill/>
                  </pic:spPr>
                </pic:pic>
              </a:graphicData>
            </a:graphic>
          </wp:anchor>
        </w:drawing>
      </w:r>
    </w:p>
    <w:sectPr>
      <w:pgSz w:w="11900" w:h="16838" w:orient="portrait"/>
      <w:cols w:equalWidth="0" w:num="1">
        <w:col w:w="11440"/>
      </w:cols>
      <w:pgMar w:left="160" w:top="29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2019-12-29T16:42:28Z</dcterms:created>
  <dcterms:modified xsi:type="dcterms:W3CDTF">2019-12-29T16:42:28Z</dcterms:modified>
</cp:coreProperties>
</file>