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OF AMERICA</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 C. 20549</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4" w:lineRule="exact"/>
        <w:rPr>
          <w:sz w:val="24"/>
          <w:szCs w:val="24"/>
          <w:color w:val="auto"/>
        </w:rPr>
      </w:pPr>
    </w:p>
    <w:p>
      <w:pPr>
        <w:ind w:left="360" w:right="2220" w:hanging="258"/>
        <w:spacing w:after="0" w:line="222" w:lineRule="auto"/>
        <w:tabs>
          <w:tab w:leader="none" w:pos="360"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8"/>
          <w:szCs w:val="18"/>
          <w:color w:val="auto"/>
        </w:rPr>
        <w:t>QUARTERLY REPORT PURSUANT TO SECTION 13 OR 15(d) OF THE SECURITIES EXCHANGE ACT OF 1934 For the quarterly period ended March 31, 2021</w:t>
      </w:r>
    </w:p>
    <w:p>
      <w:pPr>
        <w:ind w:left="360" w:right="2200" w:hanging="258"/>
        <w:spacing w:after="0" w:line="221" w:lineRule="auto"/>
        <w:tabs>
          <w:tab w:leader="none" w:pos="360" w:val="left"/>
        </w:tabs>
        <w:numPr>
          <w:ilvl w:val="0"/>
          <w:numId w:val="2"/>
        </w:numPr>
        <w:rPr>
          <w:rFonts w:ascii="MS PGothic" w:cs="MS PGothic" w:eastAsia="MS PGothic" w:hAnsi="MS PGothic"/>
          <w:sz w:val="29"/>
          <w:szCs w:val="29"/>
          <w:color w:val="auto"/>
          <w:vertAlign w:val="superscript"/>
        </w:rPr>
      </w:pPr>
      <w:r>
        <w:rPr>
          <w:rFonts w:ascii="Arial" w:cs="Arial" w:eastAsia="Arial" w:hAnsi="Arial"/>
          <w:sz w:val="18"/>
          <w:szCs w:val="18"/>
          <w:color w:val="auto"/>
        </w:rPr>
        <w:t>TRANSITION REPORT PURSUANT TO SECTION 13 OR 15(d) OF THE SECURITIES EXCHANGE ACT OF 1934 For the transition period from__________ to __________</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14605</wp:posOffset>
            </wp:positionV>
            <wp:extent cx="1843405"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340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45" w:lineRule="exact"/>
        <w:rPr>
          <w:sz w:val="24"/>
          <w:szCs w:val="24"/>
          <w:color w:val="auto"/>
        </w:rPr>
      </w:pPr>
    </w:p>
    <w:tbl>
      <w:tblPr>
        <w:tblLayout w:type="fixed"/>
        <w:tblInd w:w="40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8900" w:type="dxa"/>
            <w:vAlign w:val="bottom"/>
            <w:gridSpan w:val="4"/>
          </w:tcPr>
          <w:p>
            <w:pPr>
              <w:jc w:val="center"/>
              <w:ind w:right="2058"/>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321"/>
        </w:trPr>
        <w:tc>
          <w:tcPr>
            <w:tcW w:w="1840" w:type="dxa"/>
            <w:vAlign w:val="bottom"/>
          </w:tcPr>
          <w:p>
            <w:pPr>
              <w:spacing w:after="0"/>
              <w:rPr>
                <w:sz w:val="24"/>
                <w:szCs w:val="24"/>
                <w:color w:val="auto"/>
              </w:rPr>
            </w:pPr>
          </w:p>
        </w:tc>
        <w:tc>
          <w:tcPr>
            <w:tcW w:w="1640" w:type="dxa"/>
            <w:vAlign w:val="bottom"/>
          </w:tcPr>
          <w:p>
            <w:pPr>
              <w:jc w:val="center"/>
              <w:ind w:right="838"/>
              <w:spacing w:after="0"/>
              <w:rPr>
                <w:sz w:val="20"/>
                <w:szCs w:val="20"/>
                <w:color w:val="auto"/>
              </w:rPr>
            </w:pPr>
            <w:r>
              <w:rPr>
                <w:rFonts w:ascii="Arial" w:cs="Arial" w:eastAsia="Arial" w:hAnsi="Arial"/>
                <w:sz w:val="18"/>
                <w:szCs w:val="18"/>
                <w:b w:val="1"/>
                <w:bCs w:val="1"/>
                <w:color w:val="auto"/>
                <w:w w:val="96"/>
              </w:rPr>
              <w:t>Virginia</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60" w:type="dxa"/>
            <w:vAlign w:val="bottom"/>
          </w:tcPr>
          <w:p>
            <w:pPr>
              <w:jc w:val="right"/>
              <w:ind w:right="2418"/>
              <w:spacing w:after="0"/>
              <w:rPr>
                <w:sz w:val="20"/>
                <w:szCs w:val="20"/>
                <w:color w:val="auto"/>
              </w:rPr>
            </w:pPr>
            <w:r>
              <w:rPr>
                <w:rFonts w:ascii="Arial" w:cs="Arial" w:eastAsia="Arial" w:hAnsi="Arial"/>
                <w:sz w:val="18"/>
                <w:szCs w:val="18"/>
                <w:b w:val="1"/>
                <w:bCs w:val="1"/>
                <w:color w:val="auto"/>
              </w:rPr>
              <w:t>54-1162807</w:t>
            </w:r>
          </w:p>
        </w:tc>
        <w:tc>
          <w:tcPr>
            <w:tcW w:w="0" w:type="dxa"/>
            <w:vAlign w:val="bottom"/>
          </w:tcPr>
          <w:p>
            <w:pPr>
              <w:spacing w:after="0"/>
              <w:rPr>
                <w:sz w:val="1"/>
                <w:szCs w:val="1"/>
                <w:color w:val="auto"/>
              </w:rPr>
            </w:pPr>
          </w:p>
        </w:tc>
      </w:tr>
      <w:tr>
        <w:trPr>
          <w:trHeight w:val="230"/>
        </w:trPr>
        <w:tc>
          <w:tcPr>
            <w:tcW w:w="6280" w:type="dxa"/>
            <w:vAlign w:val="bottom"/>
            <w:gridSpan w:val="4"/>
          </w:tcPr>
          <w:p>
            <w:pPr>
              <w:jc w:val="center"/>
              <w:ind w:right="18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460" w:type="dxa"/>
            <w:vAlign w:val="bottom"/>
          </w:tcPr>
          <w:p>
            <w:pPr>
              <w:jc w:val="center"/>
              <w:ind w:right="1318"/>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539"/>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500 Shentel Way, Edinburg, Virginia</w:t>
            </w:r>
          </w:p>
        </w:tc>
        <w:tc>
          <w:tcPr>
            <w:tcW w:w="4460" w:type="dxa"/>
            <w:vAlign w:val="bottom"/>
          </w:tcPr>
          <w:p>
            <w:pPr>
              <w:jc w:val="right"/>
              <w:ind w:right="3798"/>
              <w:spacing w:after="0"/>
              <w:rPr>
                <w:sz w:val="20"/>
                <w:szCs w:val="20"/>
                <w:color w:val="auto"/>
              </w:rPr>
            </w:pPr>
            <w:r>
              <w:rPr>
                <w:rFonts w:ascii="Arial" w:cs="Arial" w:eastAsia="Arial" w:hAnsi="Arial"/>
                <w:sz w:val="18"/>
                <w:szCs w:val="18"/>
                <w:color w:val="auto"/>
              </w:rPr>
              <w:t>22824</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4440" w:type="dxa"/>
            <w:vAlign w:val="bottom"/>
            <w:gridSpan w:val="3"/>
          </w:tcPr>
          <w:p>
            <w:pPr>
              <w:jc w:val="right"/>
              <w:ind w:right="80"/>
              <w:spacing w:after="0"/>
              <w:rPr>
                <w:sz w:val="20"/>
                <w:szCs w:val="20"/>
                <w:color w:val="auto"/>
              </w:rPr>
            </w:pPr>
            <w:r>
              <w:rPr>
                <w:rFonts w:ascii="Arial" w:cs="Arial" w:eastAsia="Arial" w:hAnsi="Arial"/>
                <w:sz w:val="18"/>
                <w:szCs w:val="18"/>
                <w:color w:val="auto"/>
              </w:rPr>
              <w:t>(Address of principal executive offices)</w:t>
            </w:r>
          </w:p>
        </w:tc>
        <w:tc>
          <w:tcPr>
            <w:tcW w:w="4460" w:type="dxa"/>
            <w:vAlign w:val="bottom"/>
          </w:tcPr>
          <w:p>
            <w:pPr>
              <w:jc w:val="right"/>
              <w:ind w:right="3558"/>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445"/>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(540) 984-4141</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8900" w:type="dxa"/>
            <w:vAlign w:val="bottom"/>
            <w:gridSpan w:val="4"/>
          </w:tcPr>
          <w:p>
            <w:pPr>
              <w:jc w:val="center"/>
              <w:ind w:right="2098"/>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2340" w:type="dxa"/>
            <w:vAlign w:val="bottom"/>
            <w:gridSpan w:val="2"/>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4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1840" w:type="dxa"/>
            <w:vAlign w:val="bottom"/>
          </w:tcPr>
          <w:p>
            <w:pPr>
              <w:spacing w:after="0"/>
              <w:rPr>
                <w:sz w:val="24"/>
                <w:szCs w:val="24"/>
                <w:color w:val="auto"/>
              </w:rPr>
            </w:pPr>
          </w:p>
        </w:tc>
        <w:tc>
          <w:tcPr>
            <w:tcW w:w="8900" w:type="dxa"/>
            <w:vAlign w:val="bottom"/>
            <w:gridSpan w:val="4"/>
          </w:tcPr>
          <w:p>
            <w:pPr>
              <w:jc w:val="center"/>
              <w:ind w:right="2058"/>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65"/>
        </w:trPr>
        <w:tc>
          <w:tcPr>
            <w:tcW w:w="1840" w:type="dxa"/>
            <w:vAlign w:val="bottom"/>
          </w:tcPr>
          <w:p>
            <w:pPr>
              <w:jc w:val="center"/>
              <w:spacing w:after="0"/>
              <w:rPr>
                <w:sz w:val="20"/>
                <w:szCs w:val="20"/>
                <w:color w:val="auto"/>
              </w:rPr>
            </w:pPr>
            <w:r>
              <w:rPr>
                <w:rFonts w:ascii="Arial" w:cs="Arial" w:eastAsia="Arial" w:hAnsi="Arial"/>
                <w:sz w:val="14"/>
                <w:szCs w:val="14"/>
                <w:color w:val="auto"/>
                <w:w w:val="93"/>
              </w:rPr>
              <w:t>Common Stock (No Par Value)</w:t>
            </w:r>
          </w:p>
        </w:tc>
        <w:tc>
          <w:tcPr>
            <w:tcW w:w="1640" w:type="dxa"/>
            <w:vAlign w:val="bottom"/>
          </w:tcPr>
          <w:p>
            <w:pPr>
              <w:jc w:val="center"/>
              <w:ind w:left="338"/>
              <w:spacing w:after="0"/>
              <w:rPr>
                <w:sz w:val="20"/>
                <w:szCs w:val="20"/>
                <w:color w:val="auto"/>
              </w:rPr>
            </w:pPr>
            <w:r>
              <w:rPr>
                <w:rFonts w:ascii="Arial" w:cs="Arial" w:eastAsia="Arial" w:hAnsi="Arial"/>
                <w:sz w:val="14"/>
                <w:szCs w:val="14"/>
                <w:color w:val="auto"/>
                <w:w w:val="97"/>
              </w:rPr>
              <w:t>SHEN</w:t>
            </w:r>
          </w:p>
        </w:tc>
        <w:tc>
          <w:tcPr>
            <w:tcW w:w="2800" w:type="dxa"/>
            <w:vAlign w:val="bottom"/>
            <w:gridSpan w:val="2"/>
          </w:tcPr>
          <w:p>
            <w:pPr>
              <w:jc w:val="center"/>
              <w:ind w:left="239"/>
              <w:spacing w:after="0"/>
              <w:rPr>
                <w:sz w:val="20"/>
                <w:szCs w:val="20"/>
                <w:color w:val="auto"/>
              </w:rPr>
            </w:pPr>
            <w:r>
              <w:rPr>
                <w:rFonts w:ascii="Arial" w:cs="Arial" w:eastAsia="Arial" w:hAnsi="Arial"/>
                <w:sz w:val="14"/>
                <w:szCs w:val="14"/>
                <w:color w:val="auto"/>
                <w:w w:val="97"/>
              </w:rPr>
              <w:t>NASDAQ Global Select Market</w:t>
            </w:r>
          </w:p>
        </w:tc>
        <w:tc>
          <w:tcPr>
            <w:tcW w:w="4460" w:type="dxa"/>
            <w:vAlign w:val="bottom"/>
          </w:tcPr>
          <w:p>
            <w:pPr>
              <w:jc w:val="center"/>
              <w:ind w:left="278"/>
              <w:spacing w:after="0"/>
              <w:rPr>
                <w:sz w:val="20"/>
                <w:szCs w:val="20"/>
                <w:color w:val="auto"/>
              </w:rPr>
            </w:pPr>
            <w:r>
              <w:rPr>
                <w:rFonts w:ascii="Arial" w:cs="Arial" w:eastAsia="Arial" w:hAnsi="Arial"/>
                <w:sz w:val="14"/>
                <w:szCs w:val="14"/>
                <w:color w:val="auto"/>
                <w:w w:val="94"/>
              </w:rPr>
              <w:t>49,943,149</w:t>
            </w:r>
          </w:p>
        </w:tc>
        <w:tc>
          <w:tcPr>
            <w:tcW w:w="0" w:type="dxa"/>
            <w:vAlign w:val="bottom"/>
          </w:tcPr>
          <w:p>
            <w:pPr>
              <w:spacing w:after="0"/>
              <w:rPr>
                <w:sz w:val="1"/>
                <w:szCs w:val="1"/>
                <w:color w:val="auto"/>
              </w:rPr>
            </w:pPr>
          </w:p>
        </w:tc>
      </w:tr>
      <w:tr>
        <w:trPr>
          <w:trHeight w:val="147"/>
        </w:trPr>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5"/>
              </w:rPr>
              <w:t>(Title of Class)</w:t>
            </w:r>
          </w:p>
        </w:tc>
        <w:tc>
          <w:tcPr>
            <w:tcW w:w="1640" w:type="dxa"/>
            <w:vAlign w:val="bottom"/>
            <w:vMerge w:val="restart"/>
          </w:tcPr>
          <w:p>
            <w:pPr>
              <w:jc w:val="center"/>
              <w:ind w:left="338"/>
              <w:spacing w:after="0"/>
              <w:rPr>
                <w:sz w:val="20"/>
                <w:szCs w:val="20"/>
                <w:color w:val="auto"/>
              </w:rPr>
            </w:pPr>
            <w:r>
              <w:rPr>
                <w:rFonts w:ascii="Arial" w:cs="Arial" w:eastAsia="Arial" w:hAnsi="Arial"/>
                <w:sz w:val="14"/>
                <w:szCs w:val="14"/>
                <w:color w:val="auto"/>
                <w:w w:val="94"/>
              </w:rPr>
              <w:t>(Trading Symbol)</w:t>
            </w:r>
          </w:p>
        </w:tc>
        <w:tc>
          <w:tcPr>
            <w:tcW w:w="2800" w:type="dxa"/>
            <w:vAlign w:val="bottom"/>
            <w:gridSpan w:val="2"/>
            <w:vMerge w:val="restart"/>
          </w:tcPr>
          <w:p>
            <w:pPr>
              <w:jc w:val="center"/>
              <w:ind w:left="259"/>
              <w:spacing w:after="0"/>
              <w:rPr>
                <w:sz w:val="20"/>
                <w:szCs w:val="20"/>
                <w:color w:val="auto"/>
              </w:rPr>
            </w:pPr>
            <w:r>
              <w:rPr>
                <w:rFonts w:ascii="Arial" w:cs="Arial" w:eastAsia="Arial" w:hAnsi="Arial"/>
                <w:sz w:val="14"/>
                <w:szCs w:val="14"/>
                <w:color w:val="auto"/>
                <w:w w:val="93"/>
              </w:rPr>
              <w:t>(Name of Exchange on which Registered)</w:t>
            </w:r>
          </w:p>
        </w:tc>
        <w:tc>
          <w:tcPr>
            <w:tcW w:w="4460" w:type="dxa"/>
            <w:vAlign w:val="bottom"/>
          </w:tcPr>
          <w:p>
            <w:pPr>
              <w:jc w:val="center"/>
              <w:ind w:left="278"/>
              <w:spacing w:after="0" w:line="147" w:lineRule="exact"/>
              <w:rPr>
                <w:sz w:val="20"/>
                <w:szCs w:val="20"/>
                <w:color w:val="auto"/>
              </w:rPr>
            </w:pPr>
            <w:r>
              <w:rPr>
                <w:rFonts w:ascii="Arial" w:cs="Arial" w:eastAsia="Arial" w:hAnsi="Arial"/>
                <w:sz w:val="14"/>
                <w:szCs w:val="14"/>
                <w:color w:val="auto"/>
                <w:w w:val="92"/>
              </w:rPr>
              <w:t>(The number of shares of the registrant's common stock outstanding on</w:t>
            </w:r>
          </w:p>
        </w:tc>
        <w:tc>
          <w:tcPr>
            <w:tcW w:w="0" w:type="dxa"/>
            <w:vAlign w:val="bottom"/>
          </w:tcPr>
          <w:p>
            <w:pPr>
              <w:spacing w:after="0"/>
              <w:rPr>
                <w:sz w:val="1"/>
                <w:szCs w:val="1"/>
                <w:color w:val="auto"/>
              </w:rPr>
            </w:pPr>
          </w:p>
        </w:tc>
      </w:tr>
      <w:tr>
        <w:trPr>
          <w:trHeight w:val="110"/>
        </w:trPr>
        <w:tc>
          <w:tcPr>
            <w:tcW w:w="18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4460" w:type="dxa"/>
            <w:vAlign w:val="bottom"/>
            <w:vMerge w:val="restart"/>
          </w:tcPr>
          <w:p>
            <w:pPr>
              <w:jc w:val="center"/>
              <w:ind w:left="278"/>
              <w:spacing w:after="0"/>
              <w:rPr>
                <w:sz w:val="20"/>
                <w:szCs w:val="20"/>
                <w:color w:val="auto"/>
              </w:rPr>
            </w:pPr>
            <w:r>
              <w:rPr>
                <w:rFonts w:ascii="Arial" w:cs="Arial" w:eastAsia="Arial" w:hAnsi="Arial"/>
                <w:sz w:val="14"/>
                <w:szCs w:val="14"/>
                <w:color w:val="auto"/>
                <w:w w:val="98"/>
              </w:rPr>
              <w:t>April 26, 2021)</w:t>
            </w:r>
          </w:p>
        </w:tc>
        <w:tc>
          <w:tcPr>
            <w:tcW w:w="0" w:type="dxa"/>
            <w:vAlign w:val="bottom"/>
          </w:tcPr>
          <w:p>
            <w:pPr>
              <w:spacing w:after="0"/>
              <w:rPr>
                <w:sz w:val="1"/>
                <w:szCs w:val="1"/>
                <w:color w:val="auto"/>
              </w:rPr>
            </w:pPr>
          </w:p>
        </w:tc>
      </w:tr>
      <w:tr>
        <w:trPr>
          <w:trHeight w:val="73"/>
        </w:trPr>
        <w:tc>
          <w:tcPr>
            <w:tcW w:w="1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p>
      <w:pPr>
        <w:ind w:left="20"/>
        <w:spacing w:after="0" w:line="185" w:lineRule="exact"/>
        <w:tabs>
          <w:tab w:leader="none" w:pos="1660" w:val="left"/>
          <w:tab w:leader="none" w:pos="3320" w:val="left"/>
          <w:tab w:leader="none" w:pos="5280" w:val="left"/>
          <w:tab w:leader="none" w:pos="5660" w:val="left"/>
          <w:tab w:leader="none" w:pos="7640" w:val="left"/>
          <w:tab w:leader="none" w:pos="8040" w:val="left"/>
          <w:tab w:leader="none" w:pos="100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Accelerated filer</w:t>
      </w:r>
      <w:r>
        <w:rPr>
          <w:rFonts w:ascii="MS PGothic" w:cs="MS PGothic" w:eastAsia="MS PGothic" w:hAnsi="MS PGothic"/>
          <w:sz w:val="18"/>
          <w:szCs w:val="18"/>
          <w:color w:val="auto"/>
        </w:rPr>
        <w:tab/>
        <w:t xml:space="preserve">☐  </w:t>
      </w:r>
      <w:r>
        <w:rPr>
          <w:rFonts w:ascii="Arial" w:cs="Arial" w:eastAsia="Arial" w:hAnsi="Arial"/>
          <w:sz w:val="14"/>
          <w:szCs w:val="14"/>
          <w:color w:val="auto"/>
        </w:rPr>
        <w:t>Non-accelerated filer</w:t>
      </w:r>
      <w:r>
        <w:rPr>
          <w:rFonts w:ascii="MS PGothic" w:cs="MS PGothic" w:eastAsia="MS PGothic" w:hAnsi="MS PGothic"/>
          <w:sz w:val="18"/>
          <w:szCs w:val="18"/>
          <w:color w:val="auto"/>
        </w:rPr>
        <w:tab/>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120" w:type="dxa"/>
            <w:vAlign w:val="bottom"/>
            <w:gridSpan w:val="5"/>
          </w:tcPr>
          <w:p>
            <w:pPr>
              <w:jc w:val="center"/>
              <w:ind w:left="137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0"/>
        </w:trPr>
        <w:tc>
          <w:tcPr>
            <w:tcW w:w="80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8100" w:type="dxa"/>
            <w:vAlign w:val="bottom"/>
            <w:vMerge w:val="restart"/>
          </w:tcPr>
          <w:p>
            <w:pPr>
              <w:ind w:left="160"/>
              <w:spacing w:after="0"/>
              <w:rPr>
                <w:sz w:val="20"/>
                <w:szCs w:val="20"/>
                <w:color w:val="auto"/>
              </w:rPr>
            </w:pPr>
            <w:r>
              <w:rPr>
                <w:rFonts w:ascii="Arial" w:cs="Arial" w:eastAsia="Arial" w:hAnsi="Arial"/>
                <w:sz w:val="18"/>
                <w:szCs w:val="18"/>
                <w:color w:val="auto"/>
              </w:rPr>
              <w:t>FINANCIAL INFORMATION</w:t>
            </w:r>
          </w:p>
        </w:tc>
        <w:tc>
          <w:tcPr>
            <w:tcW w:w="2120" w:type="dxa"/>
            <w:vAlign w:val="bottom"/>
            <w:gridSpan w:val="5"/>
          </w:tcPr>
          <w:p>
            <w:pPr>
              <w:jc w:val="center"/>
              <w:ind w:left="1370"/>
              <w:spacing w:after="0"/>
              <w:rPr>
                <w:sz w:val="20"/>
                <w:szCs w:val="20"/>
                <w:color w:val="auto"/>
              </w:rPr>
            </w:pPr>
            <w:r>
              <w:rPr>
                <w:rFonts w:ascii="Arial" w:cs="Arial" w:eastAsia="Arial" w:hAnsi="Arial"/>
                <w:sz w:val="18"/>
                <w:szCs w:val="18"/>
                <w:color w:val="auto"/>
                <w:w w:val="90"/>
              </w:rPr>
              <w:t>Numbers</w:t>
            </w:r>
          </w:p>
        </w:tc>
        <w:tc>
          <w:tcPr>
            <w:tcW w:w="0" w:type="dxa"/>
            <w:vAlign w:val="bottom"/>
          </w:tcPr>
          <w:p>
            <w:pPr>
              <w:spacing w:after="0"/>
              <w:rPr>
                <w:sz w:val="1"/>
                <w:szCs w:val="1"/>
                <w:color w:val="auto"/>
              </w:rPr>
            </w:pPr>
          </w:p>
        </w:tc>
      </w:tr>
      <w:tr>
        <w:trPr>
          <w:trHeight w:val="229"/>
        </w:trPr>
        <w:tc>
          <w:tcPr>
            <w:tcW w:w="800" w:type="dxa"/>
            <w:vAlign w:val="bottom"/>
            <w:vMerge w:val="continue"/>
          </w:tcPr>
          <w:p>
            <w:pPr>
              <w:spacing w:after="0"/>
              <w:rPr>
                <w:sz w:val="19"/>
                <w:szCs w:val="19"/>
                <w:color w:val="auto"/>
              </w:rPr>
            </w:pPr>
          </w:p>
        </w:tc>
        <w:tc>
          <w:tcPr>
            <w:tcW w:w="810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810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Balance Sheets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Statements of Comprehensive Income</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Statements of Shareholders’ Equity</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Statements of Cash Flows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Notes to Unaudited Condensed Consolidated Financial Statements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8100" w:type="dxa"/>
            <w:vAlign w:val="bottom"/>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17</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8100" w:type="dxa"/>
            <w:vAlign w:val="bottom"/>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23</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8100" w:type="dxa"/>
            <w:vAlign w:val="bottom"/>
          </w:tcPr>
          <w:p>
            <w:pPr>
              <w:ind w:left="160"/>
              <w:spacing w:after="0"/>
              <w:rPr>
                <w:sz w:val="20"/>
                <w:szCs w:val="20"/>
                <w:color w:val="auto"/>
              </w:rPr>
            </w:pPr>
            <w:r>
              <w:rPr>
                <w:rFonts w:ascii="Arial" w:cs="Arial" w:eastAsia="Arial" w:hAnsi="Arial"/>
                <w:sz w:val="18"/>
                <w:szCs w:val="18"/>
                <w:color w:val="auto"/>
              </w:rPr>
              <w:t>Controls and Procedures</w:t>
            </w:r>
          </w:p>
        </w:tc>
        <w:tc>
          <w:tcPr>
            <w:tcW w:w="1880" w:type="dxa"/>
            <w:vAlign w:val="bottom"/>
            <w:gridSpan w:val="4"/>
          </w:tcPr>
          <w:p>
            <w:pPr>
              <w:jc w:val="center"/>
              <w:ind w:left="161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23</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00" w:type="dxa"/>
            <w:vAlign w:val="bottom"/>
          </w:tcPr>
          <w:p>
            <w:pPr>
              <w:spacing w:after="0"/>
              <w:rPr>
                <w:sz w:val="20"/>
                <w:szCs w:val="20"/>
                <w:color w:val="auto"/>
              </w:rPr>
            </w:pPr>
            <w:r>
              <w:rPr>
                <w:rFonts w:ascii="Arial" w:cs="Arial" w:eastAsia="Arial" w:hAnsi="Arial"/>
                <w:sz w:val="18"/>
                <w:szCs w:val="18"/>
                <w:color w:val="auto"/>
              </w:rPr>
              <w:t>PART II.</w:t>
            </w:r>
          </w:p>
        </w:tc>
        <w:tc>
          <w:tcPr>
            <w:tcW w:w="810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17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8100" w:type="dxa"/>
            <w:vAlign w:val="bottom"/>
          </w:tcPr>
          <w:p>
            <w:pPr>
              <w:ind w:left="160"/>
              <w:spacing w:after="0"/>
              <w:rPr>
                <w:sz w:val="20"/>
                <w:szCs w:val="20"/>
                <w:color w:val="auto"/>
              </w:rPr>
            </w:pPr>
            <w:r>
              <w:rPr>
                <w:rFonts w:ascii="Arial" w:cs="Arial" w:eastAsia="Arial" w:hAnsi="Arial"/>
                <w:sz w:val="18"/>
                <w:szCs w:val="18"/>
                <w:color w:val="auto"/>
              </w:rPr>
              <w:t>Risk Factors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24</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8100" w:type="dxa"/>
            <w:vAlign w:val="bottom"/>
          </w:tcPr>
          <w:p>
            <w:pPr>
              <w:ind w:left="160"/>
              <w:spacing w:after="0"/>
              <w:rPr>
                <w:sz w:val="20"/>
                <w:szCs w:val="20"/>
                <w:color w:val="auto"/>
              </w:rPr>
            </w:pPr>
            <w:r>
              <w:rPr>
                <w:rFonts w:ascii="Arial" w:cs="Arial" w:eastAsia="Arial" w:hAnsi="Arial"/>
                <w:sz w:val="18"/>
                <w:szCs w:val="18"/>
                <w:color w:val="auto"/>
              </w:rPr>
              <w:t>Unregistered Sales of Equity Securities and Use of Proceeds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24</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8100" w:type="dxa"/>
            <w:vAlign w:val="bottom"/>
          </w:tcPr>
          <w:p>
            <w:pPr>
              <w:ind w:left="160"/>
              <w:spacing w:after="0"/>
              <w:rPr>
                <w:sz w:val="20"/>
                <w:szCs w:val="20"/>
                <w:color w:val="auto"/>
              </w:rPr>
            </w:pPr>
            <w:r>
              <w:rPr>
                <w:rFonts w:ascii="Arial" w:cs="Arial" w:eastAsia="Arial" w:hAnsi="Arial"/>
                <w:sz w:val="18"/>
                <w:szCs w:val="18"/>
                <w:color w:val="auto"/>
              </w:rPr>
              <w:t>Exhibits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25</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Signatures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26</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232"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i w:val="1"/>
                <w:iCs w:val="1"/>
                <w:color w:val="0000FF"/>
                <w:w w:val="88"/>
              </w:rPr>
            </w:pPr>
            <w:hyperlink w:anchor="page1">
              <w:r>
                <w:rPr>
                  <w:rFonts w:ascii="Arial" w:cs="Arial" w:eastAsia="Arial" w:hAnsi="Arial"/>
                  <w:sz w:val="18"/>
                  <w:szCs w:val="18"/>
                  <w:i w:val="1"/>
                  <w:iCs w:val="1"/>
                  <w:color w:val="0000FF"/>
                  <w:w w:val="88"/>
                </w:rPr>
                <w:t>Table of Contents</w:t>
              </w:r>
            </w:hyperlink>
          </w:p>
        </w:tc>
        <w:tc>
          <w:tcPr>
            <w:tcW w:w="7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32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0"/>
        </w:trPr>
        <w:tc>
          <w:tcPr>
            <w:tcW w:w="8320" w:type="dxa"/>
            <w:vAlign w:val="bottom"/>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32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229,182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195,397</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 of allowance for doubtful accounts of $490 and $614, respectively</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66,618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70,393</w:t>
            </w:r>
          </w:p>
        </w:tc>
        <w:tc>
          <w:tcPr>
            <w:tcW w:w="0" w:type="dxa"/>
            <w:vAlign w:val="bottom"/>
          </w:tcPr>
          <w:p>
            <w:pPr>
              <w:spacing w:after="0"/>
              <w:rPr>
                <w:sz w:val="1"/>
                <w:szCs w:val="1"/>
                <w:color w:val="auto"/>
              </w:rPr>
            </w:pPr>
          </w:p>
        </w:tc>
      </w:tr>
      <w:tr>
        <w:trPr>
          <w:trHeight w:val="229"/>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Current assets held for sale</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1,117,528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1,133,294</w:t>
            </w:r>
          </w:p>
        </w:tc>
        <w:tc>
          <w:tcPr>
            <w:tcW w:w="0" w:type="dxa"/>
            <w:vAlign w:val="bottom"/>
          </w:tcPr>
          <w:p>
            <w:pPr>
              <w:spacing w:after="0"/>
              <w:rPr>
                <w:sz w:val="1"/>
                <w:szCs w:val="1"/>
                <w:color w:val="auto"/>
              </w:rPr>
            </w:pPr>
          </w:p>
        </w:tc>
      </w:tr>
      <w:tr>
        <w:trPr>
          <w:trHeight w:val="222"/>
        </w:trPr>
        <w:tc>
          <w:tcPr>
            <w:tcW w:w="8320" w:type="dxa"/>
            <w:vAlign w:val="bottom"/>
            <w:gridSpan w:val="2"/>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1,426,271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1,408,715</w:t>
            </w:r>
          </w:p>
        </w:tc>
        <w:tc>
          <w:tcPr>
            <w:tcW w:w="0" w:type="dxa"/>
            <w:vAlign w:val="bottom"/>
          </w:tcPr>
          <w:p>
            <w:pPr>
              <w:spacing w:after="0"/>
              <w:rPr>
                <w:sz w:val="1"/>
                <w:szCs w:val="1"/>
                <w:color w:val="auto"/>
              </w:rPr>
            </w:pP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13,769</w:t>
            </w:r>
          </w:p>
        </w:tc>
        <w:tc>
          <w:tcPr>
            <w:tcW w:w="0" w:type="dxa"/>
            <w:vAlign w:val="bottom"/>
          </w:tcPr>
          <w:p>
            <w:pPr>
              <w:spacing w:after="0"/>
              <w:rPr>
                <w:sz w:val="1"/>
                <w:szCs w:val="1"/>
                <w:color w:val="auto"/>
              </w:rPr>
            </w:pP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468,383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440,427</w:t>
            </w:r>
          </w:p>
        </w:tc>
        <w:tc>
          <w:tcPr>
            <w:tcW w:w="0" w:type="dxa"/>
            <w:vAlign w:val="bottom"/>
          </w:tcPr>
          <w:p>
            <w:pPr>
              <w:spacing w:after="0"/>
              <w:rPr>
                <w:sz w:val="1"/>
                <w:szCs w:val="1"/>
                <w:color w:val="auto"/>
              </w:rPr>
            </w:pPr>
          </w:p>
        </w:tc>
      </w:tr>
      <w:tr>
        <w:trPr>
          <w:trHeight w:val="229"/>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Goodwill and Intangible assets, net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106,543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106,759</w:t>
            </w:r>
          </w:p>
        </w:tc>
        <w:tc>
          <w:tcPr>
            <w:tcW w:w="0" w:type="dxa"/>
            <w:vAlign w:val="bottom"/>
          </w:tcPr>
          <w:p>
            <w:pPr>
              <w:spacing w:after="0"/>
              <w:rPr>
                <w:sz w:val="1"/>
                <w:szCs w:val="1"/>
                <w:color w:val="auto"/>
              </w:rPr>
            </w:pPr>
          </w:p>
        </w:tc>
      </w:tr>
      <w:tr>
        <w:trPr>
          <w:trHeight w:val="229"/>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52,738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50,387</w:t>
            </w:r>
          </w:p>
        </w:tc>
        <w:tc>
          <w:tcPr>
            <w:tcW w:w="0" w:type="dxa"/>
            <w:vAlign w:val="bottom"/>
          </w:tcPr>
          <w:p>
            <w:pPr>
              <w:spacing w:after="0"/>
              <w:rPr>
                <w:sz w:val="1"/>
                <w:szCs w:val="1"/>
                <w:color w:val="auto"/>
              </w:rPr>
            </w:pPr>
          </w:p>
        </w:tc>
      </w:tr>
      <w:tr>
        <w:trPr>
          <w:trHeight w:val="230"/>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Deferred charges and other assets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11,650</w:t>
            </w:r>
          </w:p>
        </w:tc>
        <w:tc>
          <w:tcPr>
            <w:tcW w:w="0" w:type="dxa"/>
            <w:vAlign w:val="bottom"/>
          </w:tcPr>
          <w:p>
            <w:pPr>
              <w:spacing w:after="0"/>
              <w:rPr>
                <w:sz w:val="1"/>
                <w:szCs w:val="1"/>
                <w:color w:val="auto"/>
              </w:rPr>
            </w:pPr>
          </w:p>
        </w:tc>
      </w:tr>
      <w:tr>
        <w:trPr>
          <w:trHeight w:val="22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2,082,309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2,031,707</w:t>
            </w:r>
          </w:p>
        </w:tc>
        <w:tc>
          <w:tcPr>
            <w:tcW w:w="0" w:type="dxa"/>
            <w:vAlign w:val="bottom"/>
          </w:tcPr>
          <w:p>
            <w:pPr>
              <w:spacing w:after="0"/>
              <w:rPr>
                <w:sz w:val="1"/>
                <w:szCs w:val="1"/>
                <w:color w:val="auto"/>
              </w:rPr>
            </w:pPr>
          </w:p>
        </w:tc>
      </w:tr>
      <w:tr>
        <w:trPr>
          <w:trHeight w:val="21"/>
        </w:trPr>
        <w:tc>
          <w:tcPr>
            <w:tcW w:w="83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8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Current maturities of long-term debt, net of unamortized loan fees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680,531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688,463</w:t>
            </w:r>
          </w:p>
        </w:tc>
        <w:tc>
          <w:tcPr>
            <w:tcW w:w="0" w:type="dxa"/>
            <w:vAlign w:val="bottom"/>
          </w:tcPr>
          <w:p>
            <w:pPr>
              <w:spacing w:after="0"/>
              <w:rPr>
                <w:sz w:val="1"/>
                <w:szCs w:val="1"/>
                <w:color w:val="auto"/>
              </w:rPr>
            </w:pPr>
          </w:p>
        </w:tc>
      </w:tr>
      <w:tr>
        <w:trPr>
          <w:trHeight w:val="229"/>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19,599</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Advanced billings and customer deposits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8,594</w:t>
            </w:r>
          </w:p>
        </w:tc>
        <w:tc>
          <w:tcPr>
            <w:tcW w:w="0" w:type="dxa"/>
            <w:vAlign w:val="bottom"/>
          </w:tcPr>
          <w:p>
            <w:pPr>
              <w:spacing w:after="0"/>
              <w:rPr>
                <w:sz w:val="1"/>
                <w:szCs w:val="1"/>
                <w:color w:val="auto"/>
              </w:rPr>
            </w:pPr>
          </w:p>
        </w:tc>
      </w:tr>
      <w:tr>
        <w:trPr>
          <w:trHeight w:val="229"/>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16,413</w:t>
            </w:r>
          </w:p>
        </w:tc>
        <w:tc>
          <w:tcPr>
            <w:tcW w:w="0" w:type="dxa"/>
            <w:vAlign w:val="bottom"/>
          </w:tcPr>
          <w:p>
            <w:pPr>
              <w:spacing w:after="0"/>
              <w:rPr>
                <w:sz w:val="1"/>
                <w:szCs w:val="1"/>
                <w:color w:val="auto"/>
              </w:rPr>
            </w:pPr>
          </w:p>
        </w:tc>
      </w:tr>
      <w:tr>
        <w:trPr>
          <w:trHeight w:val="229"/>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6,951</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29"/>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Accrued liabilities and other</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13,869</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Current liabilities held for sale</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443,089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452,202</w:t>
            </w:r>
          </w:p>
        </w:tc>
        <w:tc>
          <w:tcPr>
            <w:tcW w:w="0" w:type="dxa"/>
            <w:vAlign w:val="bottom"/>
          </w:tcPr>
          <w:p>
            <w:pPr>
              <w:spacing w:after="0"/>
              <w:rPr>
                <w:sz w:val="1"/>
                <w:szCs w:val="1"/>
                <w:color w:val="auto"/>
              </w:rPr>
            </w:pPr>
          </w:p>
        </w:tc>
      </w:tr>
      <w:tr>
        <w:trPr>
          <w:trHeight w:val="223"/>
        </w:trPr>
        <w:tc>
          <w:tcPr>
            <w:tcW w:w="8320" w:type="dxa"/>
            <w:vAlign w:val="bottom"/>
            <w:gridSpan w:val="2"/>
          </w:tcPr>
          <w:p>
            <w:pPr>
              <w:ind w:left="2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1,202,317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1,208,061</w:t>
            </w:r>
          </w:p>
        </w:tc>
        <w:tc>
          <w:tcPr>
            <w:tcW w:w="0" w:type="dxa"/>
            <w:vAlign w:val="bottom"/>
          </w:tcPr>
          <w:p>
            <w:pPr>
              <w:spacing w:after="0"/>
              <w:rPr>
                <w:sz w:val="1"/>
                <w:szCs w:val="1"/>
                <w:color w:val="auto"/>
              </w:rPr>
            </w:pPr>
          </w:p>
        </w:tc>
      </w:tr>
      <w:tr>
        <w:trPr>
          <w:trHeight w:val="20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155,623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150,652</w:t>
            </w:r>
          </w:p>
        </w:tc>
        <w:tc>
          <w:tcPr>
            <w:tcW w:w="0" w:type="dxa"/>
            <w:vAlign w:val="bottom"/>
          </w:tcPr>
          <w:p>
            <w:pPr>
              <w:spacing w:after="0"/>
              <w:rPr>
                <w:sz w:val="1"/>
                <w:szCs w:val="1"/>
                <w:color w:val="auto"/>
              </w:rPr>
            </w:pPr>
          </w:p>
        </w:tc>
      </w:tr>
      <w:tr>
        <w:trPr>
          <w:trHeight w:val="229"/>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Asset retirement obligations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Benefit plan obligations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14,645</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46,095</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24,905</w:t>
            </w:r>
          </w:p>
        </w:tc>
        <w:tc>
          <w:tcPr>
            <w:tcW w:w="0" w:type="dxa"/>
            <w:vAlign w:val="bottom"/>
          </w:tcPr>
          <w:p>
            <w:pPr>
              <w:spacing w:after="0"/>
              <w:rPr>
                <w:sz w:val="1"/>
                <w:szCs w:val="1"/>
                <w:color w:val="auto"/>
              </w:rPr>
            </w:pPr>
          </w:p>
        </w:tc>
      </w:tr>
      <w:tr>
        <w:trPr>
          <w:trHeight w:val="223"/>
        </w:trPr>
        <w:tc>
          <w:tcPr>
            <w:tcW w:w="8320" w:type="dxa"/>
            <w:vAlign w:val="bottom"/>
            <w:gridSpan w:val="2"/>
          </w:tcPr>
          <w:p>
            <w:pPr>
              <w:ind w:left="220"/>
              <w:spacing w:after="0"/>
              <w:rPr>
                <w:sz w:val="20"/>
                <w:szCs w:val="20"/>
                <w:color w:val="auto"/>
              </w:rPr>
            </w:pPr>
            <w:r>
              <w:rPr>
                <w:rFonts w:ascii="Arial" w:cs="Arial" w:eastAsia="Arial" w:hAnsi="Arial"/>
                <w:sz w:val="18"/>
                <w:szCs w:val="18"/>
                <w:color w:val="auto"/>
              </w:rPr>
              <w:t>Total other long-term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246,038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241,252</w:t>
            </w:r>
          </w:p>
        </w:tc>
        <w:tc>
          <w:tcPr>
            <w:tcW w:w="0" w:type="dxa"/>
            <w:vAlign w:val="bottom"/>
          </w:tcPr>
          <w:p>
            <w:pPr>
              <w:spacing w:after="0"/>
              <w:rPr>
                <w:sz w:val="1"/>
                <w:szCs w:val="1"/>
                <w:color w:val="auto"/>
              </w:rPr>
            </w:pPr>
          </w:p>
        </w:tc>
      </w:tr>
      <w:tr>
        <w:trPr>
          <w:trHeight w:val="20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13)</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3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2"/>
              </w:rPr>
              <w:t>Common stock, no par value, authorized 96,000; 49,943 and 49,868 issued and outstanding at March 31, 2021</w:t>
            </w:r>
          </w:p>
        </w:tc>
        <w:tc>
          <w:tcPr>
            <w:tcW w:w="180" w:type="dxa"/>
            <w:vAlign w:val="bottom"/>
          </w:tcPr>
          <w:p>
            <w:pPr>
              <w:spacing w:after="0"/>
              <w:rPr>
                <w:sz w:val="15"/>
                <w:szCs w:val="15"/>
                <w:color w:val="auto"/>
              </w:rPr>
            </w:pPr>
          </w:p>
        </w:tc>
        <w:tc>
          <w:tcPr>
            <w:tcW w:w="13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and December 31, 2020, respectively</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Additional paid in capital</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46,583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47,317</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591,304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539,783</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loss, net of taxes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23"/>
        </w:trPr>
        <w:tc>
          <w:tcPr>
            <w:tcW w:w="8320" w:type="dxa"/>
            <w:vAlign w:val="bottom"/>
            <w:gridSpan w:val="2"/>
          </w:tcPr>
          <w:p>
            <w:pPr>
              <w:ind w:left="2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633,954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582,394</w:t>
            </w:r>
          </w:p>
        </w:tc>
        <w:tc>
          <w:tcPr>
            <w:tcW w:w="0" w:type="dxa"/>
            <w:vAlign w:val="bottom"/>
          </w:tcPr>
          <w:p>
            <w:pPr>
              <w:spacing w:after="0"/>
              <w:rPr>
                <w:sz w:val="1"/>
                <w:szCs w:val="1"/>
                <w:color w:val="auto"/>
              </w:rPr>
            </w:pPr>
          </w:p>
        </w:tc>
      </w:tr>
      <w:tr>
        <w:trPr>
          <w:trHeight w:val="22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2,082,309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2,031,707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220" w:type="dxa"/>
            <w:vAlign w:val="bottom"/>
          </w:tcPr>
          <w:p>
            <w:pPr>
              <w:spacing w:after="0"/>
              <w:rPr>
                <w:sz w:val="20"/>
                <w:szCs w:val="20"/>
                <w:color w:val="auto"/>
              </w:rPr>
            </w:pPr>
            <w:r>
              <w:rPr>
                <w:rFonts w:ascii="Arial" w:cs="Arial" w:eastAsia="Arial" w:hAnsi="Arial"/>
                <w:sz w:val="16"/>
                <w:szCs w:val="16"/>
                <w:b w:val="1"/>
                <w:bCs w:val="1"/>
                <w:color w:val="auto"/>
              </w:rPr>
              <w:t>SHENANDOAH TELECOMMUNICATIONS COMPANY AND SUBSIDIARIES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COMPREHENSIVE INCOME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2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320" w:type="dxa"/>
            <w:vAlign w:val="bottom"/>
          </w:tcPr>
          <w:p>
            <w:pPr>
              <w:spacing w:after="0"/>
              <w:rPr>
                <w:sz w:val="15"/>
                <w:szCs w:val="15"/>
                <w:color w:val="auto"/>
              </w:rPr>
            </w:pPr>
          </w:p>
        </w:tc>
        <w:tc>
          <w:tcPr>
            <w:tcW w:w="2680" w:type="dxa"/>
            <w:vAlign w:val="bottom"/>
            <w:gridSpan w:val="4"/>
          </w:tcPr>
          <w:p>
            <w:pPr>
              <w:jc w:val="right"/>
              <w:ind w:right="590"/>
              <w:spacing w:after="0" w:line="182"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9"/>
        </w:trPr>
        <w:tc>
          <w:tcPr>
            <w:tcW w:w="822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vMerge w:val="restart"/>
          </w:tcPr>
          <w:p>
            <w:pPr>
              <w:spacing w:after="0"/>
              <w:rPr>
                <w:sz w:val="20"/>
                <w:szCs w:val="20"/>
                <w:color w:val="auto"/>
              </w:rPr>
            </w:pPr>
            <w:r>
              <w:rPr>
                <w:rFonts w:ascii="Arial" w:cs="Arial" w:eastAsia="Arial" w:hAnsi="Arial"/>
                <w:sz w:val="18"/>
                <w:szCs w:val="18"/>
                <w:color w:val="auto"/>
              </w:rPr>
              <w:t>Service revenue and 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22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53,134</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Cost of services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23,283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20,317</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22,096</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13,266</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12,085</w:t>
            </w:r>
          </w:p>
        </w:tc>
        <w:tc>
          <w:tcPr>
            <w:tcW w:w="0" w:type="dxa"/>
            <w:vAlign w:val="bottom"/>
          </w:tcPr>
          <w:p>
            <w:pPr>
              <w:spacing w:after="0"/>
              <w:rPr>
                <w:sz w:val="1"/>
                <w:szCs w:val="1"/>
                <w:color w:val="auto"/>
              </w:rPr>
            </w:pPr>
          </w:p>
        </w:tc>
      </w:tr>
      <w:tr>
        <w:trPr>
          <w:trHeight w:val="223"/>
        </w:trPr>
        <w:tc>
          <w:tcPr>
            <w:tcW w:w="822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57,320</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54,498</w:t>
            </w:r>
          </w:p>
        </w:tc>
        <w:tc>
          <w:tcPr>
            <w:tcW w:w="0" w:type="dxa"/>
            <w:vAlign w:val="bottom"/>
          </w:tcPr>
          <w:p>
            <w:pPr>
              <w:spacing w:after="0"/>
              <w:rPr>
                <w:sz w:val="1"/>
                <w:szCs w:val="1"/>
                <w:color w:val="auto"/>
              </w:rPr>
            </w:pPr>
          </w:p>
        </w:tc>
      </w:tr>
      <w:tr>
        <w:trPr>
          <w:trHeight w:val="223"/>
        </w:trPr>
        <w:tc>
          <w:tcPr>
            <w:tcW w:w="8220" w:type="dxa"/>
            <w:vAlign w:val="bottom"/>
          </w:tcPr>
          <w:p>
            <w:pPr>
              <w:ind w:left="20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2"/>
        </w:trPr>
        <w:tc>
          <w:tcPr>
            <w:tcW w:w="8220" w:type="dxa"/>
            <w:vAlign w:val="bottom"/>
          </w:tcPr>
          <w:p>
            <w:pPr>
              <w:ind w:left="20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0"/>
        </w:trPr>
        <w:tc>
          <w:tcPr>
            <w:tcW w:w="8220" w:type="dxa"/>
            <w:vAlign w:val="bottom"/>
          </w:tcPr>
          <w:p>
            <w:pPr>
              <w:ind w:left="24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2"/>
        </w:trPr>
        <w:tc>
          <w:tcPr>
            <w:tcW w:w="822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8220" w:type="dxa"/>
            <w:vAlign w:val="bottom"/>
          </w:tcPr>
          <w:p>
            <w:pPr>
              <w:ind w:left="200"/>
              <w:spacing w:after="0"/>
              <w:rPr>
                <w:sz w:val="20"/>
                <w:szCs w:val="20"/>
                <w:color w:val="auto"/>
              </w:rPr>
            </w:pPr>
            <w:r>
              <w:rPr>
                <w:rFonts w:ascii="Arial" w:cs="Arial" w:eastAsia="Arial" w:hAnsi="Arial"/>
                <w:sz w:val="18"/>
                <w:szCs w:val="18"/>
                <w:color w:val="auto"/>
              </w:rPr>
              <w:t>Income from discontinued operations, net of tax</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48,472</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13,130</w:t>
            </w:r>
          </w:p>
        </w:tc>
        <w:tc>
          <w:tcPr>
            <w:tcW w:w="0" w:type="dxa"/>
            <w:vAlign w:val="bottom"/>
          </w:tcPr>
          <w:p>
            <w:pPr>
              <w:spacing w:after="0"/>
              <w:rPr>
                <w:sz w:val="1"/>
                <w:szCs w:val="1"/>
                <w:color w:val="auto"/>
              </w:rPr>
            </w:pPr>
          </w:p>
        </w:tc>
      </w:tr>
      <w:tr>
        <w:trPr>
          <w:trHeight w:val="223"/>
        </w:trPr>
        <w:tc>
          <w:tcPr>
            <w:tcW w:w="822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51,521</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13,280</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color w:val="auto"/>
              </w:rPr>
              <w:t>Other comprehensive income:</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Unrealized income (loss) on interest rate hedge, net of tax</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23"/>
        </w:trPr>
        <w:tc>
          <w:tcPr>
            <w:tcW w:w="822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52,294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7,174</w:t>
            </w:r>
          </w:p>
        </w:tc>
        <w:tc>
          <w:tcPr>
            <w:tcW w:w="0" w:type="dxa"/>
            <w:vAlign w:val="bottom"/>
          </w:tcPr>
          <w:p>
            <w:pPr>
              <w:spacing w:after="0"/>
              <w:rPr>
                <w:sz w:val="1"/>
                <w:szCs w:val="1"/>
                <w:color w:val="auto"/>
              </w:rPr>
            </w:pPr>
          </w:p>
        </w:tc>
      </w:tr>
      <w:tr>
        <w:trPr>
          <w:trHeight w:val="21"/>
        </w:trPr>
        <w:tc>
          <w:tcPr>
            <w:tcW w:w="8220" w:type="dxa"/>
            <w:vAlign w:val="bottom"/>
            <w:vMerge w:val="restart"/>
          </w:tcPr>
          <w:p>
            <w:pPr>
              <w:spacing w:after="0"/>
              <w:rPr>
                <w:sz w:val="20"/>
                <w:szCs w:val="20"/>
                <w:color w:val="auto"/>
              </w:rPr>
            </w:pPr>
            <w:r>
              <w:rPr>
                <w:rFonts w:ascii="Arial" w:cs="Arial" w:eastAsia="Arial" w:hAnsi="Arial"/>
                <w:sz w:val="18"/>
                <w:szCs w:val="18"/>
                <w:color w:val="auto"/>
              </w:rPr>
              <w:t>Net income per share, basic and diluted:</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Basic - Income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Basic - Income from discontinued operations, net of tax</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3"/>
        </w:trPr>
        <w:tc>
          <w:tcPr>
            <w:tcW w:w="8220" w:type="dxa"/>
            <w:vAlign w:val="bottom"/>
          </w:tcPr>
          <w:p>
            <w:pPr>
              <w:ind w:left="240"/>
              <w:spacing w:after="0"/>
              <w:rPr>
                <w:sz w:val="20"/>
                <w:szCs w:val="20"/>
                <w:color w:val="auto"/>
              </w:rPr>
            </w:pPr>
            <w:r>
              <w:rPr>
                <w:rFonts w:ascii="Arial" w:cs="Arial" w:eastAsia="Arial" w:hAnsi="Arial"/>
                <w:sz w:val="18"/>
                <w:szCs w:val="18"/>
                <w:color w:val="auto"/>
              </w:rPr>
              <w:t>Basic net income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8220" w:type="dxa"/>
            <w:vAlign w:val="bottom"/>
          </w:tcPr>
          <w:p>
            <w:pPr>
              <w:ind w:left="120"/>
              <w:spacing w:after="0"/>
              <w:rPr>
                <w:sz w:val="20"/>
                <w:szCs w:val="20"/>
                <w:color w:val="auto"/>
              </w:rPr>
            </w:pPr>
            <w:r>
              <w:rPr>
                <w:rFonts w:ascii="Arial" w:cs="Arial" w:eastAsia="Arial" w:hAnsi="Arial"/>
                <w:sz w:val="18"/>
                <w:szCs w:val="18"/>
                <w:color w:val="auto"/>
              </w:rPr>
              <w:t>Diluted - Income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Diluted - Income from discontinued operations, net of tax</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3"/>
        </w:trPr>
        <w:tc>
          <w:tcPr>
            <w:tcW w:w="8220" w:type="dxa"/>
            <w:vAlign w:val="bottom"/>
          </w:tcPr>
          <w:p>
            <w:pPr>
              <w:ind w:left="240"/>
              <w:spacing w:after="0"/>
              <w:rPr>
                <w:sz w:val="20"/>
                <w:szCs w:val="20"/>
                <w:color w:val="auto"/>
              </w:rPr>
            </w:pPr>
            <w:r>
              <w:rPr>
                <w:rFonts w:ascii="Arial" w:cs="Arial" w:eastAsia="Arial" w:hAnsi="Arial"/>
                <w:sz w:val="18"/>
                <w:szCs w:val="18"/>
                <w:color w:val="auto"/>
              </w:rPr>
              <w:t>Diluted net income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220" w:type="dxa"/>
            <w:vAlign w:val="bottom"/>
          </w:tcPr>
          <w:p>
            <w:pPr>
              <w:ind w:left="120"/>
              <w:spacing w:after="0"/>
              <w:rPr>
                <w:sz w:val="20"/>
                <w:szCs w:val="20"/>
                <w:color w:val="auto"/>
              </w:rPr>
            </w:pPr>
            <w:r>
              <w:rPr>
                <w:rFonts w:ascii="Arial" w:cs="Arial" w:eastAsia="Arial" w:hAnsi="Arial"/>
                <w:sz w:val="18"/>
                <w:szCs w:val="18"/>
                <w:color w:val="auto"/>
              </w:rPr>
              <w:t>Weighted average shares outstanding, basic</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49,947</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49,888</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120"/>
              <w:spacing w:after="0"/>
              <w:rPr>
                <w:sz w:val="20"/>
                <w:szCs w:val="20"/>
                <w:color w:val="auto"/>
              </w:rPr>
            </w:pPr>
            <w:r>
              <w:rPr>
                <w:rFonts w:ascii="Arial" w:cs="Arial" w:eastAsia="Arial" w:hAnsi="Arial"/>
                <w:sz w:val="18"/>
                <w:szCs w:val="18"/>
                <w:color w:val="auto"/>
              </w:rPr>
              <w:t>Weighted average shares outstanding, diluted</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22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50,081</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50,036</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ind w:left="20" w:right="3500"/>
        <w:spacing w:after="0" w:line="266" w:lineRule="auto"/>
        <w:rPr>
          <w:sz w:val="20"/>
          <w:szCs w:val="20"/>
          <w:color w:val="auto"/>
        </w:rPr>
      </w:pPr>
      <w:r>
        <w:rPr>
          <w:rFonts w:ascii="Arial" w:cs="Arial" w:eastAsia="Arial" w:hAnsi="Arial"/>
          <w:sz w:val="18"/>
          <w:szCs w:val="18"/>
          <w:b w:val="1"/>
          <w:bCs w:val="1"/>
          <w:color w:val="auto"/>
        </w:rPr>
        <w:t xml:space="preserve">UNAUDITED CONDENSED CONSOLIDATED STATEMENTS OF SHAREHOLDERS' EQUITY </w:t>
      </w:r>
      <w:r>
        <w:rPr>
          <w:rFonts w:ascii="Arial" w:cs="Arial" w:eastAsia="Arial" w:hAnsi="Arial"/>
          <w:sz w:val="18"/>
          <w:szCs w:val="18"/>
          <w:i w:val="1"/>
          <w:iCs w:val="1"/>
          <w:color w:val="auto"/>
        </w:rPr>
        <w:t>(in thousands)</w:t>
      </w:r>
    </w:p>
    <w:tbl>
      <w:tblPr>
        <w:tblLayout w:type="fixed"/>
        <w:tblInd w:w="20" w:type="dxa"/>
        <w:tblCellMar>
          <w:top w:w="0" w:type="dxa"/>
          <w:left w:w="0" w:type="dxa"/>
          <w:bottom w:w="0" w:type="dxa"/>
          <w:right w:w="0" w:type="dxa"/>
        </w:tblCellMar>
      </w:tblPr>
      <w:tr>
        <w:trPr>
          <w:trHeight w:val="135"/>
        </w:trPr>
        <w:tc>
          <w:tcPr>
            <w:tcW w:w="432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Shares of Common</w:t>
            </w: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 Paid in</w:t>
            </w: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Accumulated Other</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Stock (no par</w:t>
            </w:r>
          </w:p>
        </w:tc>
        <w:tc>
          <w:tcPr>
            <w:tcW w:w="1380" w:type="dxa"/>
            <w:vAlign w:val="bottom"/>
            <w:gridSpan w:val="3"/>
            <w:vMerge w:val="continue"/>
          </w:tcPr>
          <w:p>
            <w:pPr>
              <w:spacing w:after="0"/>
              <w:rPr>
                <w:sz w:val="11"/>
                <w:szCs w:val="11"/>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80" w:type="dxa"/>
            <w:vAlign w:val="bottom"/>
          </w:tcPr>
          <w:p>
            <w:pPr>
              <w:spacing w:after="0"/>
              <w:rPr>
                <w:sz w:val="11"/>
                <w:szCs w:val="11"/>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value)</w:t>
            </w: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4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(Loss) Income</w:t>
            </w: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320" w:type="dxa"/>
            <w:vAlign w:val="bottom"/>
          </w:tcPr>
          <w:p>
            <w:pPr>
              <w:spacing w:after="0"/>
              <w:rPr>
                <w:sz w:val="20"/>
                <w:szCs w:val="20"/>
                <w:color w:val="auto"/>
              </w:rPr>
            </w:pPr>
            <w:r>
              <w:rPr>
                <w:rFonts w:ascii="Arial" w:cs="Arial" w:eastAsia="Arial" w:hAnsi="Arial"/>
                <w:sz w:val="14"/>
                <w:szCs w:val="14"/>
                <w:b w:val="1"/>
                <w:bCs w:val="1"/>
                <w:color w:val="auto"/>
              </w:rPr>
              <w:t>Balance, December 31, 2020</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49,868</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47,317</w:t>
            </w:r>
          </w:p>
        </w:tc>
        <w:tc>
          <w:tcPr>
            <w:tcW w:w="100" w:type="dxa"/>
            <w:vAlign w:val="bottom"/>
          </w:tcPr>
          <w:p>
            <w:pPr>
              <w:spacing w:after="0"/>
              <w:rPr>
                <w:sz w:val="15"/>
                <w:szCs w:val="15"/>
                <w:color w:val="auto"/>
              </w:rPr>
            </w:pPr>
          </w:p>
        </w:tc>
        <w:tc>
          <w:tcPr>
            <w:tcW w:w="4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539,783</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(4,706)</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582,394</w:t>
            </w:r>
          </w:p>
        </w:tc>
        <w:tc>
          <w:tcPr>
            <w:tcW w:w="0" w:type="dxa"/>
            <w:vAlign w:val="bottom"/>
          </w:tcPr>
          <w:p>
            <w:pPr>
              <w:spacing w:after="0"/>
              <w:rPr>
                <w:sz w:val="1"/>
                <w:szCs w:val="1"/>
                <w:color w:val="auto"/>
              </w:rPr>
            </w:pPr>
          </w:p>
        </w:tc>
      </w:tr>
      <w:tr>
        <w:trPr>
          <w:trHeight w:val="184"/>
        </w:trPr>
        <w:tc>
          <w:tcPr>
            <w:tcW w:w="43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51,521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51,521</w:t>
            </w:r>
          </w:p>
        </w:tc>
        <w:tc>
          <w:tcPr>
            <w:tcW w:w="0" w:type="dxa"/>
            <w:vAlign w:val="bottom"/>
          </w:tcPr>
          <w:p>
            <w:pPr>
              <w:spacing w:after="0"/>
              <w:rPr>
                <w:sz w:val="1"/>
                <w:szCs w:val="1"/>
                <w:color w:val="auto"/>
              </w:rPr>
            </w:pPr>
          </w:p>
        </w:tc>
      </w:tr>
      <w:tr>
        <w:trPr>
          <w:trHeight w:val="189"/>
        </w:trPr>
        <w:tc>
          <w:tcPr>
            <w:tcW w:w="4320" w:type="dxa"/>
            <w:vAlign w:val="bottom"/>
          </w:tcPr>
          <w:p>
            <w:pPr>
              <w:ind w:left="120"/>
              <w:spacing w:after="0"/>
              <w:rPr>
                <w:sz w:val="20"/>
                <w:szCs w:val="20"/>
                <w:color w:val="auto"/>
              </w:rPr>
            </w:pPr>
            <w:r>
              <w:rPr>
                <w:rFonts w:ascii="Arial" w:cs="Arial" w:eastAsia="Arial" w:hAnsi="Arial"/>
                <w:sz w:val="14"/>
                <w:szCs w:val="14"/>
                <w:color w:val="auto"/>
              </w:rPr>
              <w:t>Other comprehensive gain (loss), net of tax</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773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189"/>
        </w:trPr>
        <w:tc>
          <w:tcPr>
            <w:tcW w:w="4320" w:type="dxa"/>
            <w:vAlign w:val="bottom"/>
          </w:tcPr>
          <w:p>
            <w:pPr>
              <w:ind w:left="120"/>
              <w:spacing w:after="0"/>
              <w:rPr>
                <w:sz w:val="20"/>
                <w:szCs w:val="20"/>
                <w:color w:val="auto"/>
              </w:rPr>
            </w:pPr>
            <w:r>
              <w:rPr>
                <w:rFonts w:ascii="Arial" w:cs="Arial" w:eastAsia="Arial" w:hAnsi="Arial"/>
                <w:sz w:val="14"/>
                <w:szCs w:val="14"/>
                <w:color w:val="auto"/>
              </w:rPr>
              <w:t>Stock based compensation</w:t>
            </w:r>
          </w:p>
        </w:tc>
        <w:tc>
          <w:tcPr>
            <w:tcW w:w="124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189"/>
        </w:trPr>
        <w:tc>
          <w:tcPr>
            <w:tcW w:w="4320" w:type="dxa"/>
            <w:vAlign w:val="bottom"/>
          </w:tcPr>
          <w:p>
            <w:pPr>
              <w:ind w:left="120"/>
              <w:spacing w:after="0"/>
              <w:rPr>
                <w:sz w:val="20"/>
                <w:szCs w:val="20"/>
                <w:color w:val="auto"/>
              </w:rPr>
            </w:pPr>
            <w:r>
              <w:rPr>
                <w:rFonts w:ascii="Arial" w:cs="Arial" w:eastAsia="Arial" w:hAnsi="Arial"/>
                <w:sz w:val="14"/>
                <w:szCs w:val="14"/>
                <w:color w:val="auto"/>
              </w:rPr>
              <w:t>Stock options exercised</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2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7"/>
        </w:trPr>
        <w:tc>
          <w:tcPr>
            <w:tcW w:w="4320" w:type="dxa"/>
            <w:vAlign w:val="bottom"/>
          </w:tcPr>
          <w:p>
            <w:pPr>
              <w:ind w:left="120"/>
              <w:spacing w:after="0" w:line="147" w:lineRule="exact"/>
              <w:rPr>
                <w:sz w:val="20"/>
                <w:szCs w:val="20"/>
                <w:color w:val="auto"/>
              </w:rPr>
            </w:pPr>
            <w:r>
              <w:rPr>
                <w:rFonts w:ascii="Arial" w:cs="Arial" w:eastAsia="Arial" w:hAnsi="Arial"/>
                <w:sz w:val="14"/>
                <w:szCs w:val="14"/>
                <w:color w:val="auto"/>
              </w:rPr>
              <w:t>Shares retired for settlement of employee taxes upon issuance of</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(1,486)</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(1,486)</w:t>
            </w:r>
          </w:p>
        </w:tc>
        <w:tc>
          <w:tcPr>
            <w:tcW w:w="0" w:type="dxa"/>
            <w:vAlign w:val="bottom"/>
          </w:tcPr>
          <w:p>
            <w:pPr>
              <w:spacing w:after="0"/>
              <w:rPr>
                <w:sz w:val="1"/>
                <w:szCs w:val="1"/>
                <w:color w:val="auto"/>
              </w:rPr>
            </w:pPr>
          </w:p>
        </w:tc>
      </w:tr>
      <w:tr>
        <w:trPr>
          <w:trHeight w:val="182"/>
        </w:trPr>
        <w:tc>
          <w:tcPr>
            <w:tcW w:w="4320" w:type="dxa"/>
            <w:vAlign w:val="bottom"/>
          </w:tcPr>
          <w:p>
            <w:pPr>
              <w:ind w:left="120"/>
              <w:spacing w:after="0"/>
              <w:rPr>
                <w:sz w:val="20"/>
                <w:szCs w:val="20"/>
                <w:color w:val="auto"/>
              </w:rPr>
            </w:pPr>
            <w:r>
              <w:rPr>
                <w:rFonts w:ascii="Arial" w:cs="Arial" w:eastAsia="Arial" w:hAnsi="Arial"/>
                <w:sz w:val="14"/>
                <w:szCs w:val="14"/>
                <w:color w:val="auto"/>
              </w:rPr>
              <w:t>vested equity awards</w:t>
            </w: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120"/>
              <w:spacing w:after="0"/>
              <w:rPr>
                <w:sz w:val="20"/>
                <w:szCs w:val="20"/>
                <w:color w:val="auto"/>
              </w:rPr>
            </w:pPr>
            <w:r>
              <w:rPr>
                <w:rFonts w:ascii="Arial" w:cs="Arial" w:eastAsia="Arial" w:hAnsi="Arial"/>
                <w:sz w:val="14"/>
                <w:szCs w:val="14"/>
                <w:color w:val="auto"/>
              </w:rPr>
              <w:t>Common stock issued to acquire non-controlling interest in nTelos</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20"/>
                <w:szCs w:val="20"/>
                <w:color w:val="auto"/>
              </w:rPr>
            </w:pPr>
            <w:r>
              <w:rPr>
                <w:rFonts w:ascii="Arial" w:cs="Arial" w:eastAsia="Arial" w:hAnsi="Arial"/>
                <w:sz w:val="14"/>
                <w:szCs w:val="14"/>
                <w:b w:val="1"/>
                <w:bCs w:val="1"/>
                <w:color w:val="auto"/>
              </w:rPr>
              <w:t>Balance, March 31, 2021</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49,943</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46,583</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591,304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(3,933)</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633,954</w:t>
            </w: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Shares of Common</w:t>
            </w: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 Paid in</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Accumulated Other</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Stock (no par</w:t>
            </w:r>
          </w:p>
        </w:tc>
        <w:tc>
          <w:tcPr>
            <w:tcW w:w="1380" w:type="dxa"/>
            <w:vAlign w:val="bottom"/>
            <w:gridSpan w:val="3"/>
            <w:vMerge w:val="continue"/>
          </w:tcPr>
          <w:p>
            <w:pPr>
              <w:spacing w:after="0"/>
              <w:rPr>
                <w:sz w:val="11"/>
                <w:szCs w:val="11"/>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80" w:type="dxa"/>
            <w:vAlign w:val="bottom"/>
          </w:tcPr>
          <w:p>
            <w:pPr>
              <w:spacing w:after="0"/>
              <w:rPr>
                <w:sz w:val="11"/>
                <w:szCs w:val="11"/>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value)</w:t>
            </w: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4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320" w:type="dxa"/>
            <w:vAlign w:val="bottom"/>
          </w:tcPr>
          <w:p>
            <w:pPr>
              <w:spacing w:after="0"/>
              <w:rPr>
                <w:sz w:val="20"/>
                <w:szCs w:val="20"/>
                <w:color w:val="auto"/>
              </w:rPr>
            </w:pPr>
            <w:r>
              <w:rPr>
                <w:rFonts w:ascii="Arial" w:cs="Arial" w:eastAsia="Arial" w:hAnsi="Arial"/>
                <w:sz w:val="14"/>
                <w:szCs w:val="14"/>
                <w:b w:val="1"/>
                <w:bCs w:val="1"/>
                <w:color w:val="auto"/>
              </w:rPr>
              <w:t>Balance, December 31, 2019</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49,671</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42,110</w:t>
            </w:r>
          </w:p>
        </w:tc>
        <w:tc>
          <w:tcPr>
            <w:tcW w:w="100" w:type="dxa"/>
            <w:vAlign w:val="bottom"/>
          </w:tcPr>
          <w:p>
            <w:pPr>
              <w:spacing w:after="0"/>
              <w:rPr>
                <w:sz w:val="15"/>
                <w:szCs w:val="15"/>
                <w:color w:val="auto"/>
              </w:rPr>
            </w:pPr>
          </w:p>
        </w:tc>
        <w:tc>
          <w:tcPr>
            <w:tcW w:w="4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430,010</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472,428</w:t>
            </w:r>
          </w:p>
        </w:tc>
        <w:tc>
          <w:tcPr>
            <w:tcW w:w="0" w:type="dxa"/>
            <w:vAlign w:val="bottom"/>
          </w:tcPr>
          <w:p>
            <w:pPr>
              <w:spacing w:after="0"/>
              <w:rPr>
                <w:sz w:val="1"/>
                <w:szCs w:val="1"/>
                <w:color w:val="auto"/>
              </w:rPr>
            </w:pPr>
          </w:p>
        </w:tc>
      </w:tr>
      <w:tr>
        <w:trPr>
          <w:trHeight w:val="184"/>
        </w:trPr>
        <w:tc>
          <w:tcPr>
            <w:tcW w:w="43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13,280</w:t>
            </w:r>
          </w:p>
        </w:tc>
        <w:tc>
          <w:tcPr>
            <w:tcW w:w="0" w:type="dxa"/>
            <w:vAlign w:val="bottom"/>
          </w:tcPr>
          <w:p>
            <w:pPr>
              <w:spacing w:after="0"/>
              <w:rPr>
                <w:sz w:val="1"/>
                <w:szCs w:val="1"/>
                <w:color w:val="auto"/>
              </w:rPr>
            </w:pPr>
          </w:p>
        </w:tc>
      </w:tr>
      <w:tr>
        <w:trPr>
          <w:trHeight w:val="189"/>
        </w:trPr>
        <w:tc>
          <w:tcPr>
            <w:tcW w:w="4320" w:type="dxa"/>
            <w:vAlign w:val="bottom"/>
          </w:tcPr>
          <w:p>
            <w:pPr>
              <w:ind w:left="120"/>
              <w:spacing w:after="0"/>
              <w:rPr>
                <w:sz w:val="20"/>
                <w:szCs w:val="20"/>
                <w:color w:val="auto"/>
              </w:rPr>
            </w:pPr>
            <w:r>
              <w:rPr>
                <w:rFonts w:ascii="Arial" w:cs="Arial" w:eastAsia="Arial" w:hAnsi="Arial"/>
                <w:sz w:val="14"/>
                <w:szCs w:val="14"/>
                <w:color w:val="auto"/>
              </w:rPr>
              <w:t>Other comprehensive loss, net of tax</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(6,106)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(6,106)</w:t>
            </w:r>
          </w:p>
        </w:tc>
        <w:tc>
          <w:tcPr>
            <w:tcW w:w="0" w:type="dxa"/>
            <w:vAlign w:val="bottom"/>
          </w:tcPr>
          <w:p>
            <w:pPr>
              <w:spacing w:after="0"/>
              <w:rPr>
                <w:sz w:val="1"/>
                <w:szCs w:val="1"/>
                <w:color w:val="auto"/>
              </w:rPr>
            </w:pPr>
          </w:p>
        </w:tc>
      </w:tr>
      <w:tr>
        <w:trPr>
          <w:trHeight w:val="189"/>
        </w:trPr>
        <w:tc>
          <w:tcPr>
            <w:tcW w:w="432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24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2,985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2,985</w:t>
            </w:r>
          </w:p>
        </w:tc>
        <w:tc>
          <w:tcPr>
            <w:tcW w:w="0" w:type="dxa"/>
            <w:vAlign w:val="bottom"/>
          </w:tcPr>
          <w:p>
            <w:pPr>
              <w:spacing w:after="0"/>
              <w:rPr>
                <w:sz w:val="1"/>
                <w:szCs w:val="1"/>
                <w:color w:val="auto"/>
              </w:rPr>
            </w:pPr>
          </w:p>
        </w:tc>
      </w:tr>
      <w:tr>
        <w:trPr>
          <w:trHeight w:val="189"/>
        </w:trPr>
        <w:tc>
          <w:tcPr>
            <w:tcW w:w="432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7"/>
        </w:trPr>
        <w:tc>
          <w:tcPr>
            <w:tcW w:w="4320" w:type="dxa"/>
            <w:vAlign w:val="bottom"/>
          </w:tcPr>
          <w:p>
            <w:pPr>
              <w:ind w:left="120"/>
              <w:spacing w:after="0" w:line="147" w:lineRule="exact"/>
              <w:rPr>
                <w:sz w:val="20"/>
                <w:szCs w:val="20"/>
                <w:color w:val="auto"/>
              </w:rPr>
            </w:pPr>
            <w:r>
              <w:rPr>
                <w:rFonts w:ascii="Arial" w:cs="Arial" w:eastAsia="Arial" w:hAnsi="Arial"/>
                <w:sz w:val="14"/>
                <w:szCs w:val="14"/>
                <w:color w:val="auto"/>
              </w:rPr>
              <w:t>Shares retired for settlement of employee taxes upon issuance of</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(1,945)</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(1,945)</w:t>
            </w:r>
          </w:p>
        </w:tc>
        <w:tc>
          <w:tcPr>
            <w:tcW w:w="0" w:type="dxa"/>
            <w:vAlign w:val="bottom"/>
          </w:tcPr>
          <w:p>
            <w:pPr>
              <w:spacing w:after="0"/>
              <w:rPr>
                <w:sz w:val="1"/>
                <w:szCs w:val="1"/>
                <w:color w:val="auto"/>
              </w:rPr>
            </w:pPr>
          </w:p>
        </w:tc>
      </w:tr>
      <w:tr>
        <w:trPr>
          <w:trHeight w:val="182"/>
        </w:trPr>
        <w:tc>
          <w:tcPr>
            <w:tcW w:w="4320" w:type="dxa"/>
            <w:vAlign w:val="bottom"/>
          </w:tcPr>
          <w:p>
            <w:pPr>
              <w:ind w:left="120"/>
              <w:spacing w:after="0"/>
              <w:rPr>
                <w:sz w:val="20"/>
                <w:szCs w:val="20"/>
                <w:color w:val="auto"/>
              </w:rPr>
            </w:pPr>
            <w:r>
              <w:rPr>
                <w:rFonts w:ascii="Arial" w:cs="Arial" w:eastAsia="Arial" w:hAnsi="Arial"/>
                <w:sz w:val="14"/>
                <w:szCs w:val="14"/>
                <w:color w:val="auto"/>
              </w:rPr>
              <w:t>vested equity awards</w:t>
            </w: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120"/>
              <w:spacing w:after="0"/>
              <w:rPr>
                <w:sz w:val="20"/>
                <w:szCs w:val="20"/>
                <w:color w:val="auto"/>
              </w:rPr>
            </w:pPr>
            <w:r>
              <w:rPr>
                <w:rFonts w:ascii="Arial" w:cs="Arial" w:eastAsia="Arial" w:hAnsi="Arial"/>
                <w:sz w:val="14"/>
                <w:szCs w:val="14"/>
                <w:color w:val="auto"/>
              </w:rPr>
              <w:t>Common stock issued to acquire non-controlling interest in nTelos</w:t>
            </w:r>
          </w:p>
        </w:tc>
        <w:tc>
          <w:tcPr>
            <w:tcW w:w="124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20"/>
                <w:szCs w:val="20"/>
                <w:color w:val="auto"/>
              </w:rPr>
            </w:pPr>
            <w:r>
              <w:rPr>
                <w:rFonts w:ascii="Arial" w:cs="Arial" w:eastAsia="Arial" w:hAnsi="Arial"/>
                <w:sz w:val="14"/>
                <w:szCs w:val="14"/>
                <w:b w:val="1"/>
                <w:bCs w:val="1"/>
                <w:color w:val="auto"/>
              </w:rPr>
              <w:t>Balance, March 31, 2020</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49,842</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43,158</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443,290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(5,798)</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480,650</w:t>
            </w: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right="5320"/>
        <w:spacing w:after="0" w:line="278" w:lineRule="auto"/>
        <w:rPr>
          <w:sz w:val="20"/>
          <w:szCs w:val="20"/>
          <w:color w:val="auto"/>
        </w:rPr>
      </w:pPr>
      <w:r>
        <w:rPr>
          <w:rFonts w:ascii="Arial" w:cs="Arial" w:eastAsia="Arial" w:hAnsi="Arial"/>
          <w:sz w:val="16"/>
          <w:szCs w:val="16"/>
          <w:b w:val="1"/>
          <w:bCs w:val="1"/>
          <w:color w:val="auto"/>
        </w:rPr>
        <w:t>SHENANDOAH TELECOMMUNICATIONS COMPANY AND SUBSIDIARIES UNAUDITED CONDENSED CONSOLIDATED STATEMENTS OF CASH FLOWS</w:t>
      </w:r>
    </w:p>
    <w:p>
      <w:pPr>
        <w:ind w:left="8920"/>
        <w:spacing w:after="0" w:line="228" w:lineRule="auto"/>
        <w:rPr>
          <w:sz w:val="20"/>
          <w:szCs w:val="20"/>
          <w:color w:val="auto"/>
        </w:rPr>
      </w:pPr>
      <w:r>
        <w:rPr>
          <w:rFonts w:ascii="Arial" w:cs="Arial" w:eastAsia="Arial" w:hAnsi="Arial"/>
          <w:sz w:val="18"/>
          <w:szCs w:val="18"/>
          <w:b w:val="1"/>
          <w:bCs w:val="1"/>
          <w:color w:val="auto"/>
        </w:rPr>
        <w:t>Three Months Ended</w:t>
      </w:r>
    </w:p>
    <w:tbl>
      <w:tblPr>
        <w:tblLayout w:type="fixed"/>
        <w:tblInd w:w="20" w:type="dxa"/>
        <w:tblCellMar>
          <w:top w:w="0" w:type="dxa"/>
          <w:left w:w="0" w:type="dxa"/>
          <w:bottom w:w="0" w:type="dxa"/>
          <w:right w:w="0" w:type="dxa"/>
        </w:tblCellMar>
      </w:tblPr>
      <w:tr>
        <w:trPr>
          <w:trHeight w:val="214"/>
        </w:trPr>
        <w:tc>
          <w:tcPr>
            <w:tcW w:w="822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04"/>
        </w:trPr>
        <w:tc>
          <w:tcPr>
            <w:tcW w:w="8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6"/>
        </w:trPr>
        <w:tc>
          <w:tcPr>
            <w:tcW w:w="822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51,521</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13,280</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Income from discontinued operations, net of tax</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48,472</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13,130</w:t>
            </w:r>
          </w:p>
        </w:tc>
      </w:tr>
      <w:tr>
        <w:trPr>
          <w:trHeight w:val="209"/>
        </w:trPr>
        <w:tc>
          <w:tcPr>
            <w:tcW w:w="8220" w:type="dxa"/>
            <w:vAlign w:val="bottom"/>
          </w:tcPr>
          <w:p>
            <w:pPr>
              <w:ind w:left="120"/>
              <w:spacing w:after="0"/>
              <w:rPr>
                <w:sz w:val="20"/>
                <w:szCs w:val="20"/>
                <w:color w:val="auto"/>
              </w:rPr>
            </w:pPr>
            <w:r>
              <w:rPr>
                <w:rFonts w:ascii="Arial" w:cs="Arial" w:eastAsia="Arial" w:hAnsi="Arial"/>
                <w:sz w:val="16"/>
                <w:szCs w:val="16"/>
                <w:color w:val="auto"/>
              </w:rPr>
              <w:t>Income from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13,043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11,931</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Accretion of asset retirement obligations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Bad debt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Stock based compensation expense, net of amount capitalized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2,739</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5,256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Gain from patronage and investments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2,998</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Current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(4,334)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(388)</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666</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(1,732)</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1,262</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Lease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Other deferrals and accruals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(4,037)</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(3,673)</w:t>
            </w:r>
          </w:p>
        </w:tc>
      </w:tr>
      <w:tr>
        <w:trPr>
          <w:trHeight w:val="209"/>
        </w:trPr>
        <w:tc>
          <w:tcPr>
            <w:tcW w:w="822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 - continuing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9,136</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13,254</w:t>
            </w:r>
          </w:p>
        </w:tc>
      </w:tr>
      <w:tr>
        <w:trPr>
          <w:trHeight w:val="210"/>
        </w:trPr>
        <w:tc>
          <w:tcPr>
            <w:tcW w:w="822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 - discontinued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75,530</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47,854</w:t>
            </w:r>
          </w:p>
        </w:tc>
      </w:tr>
      <w:tr>
        <w:trPr>
          <w:trHeight w:val="210"/>
        </w:trPr>
        <w:tc>
          <w:tcPr>
            <w:tcW w:w="822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84,666</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61,108</w:t>
            </w:r>
          </w:p>
        </w:tc>
      </w:tr>
      <w:tr>
        <w:trPr>
          <w:trHeight w:val="304"/>
        </w:trPr>
        <w:tc>
          <w:tcPr>
            <w:tcW w:w="82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(39,482)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(23,362)</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Proceeds from sale of assets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r>
      <w:tr>
        <w:trPr>
          <w:trHeight w:val="210"/>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investing activities -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(39,468)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(23,099)</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investing activities - discontinued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(8,926)</w:t>
            </w:r>
          </w:p>
        </w:tc>
      </w:tr>
      <w:tr>
        <w:trPr>
          <w:trHeight w:val="210"/>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(40,350)</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(32,025)</w:t>
            </w:r>
          </w:p>
        </w:tc>
      </w:tr>
      <w:tr>
        <w:trPr>
          <w:trHeight w:val="304"/>
        </w:trPr>
        <w:tc>
          <w:tcPr>
            <w:tcW w:w="82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Taxes paid for equity award issuances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(1,945)</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Payments for financing arrangements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financing activities -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(1,972)</w:t>
            </w: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financing activities - discontinued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(8,549)</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(8,530)</w:t>
            </w:r>
          </w:p>
        </w:tc>
      </w:tr>
      <w:tr>
        <w:trPr>
          <w:trHeight w:val="209"/>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(10,531)</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(10,502)</w:t>
            </w:r>
          </w:p>
        </w:tc>
      </w:tr>
      <w:tr>
        <w:trPr>
          <w:trHeight w:val="210"/>
        </w:trPr>
        <w:tc>
          <w:tcPr>
            <w:tcW w:w="8220" w:type="dxa"/>
            <w:vAlign w:val="bottom"/>
          </w:tcPr>
          <w:p>
            <w:pPr>
              <w:ind w:left="12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33,785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18,581</w:t>
            </w: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195,397</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101,651</w:t>
            </w:r>
          </w:p>
        </w:tc>
      </w:tr>
      <w:tr>
        <w:trPr>
          <w:trHeight w:val="213"/>
        </w:trPr>
        <w:tc>
          <w:tcPr>
            <w:tcW w:w="8220" w:type="dxa"/>
            <w:vAlign w:val="bottom"/>
          </w:tcPr>
          <w:p>
            <w:pPr>
              <w:ind w:left="120"/>
              <w:spacing w:after="0"/>
              <w:rPr>
                <w:sz w:val="20"/>
                <w:szCs w:val="20"/>
                <w:color w:val="auto"/>
              </w:rPr>
            </w:pPr>
            <w:r>
              <w:rPr>
                <w:rFonts w:ascii="Arial" w:cs="Arial" w:eastAsia="Arial" w:hAnsi="Arial"/>
                <w:sz w:val="16"/>
                <w:szCs w:val="16"/>
                <w:b w:val="1"/>
                <w:bCs w:val="1"/>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229,182</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120,232</w:t>
            </w:r>
          </w:p>
        </w:tc>
      </w:tr>
      <w:tr>
        <w:trPr>
          <w:trHeight w:val="24"/>
        </w:trPr>
        <w:tc>
          <w:tcPr>
            <w:tcW w:w="8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Other Information</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12529"/>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Arial" w:cs="Arial" w:eastAsia="Arial" w:hAnsi="Arial"/>
          <w:sz w:val="16"/>
          <w:szCs w:val="16"/>
          <w:color w:val="000000"/>
        </w:rPr>
        <w:t>year ended December 31, 2020.</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12529"/>
        </w:rPr>
        <w:t>The preparation of the unaudited interim consolidated financial statements requires management of the Company to make estimates and assumptions that affect the reported amounts of assets, liabilities, revenues and expenses and the disclosure of contingencies at the date of the unaudited interim condensed consolidated financial statements. These estimates are inherently subject to judgment and actual results could differ.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Adoption of New Accounting Principles</w:t>
      </w: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material developments related to recently issued accounting standards, including the expected dates of adoption and estimated effects on the Company's unaudited condensed consolidated financial statements and note disclosures, from those disclosed in the Company's 2020 Annual Report on Form 10-K, that would be expected to impact the Company.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On August 26, 2020, Sprint Corporation ("Sprint"), an indirect subsidiary of T-Mobile US, Inc., ("T-Mobile"), on behalf of and as the direct or indirect owner of Sprint PCS, delivered notice to the Company exercising its option to purchase the assets and operations of our Wireless operations for 90% of the “Entire Business Value” (as defined under our affiliate agreement and determined pursuant to the appraisal process set forth therein). Shortly thereafter, the Company committed to a plan to sell the discontinued Wireless operations.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final and binding appraisal process that determined the transaction price was completed on February 1, 2021. Expected sale proceeds are $1.95 billion based upon the appraisal process and other agreements between the parties.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closing of the sale is now expected to occur in the third quarter of 2021, subject to execution of the definitive asset purchase agreement, securing required regulatory approvals and customary closing conditions. The Company and T-Mobile submitted required regulatory filings to the Department of Justice (DOJ), the Federal Communications Commission (FCC), and the Public Service Commission of West Virginia (PSCWV), in March 2021. The premerger notification waiting period under the Hart-Scott Rodino Antitrust Improvements Act of 1976, as amended, expired on April 26, 2021, without the DOJ’s Antitrust Division or the Federal Trade Commission taking any action in connection with the proposed transaction thus allowing the parties to consummate the transaction upon receipt of pending regulatory approvals from the FCC and the PSCWV.</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The assets and liabilities that are expected to transfer in the sale are presented as held for sale within our unaudited condensed consolidated balance sheets, and discontinued operations within our unaudited condensed consolidated statements of comprehensive income. This disposal group excludes the accounts receivable and certain current liabilities generated by our Wireless operations because they are expected to be settled separately from the sale. Such accounts receivable totaled $49.4 million and $51.7 million at March 31, 2021 and December 31, 2020, respectively, and such current liabilities totaled $4.9 million and $6.1 million at March 31, 2021 and December 31, 2020, respectively. Our identification of assets and liabilities held for sale could change based on the terms of the final asset purchase agreement.</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The transaction is structured as an asset sale for income tax purposes. As a result, no current or deferred tax assets or liabilities are included within the disposal group. While our long-term debt does not transfer in the sale, its provisions require us to repay all of the debt upon consummation of the sale. Our debt is therefore presented outside of the disposal group as a current liability at December 31, 2020. Our related interest rate swap liabilities are also presented outside of the disposal group as a current liability at December 31, 2020, because management intends to settle them at consummation. Because repayment of the debt is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212529"/>
        </w:rPr>
        <w:t>contractually triggered by the sale, the related interest expense is presented within discontinued operations under the relevant authoritative guidance.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the major classes of assets and liabilities, which are classified as held for sale in the consolidated balance sheets, are as follows:</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0"/>
        </w:trPr>
        <w:tc>
          <w:tcPr>
            <w:tcW w:w="822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3,651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5,746</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42,942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47,003</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299,246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299,647</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166,103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176,459</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146,383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146,383</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420,410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421,586</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Deferred charges and other assets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36,470</w:t>
            </w:r>
          </w:p>
        </w:tc>
        <w:tc>
          <w:tcPr>
            <w:tcW w:w="0" w:type="dxa"/>
            <w:vAlign w:val="bottom"/>
          </w:tcPr>
          <w:p>
            <w:pPr>
              <w:spacing w:after="0"/>
              <w:rPr>
                <w:sz w:val="1"/>
                <w:szCs w:val="1"/>
                <w:color w:val="auto"/>
              </w:rPr>
            </w:pPr>
          </w:p>
        </w:tc>
      </w:tr>
      <w:tr>
        <w:trPr>
          <w:trHeight w:val="223"/>
        </w:trPr>
        <w:tc>
          <w:tcPr>
            <w:tcW w:w="8220" w:type="dxa"/>
            <w:vAlign w:val="bottom"/>
          </w:tcPr>
          <w:p>
            <w:pPr>
              <w:ind w:left="240"/>
              <w:spacing w:after="0"/>
              <w:rPr>
                <w:sz w:val="20"/>
                <w:szCs w:val="20"/>
                <w:color w:val="auto"/>
              </w:rPr>
            </w:pPr>
            <w:r>
              <w:rPr>
                <w:rFonts w:ascii="Arial" w:cs="Arial" w:eastAsia="Arial" w:hAnsi="Arial"/>
                <w:sz w:val="18"/>
                <w:szCs w:val="18"/>
                <w:color w:val="auto"/>
              </w:rPr>
              <w:t>Current assets held for sale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1,117,528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1,133,294</w:t>
            </w:r>
          </w:p>
        </w:tc>
        <w:tc>
          <w:tcPr>
            <w:tcW w:w="0" w:type="dxa"/>
            <w:vAlign w:val="bottom"/>
          </w:tcPr>
          <w:p>
            <w:pPr>
              <w:spacing w:after="0"/>
              <w:rPr>
                <w:sz w:val="1"/>
                <w:szCs w:val="1"/>
                <w:color w:val="auto"/>
              </w:rPr>
            </w:pPr>
          </w:p>
        </w:tc>
      </w:tr>
      <w:tr>
        <w:trPr>
          <w:trHeight w:val="21"/>
        </w:trPr>
        <w:tc>
          <w:tcPr>
            <w:tcW w:w="82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398,340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409,887</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Accrued liabilities and other</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8,770</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Asset retirement obligations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33,545</w:t>
            </w:r>
          </w:p>
        </w:tc>
        <w:tc>
          <w:tcPr>
            <w:tcW w:w="0" w:type="dxa"/>
            <w:vAlign w:val="bottom"/>
          </w:tcPr>
          <w:p>
            <w:pPr>
              <w:spacing w:after="0"/>
              <w:rPr>
                <w:sz w:val="1"/>
                <w:szCs w:val="1"/>
                <w:color w:val="auto"/>
              </w:rPr>
            </w:pPr>
          </w:p>
        </w:tc>
      </w:tr>
      <w:tr>
        <w:trPr>
          <w:trHeight w:val="223"/>
        </w:trPr>
        <w:tc>
          <w:tcPr>
            <w:tcW w:w="8220" w:type="dxa"/>
            <w:vAlign w:val="bottom"/>
          </w:tcPr>
          <w:p>
            <w:pPr>
              <w:ind w:left="240"/>
              <w:spacing w:after="0"/>
              <w:rPr>
                <w:sz w:val="20"/>
                <w:szCs w:val="20"/>
                <w:color w:val="auto"/>
              </w:rPr>
            </w:pPr>
            <w:r>
              <w:rPr>
                <w:rFonts w:ascii="Arial" w:cs="Arial" w:eastAsia="Arial" w:hAnsi="Arial"/>
                <w:sz w:val="18"/>
                <w:szCs w:val="18"/>
                <w:color w:val="auto"/>
              </w:rPr>
              <w:t>Current liabilities held for sale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443,089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452,202</w:t>
            </w: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Income from discontinued operations, net of tax in the consolidated statements of comprehensive income consist of the following:</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16"/>
                <w:szCs w:val="16"/>
                <w:color w:val="auto"/>
              </w:rPr>
            </w:pPr>
          </w:p>
        </w:tc>
        <w:tc>
          <w:tcPr>
            <w:tcW w:w="268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822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8220" w:type="dxa"/>
            <w:vAlign w:val="bottom"/>
          </w:tcPr>
          <w:p>
            <w:pPr>
              <w:ind w:left="120"/>
              <w:spacing w:after="0"/>
              <w:rPr>
                <w:sz w:val="20"/>
                <w:szCs w:val="20"/>
                <w:color w:val="auto"/>
              </w:rPr>
            </w:pPr>
            <w:r>
              <w:rPr>
                <w:rFonts w:ascii="Arial" w:cs="Arial" w:eastAsia="Arial" w:hAnsi="Arial"/>
                <w:sz w:val="18"/>
                <w:szCs w:val="18"/>
                <w:color w:val="auto"/>
              </w:rPr>
              <w:t>Service revenue and other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100,674</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91,388</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Equipment revenue</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12,750</w:t>
            </w:r>
          </w:p>
        </w:tc>
        <w:tc>
          <w:tcPr>
            <w:tcW w:w="0" w:type="dxa"/>
            <w:vAlign w:val="bottom"/>
          </w:tcPr>
          <w:p>
            <w:pPr>
              <w:spacing w:after="0"/>
              <w:rPr>
                <w:sz w:val="1"/>
                <w:szCs w:val="1"/>
                <w:color w:val="auto"/>
              </w:rPr>
            </w:pPr>
          </w:p>
        </w:tc>
      </w:tr>
      <w:tr>
        <w:trPr>
          <w:trHeight w:val="223"/>
        </w:trPr>
        <w:tc>
          <w:tcPr>
            <w:tcW w:w="822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107,073</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104,138</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Cost of services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19,427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33,439</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12,528</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10,702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8,930</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6"/>
                <w:szCs w:val="16"/>
                <w:color w:val="auto"/>
              </w:rPr>
              <w:t>Restructuring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24,826</w:t>
            </w:r>
          </w:p>
        </w:tc>
        <w:tc>
          <w:tcPr>
            <w:tcW w:w="0" w:type="dxa"/>
            <w:vAlign w:val="bottom"/>
          </w:tcPr>
          <w:p>
            <w:pPr>
              <w:spacing w:after="0"/>
              <w:rPr>
                <w:sz w:val="1"/>
                <w:szCs w:val="1"/>
                <w:color w:val="auto"/>
              </w:rPr>
            </w:pPr>
          </w:p>
        </w:tc>
      </w:tr>
      <w:tr>
        <w:trPr>
          <w:trHeight w:val="223"/>
        </w:trPr>
        <w:tc>
          <w:tcPr>
            <w:tcW w:w="822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36,561</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79,723</w:t>
            </w:r>
          </w:p>
        </w:tc>
        <w:tc>
          <w:tcPr>
            <w:tcW w:w="0" w:type="dxa"/>
            <w:vAlign w:val="bottom"/>
          </w:tcPr>
          <w:p>
            <w:pPr>
              <w:spacing w:after="0"/>
              <w:rPr>
                <w:sz w:val="1"/>
                <w:szCs w:val="1"/>
                <w:color w:val="auto"/>
              </w:rPr>
            </w:pPr>
          </w:p>
        </w:tc>
      </w:tr>
      <w:tr>
        <w:trPr>
          <w:trHeight w:val="223"/>
        </w:trPr>
        <w:tc>
          <w:tcPr>
            <w:tcW w:w="822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70,512</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24,415</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w:t>
            </w:r>
          </w:p>
        </w:tc>
        <w:tc>
          <w:tcPr>
            <w:tcW w:w="0" w:type="dxa"/>
            <w:vAlign w:val="bottom"/>
          </w:tcPr>
          <w:p>
            <w:pPr>
              <w:spacing w:after="0"/>
              <w:rPr>
                <w:sz w:val="1"/>
                <w:szCs w:val="1"/>
                <w:color w:val="auto"/>
              </w:rPr>
            </w:pPr>
          </w:p>
        </w:tc>
      </w:tr>
      <w:tr>
        <w:trPr>
          <w:trHeight w:val="222"/>
        </w:trPr>
        <w:tc>
          <w:tcPr>
            <w:tcW w:w="822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66,128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18,187</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17,656</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8"/>
                <w:szCs w:val="18"/>
                <w:color w:val="auto"/>
              </w:rPr>
              <w:t>Income from discontinued operations, net of tax</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Under the relevant authoritative guidance, consummation of the sale will trigger or accelerate the recognition of certain expense related to contingent deal advisory fees, severance costs, recognition of our interest rate swap losses in net income, and loss on debt extinguishment. Our estimate of the related range of reasonably possible expense extends from $0 if the sale is not consummated to $36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from Contracts with Customers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Broadband segment provides broadband data, video and voice services to residential and commercial customers in portions of Virginia, West Virginia, Maryland, Pennsylvania and Kentucky, via fiber optic, hybrid fiber coaxial cable, and fixed wireless networks. The Broadband segment also provides voice and DSL telephone services to customers in Virginia’s Shenandoah County and portions of adjacent counties as a Rural Local Exchange Carrier (“RLEC”).</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contracts are generally cancellable at the customer’s discretion without penalty at any time. We allocate the total transaction price in these transactions based upon the standalone selling price of each distinct good or service. We generally recognize these revenues over time as customers simultaneously receive and consume the benefits of the service, with the exception of equipment sales and home wiring, which are recognized as revenue at a point in time when control transfers and when installation is complete, respectively. Installation fees, charged upfront without transfer of commensurate goods or services to the customer, are allocated to services and are recognized ratably over the longer of the contract term or the period in which the unrecognized fee remains material to the contract, which we estimate to be about one year. Additionally, the Company incurs commission and installation costs related to in-house and third-party vendors which are capitalized and amortized over the expected weighted average customer life which is approximately five years.</w:t>
      </w:r>
    </w:p>
    <w:p>
      <w:pPr>
        <w:spacing w:after="0" w:line="21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Broadband segment also provides Ethernet and Wavelength fiber optic services to commercial fiber customers under capacity agreements, and the related revenue is recognized over time. In some cases, non-refundable upfront fees are charged for connecting commercial fiber customers to our fiber network. Those amounts are recognized ratably over the longer of the contract term or the period in which the unrecognized fee remains material to the respective contract. A related contract liability of $2.8 million was recognized at March 31, 2021, which we expect to recognize into revenue at the rate of approximately $0.8 million per year.</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Broadband segment also leases dedicated fiber optic strands to customers as part of “dark fiber” agreements, which are accounted for as leases under ASC 842, Leases.</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Tower segment leases space on owned cell towers to our Wireless and Broadband segments, and to other wireless carriers. Revenue from these leases is accounted for under ASC 842.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14, </w:t>
      </w:r>
      <w:r>
        <w:rPr>
          <w:rFonts w:ascii="Arial" w:cs="Arial" w:eastAsia="Arial" w:hAnsi="Arial"/>
          <w:sz w:val="18"/>
          <w:szCs w:val="18"/>
          <w:i w:val="1"/>
          <w:iCs w:val="1"/>
          <w:color w:val="auto"/>
        </w:rPr>
        <w:t>Segment Reporting</w:t>
      </w:r>
      <w:r>
        <w:rPr>
          <w:rFonts w:ascii="Arial" w:cs="Arial" w:eastAsia="Arial" w:hAnsi="Arial"/>
          <w:sz w:val="18"/>
          <w:szCs w:val="18"/>
          <w:color w:val="auto"/>
        </w:rPr>
        <w:t>, for a summary of these revenue streams.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Broadband segment's capitalized contract acquisition and fulfillment costs: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824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14,669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11,005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Contract payments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11,663</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Note 4. Investments</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8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40" w:type="dxa"/>
            <w:vAlign w:val="bottom"/>
          </w:tcPr>
          <w:p>
            <w:pPr>
              <w:spacing w:after="0"/>
              <w:rPr>
                <w:sz w:val="20"/>
                <w:szCs w:val="20"/>
                <w:color w:val="auto"/>
              </w:rPr>
            </w:pPr>
            <w:r>
              <w:rPr>
                <w:rFonts w:ascii="Arial" w:cs="Arial" w:eastAsia="Arial" w:hAnsi="Arial"/>
                <w:sz w:val="18"/>
                <w:szCs w:val="18"/>
                <w:color w:val="auto"/>
              </w:rPr>
              <w:t>Investments consist of the following:</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824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8240" w:type="dxa"/>
            <w:vAlign w:val="bottom"/>
          </w:tcPr>
          <w:p>
            <w:pPr>
              <w:ind w:left="20"/>
              <w:spacing w:after="0"/>
              <w:rPr>
                <w:sz w:val="20"/>
                <w:szCs w:val="20"/>
                <w:color w:val="auto"/>
              </w:rPr>
            </w:pPr>
            <w:r>
              <w:rPr>
                <w:rFonts w:ascii="Arial" w:cs="Arial" w:eastAsia="Arial" w:hAnsi="Arial"/>
                <w:sz w:val="18"/>
                <w:szCs w:val="18"/>
                <w:color w:val="auto"/>
              </w:rPr>
              <w:t>SERP Investments at fair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Cost method investments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10,536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SERP Investments at Fair Value: </w:t>
      </w:r>
      <w:r>
        <w:rPr>
          <w:rFonts w:ascii="Arial" w:cs="Arial" w:eastAsia="Arial" w:hAnsi="Arial"/>
          <w:sz w:val="18"/>
          <w:szCs w:val="18"/>
          <w:color w:val="auto"/>
        </w:rPr>
        <w:t>The Supplemental Executive Retirement Plan (“SERP”) is a benefit plan that provides deferred compensation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The Company holds the related investments in a rabbi trust as a source of funding for future payments under the plan. The SERP’s investments were designated as trading securities and will be liquidated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paid out to the participants upon retirement. The benefit obligation to participants is always equal to the value of the SERP assets under ASC 710, </w:t>
      </w:r>
      <w:r>
        <w:rPr>
          <w:rFonts w:ascii="Arial" w:cs="Arial" w:eastAsia="Arial" w:hAnsi="Arial"/>
          <w:sz w:val="17"/>
          <w:szCs w:val="17"/>
          <w:i w:val="1"/>
          <w:iCs w:val="1"/>
          <w:color w:val="auto"/>
        </w:rPr>
        <w:t>Compensation</w:t>
      </w:r>
      <w:r>
        <w:rPr>
          <w:rFonts w:ascii="Arial" w:cs="Arial" w:eastAsia="Arial" w:hAnsi="Arial"/>
          <w:sz w:val="17"/>
          <w:szCs w:val="17"/>
          <w:color w:val="auto"/>
        </w:rPr>
        <w:t>. Changes to the investments' fair value are presented in Other income (expense), while the reciprocal changes in the liability are presented in</w:t>
      </w:r>
      <w:r>
        <w:rPr>
          <w:rFonts w:ascii="Arial" w:cs="Arial" w:eastAsia="Arial" w:hAnsi="Arial"/>
          <w:sz w:val="17"/>
          <w:szCs w:val="17"/>
          <w:i w:val="1"/>
          <w:iCs w:val="1"/>
          <w:color w:val="auto"/>
        </w:rPr>
        <w:t xml:space="preserve"> </w:t>
      </w:r>
      <w:r>
        <w:rPr>
          <w:rFonts w:ascii="Arial" w:cs="Arial" w:eastAsia="Arial" w:hAnsi="Arial"/>
          <w:sz w:val="17"/>
          <w:szCs w:val="17"/>
          <w:color w:val="auto"/>
        </w:rPr>
        <w:t>selling, general and administrative expense. At March 31, 2021, an additional $0.8 million of SERP investments were presented as prepaid expenses and other (current assets) as we intend to liquidate certain investments to pay the current portion of our SERP obligation.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Cost Method Investments</w:t>
      </w:r>
      <w:r>
        <w:rPr>
          <w:rFonts w:ascii="Arial" w:cs="Arial" w:eastAsia="Arial" w:hAnsi="Arial"/>
          <w:sz w:val="18"/>
          <w:szCs w:val="18"/>
          <w:color w:val="auto"/>
        </w:rPr>
        <w:t>: Our investment in CoBank’s Class A common stock represented substantially all of our cost method investments with a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of $10.0 million and $9.8 million at March 31, 2021 and December 31, 2020, respectively. We recognized approximately $1.0 million of patronage income in Other income (expense) in both the three months ended March 31, 2021 and 2020. Historically, approximately 75% of the patronage distributions were collected in cash and 25% in equity.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Equity Method Investments: </w:t>
      </w:r>
      <w:r>
        <w:rPr>
          <w:rFonts w:ascii="Arial" w:cs="Arial" w:eastAsia="Arial" w:hAnsi="Arial"/>
          <w:sz w:val="18"/>
          <w:szCs w:val="18"/>
          <w:color w:val="auto"/>
        </w:rPr>
        <w:t>At March 31, 2021, the Company had a 20.0% ownership interest in Valley Network Partnership (“ValleyNet”).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ValleyNet purchase capacity on one another’s fiber network. We recognized revenue of $0.2 million from providing service to ValleyNet during both of the three months ended March 31, 2021 and 2020, respectively. We recognized Cost of service of $0.5 million and $0.8 million for the use of ValleyNet’s network during the three months ended March 31, 2021 and 2020,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Note 5. Property, Plant and Equipment</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5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16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Estimated Useful</w:t>
            </w:r>
          </w:p>
        </w:tc>
        <w:tc>
          <w:tcPr>
            <w:tcW w:w="22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65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1"/>
              </w:rPr>
              <w:t>Lives</w:t>
            </w:r>
          </w:p>
        </w:tc>
        <w:tc>
          <w:tcPr>
            <w:tcW w:w="220" w:type="dxa"/>
            <w:vAlign w:val="bottom"/>
          </w:tcPr>
          <w:p>
            <w:pPr>
              <w:spacing w:after="0"/>
              <w:rPr>
                <w:sz w:val="19"/>
                <w:szCs w:val="19"/>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6580" w:type="dxa"/>
            <w:vAlign w:val="bottom"/>
          </w:tcPr>
          <w:p>
            <w:pPr>
              <w:ind w:left="20"/>
              <w:spacing w:after="0"/>
              <w:rPr>
                <w:sz w:val="20"/>
                <w:szCs w:val="20"/>
                <w:color w:val="auto"/>
              </w:rPr>
            </w:pPr>
            <w:r>
              <w:rPr>
                <w:rFonts w:ascii="Arial" w:cs="Arial" w:eastAsia="Arial" w:hAnsi="Arial"/>
                <w:sz w:val="18"/>
                <w:szCs w:val="18"/>
                <w:color w:val="auto"/>
              </w:rPr>
              <w:t>Land</w:t>
            </w:r>
          </w:p>
        </w:tc>
        <w:tc>
          <w:tcPr>
            <w:tcW w:w="5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Land improvements</w:t>
            </w:r>
          </w:p>
        </w:tc>
        <w:tc>
          <w:tcPr>
            <w:tcW w:w="1660" w:type="dxa"/>
            <w:vAlign w:val="bottom"/>
            <w:gridSpan w:val="3"/>
          </w:tcPr>
          <w:p>
            <w:pPr>
              <w:jc w:val="center"/>
              <w:ind w:right="140"/>
              <w:spacing w:after="0"/>
              <w:rPr>
                <w:sz w:val="20"/>
                <w:szCs w:val="20"/>
                <w:color w:val="auto"/>
              </w:rPr>
            </w:pPr>
            <w:r>
              <w:rPr>
                <w:rFonts w:ascii="Arial" w:cs="Arial" w:eastAsia="Arial" w:hAnsi="Arial"/>
                <w:sz w:val="18"/>
                <w:szCs w:val="18"/>
                <w:color w:val="auto"/>
                <w:w w:val="86"/>
              </w:rPr>
              <w:t>10 years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Buildings and structures</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- 40 years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92,974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91,335</w:t>
            </w: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Cable and fiber</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- 30 years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407,341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390,209</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Equipment and software</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- 8 years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329,087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331,047</w:t>
            </w:r>
          </w:p>
        </w:tc>
        <w:tc>
          <w:tcPr>
            <w:tcW w:w="0" w:type="dxa"/>
            <w:vAlign w:val="bottom"/>
          </w:tcPr>
          <w:p>
            <w:pPr>
              <w:spacing w:after="0"/>
              <w:rPr>
                <w:sz w:val="1"/>
                <w:szCs w:val="1"/>
                <w:color w:val="auto"/>
              </w:rPr>
            </w:pPr>
          </w:p>
        </w:tc>
      </w:tr>
      <w:tr>
        <w:trPr>
          <w:trHeight w:val="222"/>
        </w:trPr>
        <w:tc>
          <w:tcPr>
            <w:tcW w:w="6580" w:type="dxa"/>
            <w:vAlign w:val="bottom"/>
          </w:tcPr>
          <w:p>
            <w:pPr>
              <w:ind w:left="140"/>
              <w:spacing w:after="0"/>
              <w:rPr>
                <w:sz w:val="20"/>
                <w:szCs w:val="20"/>
                <w:color w:val="auto"/>
              </w:rPr>
            </w:pPr>
            <w:r>
              <w:rPr>
                <w:rFonts w:ascii="Arial" w:cs="Arial" w:eastAsia="Arial" w:hAnsi="Arial"/>
                <w:sz w:val="18"/>
                <w:szCs w:val="18"/>
                <w:color w:val="auto"/>
              </w:rPr>
              <w:t>Plant in service</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836,314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819,410</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Plant under construction</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49,417</w:t>
            </w:r>
          </w:p>
        </w:tc>
        <w:tc>
          <w:tcPr>
            <w:tcW w:w="0" w:type="dxa"/>
            <w:vAlign w:val="bottom"/>
          </w:tcPr>
          <w:p>
            <w:pPr>
              <w:spacing w:after="0"/>
              <w:rPr>
                <w:sz w:val="1"/>
                <w:szCs w:val="1"/>
                <w:color w:val="auto"/>
              </w:rPr>
            </w:pPr>
          </w:p>
        </w:tc>
      </w:tr>
      <w:tr>
        <w:trPr>
          <w:trHeight w:val="222"/>
        </w:trPr>
        <w:tc>
          <w:tcPr>
            <w:tcW w:w="6580" w:type="dxa"/>
            <w:vAlign w:val="bottom"/>
          </w:tcPr>
          <w:p>
            <w:pPr>
              <w:ind w:left="140"/>
              <w:spacing w:after="0"/>
              <w:rPr>
                <w:sz w:val="20"/>
                <w:szCs w:val="20"/>
                <w:color w:val="auto"/>
              </w:rPr>
            </w:pPr>
            <w:r>
              <w:rPr>
                <w:rFonts w:ascii="Arial" w:cs="Arial" w:eastAsia="Arial" w:hAnsi="Arial"/>
                <w:sz w:val="18"/>
                <w:szCs w:val="18"/>
                <w:color w:val="auto"/>
              </w:rPr>
              <w:t>Total property, plant and equipment</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906,683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868,827</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Less: accumulated amortization and depreciation</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428,400</w:t>
            </w:r>
          </w:p>
        </w:tc>
        <w:tc>
          <w:tcPr>
            <w:tcW w:w="0" w:type="dxa"/>
            <w:vAlign w:val="bottom"/>
          </w:tcPr>
          <w:p>
            <w:pPr>
              <w:spacing w:after="0"/>
              <w:rPr>
                <w:sz w:val="1"/>
                <w:szCs w:val="1"/>
                <w:color w:val="auto"/>
              </w:rPr>
            </w:pPr>
          </w:p>
        </w:tc>
      </w:tr>
      <w:tr>
        <w:trPr>
          <w:trHeight w:val="223"/>
        </w:trPr>
        <w:tc>
          <w:tcPr>
            <w:tcW w:w="65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468,383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440,427</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net, increased due primarily to capital expenditures in the Broadband segment driven by our Glo Fiber and Beam market expansions.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consisted of the following:</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March 31, 2021</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7"/>
              </w:rPr>
              <w:t>December 31, 2020</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5"/>
                <w:szCs w:val="15"/>
                <w:color w:val="auto"/>
              </w:rPr>
            </w:pPr>
          </w:p>
        </w:tc>
        <w:tc>
          <w:tcPr>
            <w:tcW w:w="10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7"/>
              </w:rPr>
              <w:t>Carrying</w:t>
            </w:r>
          </w:p>
        </w:tc>
        <w:tc>
          <w:tcPr>
            <w:tcW w:w="150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w w:val="99"/>
              </w:rPr>
              <w:t>Amortization and</w:t>
            </w:r>
          </w:p>
        </w:tc>
        <w:tc>
          <w:tcPr>
            <w:tcW w:w="220" w:type="dxa"/>
            <w:vAlign w:val="bottom"/>
          </w:tcPr>
          <w:p>
            <w:pPr>
              <w:spacing w:after="0"/>
              <w:rPr>
                <w:sz w:val="15"/>
                <w:szCs w:val="15"/>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Net</w:t>
            </w: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5"/>
                <w:szCs w:val="15"/>
                <w:color w:val="auto"/>
              </w:rPr>
            </w:pPr>
          </w:p>
        </w:tc>
        <w:tc>
          <w:tcPr>
            <w:tcW w:w="152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rPr>
              <w:t>Amortization and</w:t>
            </w:r>
          </w:p>
        </w:tc>
        <w:tc>
          <w:tcPr>
            <w:tcW w:w="220" w:type="dxa"/>
            <w:vAlign w:val="bottom"/>
          </w:tcPr>
          <w:p>
            <w:pPr>
              <w:spacing w:after="0"/>
              <w:rPr>
                <w:sz w:val="15"/>
                <w:szCs w:val="15"/>
                <w:color w:val="auto"/>
              </w:rPr>
            </w:pPr>
          </w:p>
        </w:tc>
        <w:tc>
          <w:tcPr>
            <w:tcW w:w="7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30"/>
        </w:trPr>
        <w:tc>
          <w:tcPr>
            <w:tcW w:w="3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Goodwill - Broadband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2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Indefinite-lived intangibles: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8"/>
                <w:szCs w:val="18"/>
                <w:color w:val="auto"/>
              </w:rPr>
              <w:t>Cable franchise rights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64,334</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64,334</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64,334</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8"/>
                <w:szCs w:val="18"/>
                <w:color w:val="auto"/>
              </w:rPr>
              <w:t>FCC spectrum licenses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29,958</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Railroad crossing rights</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Arial" w:cs="Arial" w:eastAsia="Arial" w:hAnsi="Arial"/>
                <w:sz w:val="18"/>
                <w:szCs w:val="18"/>
                <w:color w:val="auto"/>
              </w:rPr>
              <w:t>Total indefinite-lived intangibles</w:t>
            </w: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94,433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94,433</w:t>
            </w:r>
          </w:p>
        </w:tc>
        <w:tc>
          <w:tcPr>
            <w:tcW w:w="0" w:type="dxa"/>
            <w:vAlign w:val="bottom"/>
          </w:tcPr>
          <w:p>
            <w:pPr>
              <w:spacing w:after="0"/>
              <w:rPr>
                <w:sz w:val="1"/>
                <w:szCs w:val="1"/>
                <w:color w:val="auto"/>
              </w:rPr>
            </w:pPr>
          </w:p>
        </w:tc>
      </w:tr>
      <w:tr>
        <w:trPr>
          <w:trHeight w:val="479"/>
        </w:trPr>
        <w:tc>
          <w:tcPr>
            <w:tcW w:w="3720" w:type="dxa"/>
            <w:vAlign w:val="bottom"/>
          </w:tcPr>
          <w:p>
            <w:pPr>
              <w:spacing w:after="0"/>
              <w:rPr>
                <w:sz w:val="20"/>
                <w:szCs w:val="20"/>
                <w:color w:val="auto"/>
              </w:rPr>
            </w:pPr>
            <w:r>
              <w:rPr>
                <w:rFonts w:ascii="Arial" w:cs="Arial" w:eastAsia="Arial" w:hAnsi="Arial"/>
                <w:sz w:val="18"/>
                <w:szCs w:val="18"/>
                <w:color w:val="auto"/>
              </w:rPr>
              <w:t>Finite-lived intangibles: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8"/>
                <w:szCs w:val="18"/>
                <w:color w:val="auto"/>
              </w:rPr>
              <w:t>FCC spectrum licenses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6,471</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8"/>
                <w:szCs w:val="18"/>
                <w:color w:val="auto"/>
              </w:rPr>
              <w:t>Subscriber relationships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(26,113)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Other intangibles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Arial" w:cs="Arial" w:eastAsia="Arial" w:hAnsi="Arial"/>
                <w:sz w:val="18"/>
                <w:szCs w:val="18"/>
                <w:color w:val="auto"/>
              </w:rPr>
              <w:t>Total finite-lived intangibles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w:t>
            </w:r>
          </w:p>
        </w:tc>
        <w:tc>
          <w:tcPr>
            <w:tcW w:w="0" w:type="dxa"/>
            <w:vAlign w:val="bottom"/>
          </w:tcPr>
          <w:p>
            <w:pPr>
              <w:spacing w:after="0"/>
              <w:rPr>
                <w:sz w:val="1"/>
                <w:szCs w:val="1"/>
                <w:color w:val="auto"/>
              </w:rPr>
            </w:pPr>
          </w:p>
        </w:tc>
      </w:tr>
      <w:tr>
        <w:trPr>
          <w:trHeight w:val="223"/>
        </w:trPr>
        <w:tc>
          <w:tcPr>
            <w:tcW w:w="3720" w:type="dxa"/>
            <w:vAlign w:val="bottom"/>
          </w:tcPr>
          <w:p>
            <w:pPr>
              <w:ind w:left="340"/>
              <w:spacing w:after="0"/>
              <w:rPr>
                <w:sz w:val="20"/>
                <w:szCs w:val="20"/>
                <w:color w:val="auto"/>
              </w:rPr>
            </w:pPr>
            <w:r>
              <w:rPr>
                <w:rFonts w:ascii="Arial" w:cs="Arial" w:eastAsia="Arial" w:hAnsi="Arial"/>
                <w:sz w:val="18"/>
                <w:szCs w:val="18"/>
                <w:color w:val="auto"/>
              </w:rPr>
              <w:t>Total goodwill and intangible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133,376</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106,543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133,376</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106,759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acquired Canaan Cable ("Canaan") on December 31, 2020. The $2.1 million acquisition price was allocated as follows: $1.1 million of property, plant and equipment; $0.4 million to subscriber relationships; and $0.6 million of goodwill. We remitted $1.89 million of the acquisition price at closing.</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During the third quarter of 2020, the Company completed the purchase of certain indefinite-lived CBRS spectrum licenses for an aggregate cost of $16.1 million, within our Broadband segment. Spectrum licenses in the CBRS band are issued by the Federal Communications Commission (“FCC”) and provide us priority access rights over general access users other than incumbents, in that specific band, in accordance with the FCC’s three-tier CBRS band spectrum sharing framework to utilize designated radio frequency spectrum within specific geographic service areas to provide wireless communication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and 2020, amortization expense was approximately $0.2 million and $0.2 million,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7.   Other Assets and Accrued Liabilities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240" w:type="dxa"/>
            <w:vAlign w:val="bottom"/>
          </w:tcPr>
          <w:p>
            <w:pPr>
              <w:spacing w:after="0"/>
              <w:rPr>
                <w:sz w:val="20"/>
                <w:szCs w:val="20"/>
                <w:color w:val="auto"/>
              </w:rPr>
            </w:pPr>
            <w:r>
              <w:rPr>
                <w:rFonts w:ascii="Arial" w:cs="Arial" w:eastAsia="Arial" w:hAnsi="Arial"/>
                <w:sz w:val="18"/>
                <w:szCs w:val="18"/>
                <w:color w:val="auto"/>
              </w:rPr>
              <w:t>Prepaid expenses and other, classified as current assets, included the following:</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0"/>
        </w:trPr>
        <w:tc>
          <w:tcPr>
            <w:tcW w:w="824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8240" w:type="dxa"/>
            <w:vAlign w:val="bottom"/>
          </w:tcPr>
          <w:p>
            <w:pPr>
              <w:ind w:left="20"/>
              <w:spacing w:after="0"/>
              <w:rPr>
                <w:sz w:val="20"/>
                <w:szCs w:val="20"/>
                <w:color w:val="auto"/>
              </w:rPr>
            </w:pPr>
            <w:r>
              <w:rPr>
                <w:rFonts w:ascii="Arial" w:cs="Arial" w:eastAsia="Arial" w:hAnsi="Arial"/>
                <w:sz w:val="18"/>
                <w:szCs w:val="18"/>
                <w:color w:val="auto"/>
              </w:rPr>
              <w:t>Prepaid maintenance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6,089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Broadband contract acquisition and fulfillment costs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SERP investments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i w:val="1"/>
                <w:iCs w:val="1"/>
                <w:color w:val="0000FF"/>
                <w:w w:val="88"/>
              </w:rPr>
            </w:pPr>
            <w:hyperlink w:anchor="page1">
              <w:r>
                <w:rPr>
                  <w:rFonts w:ascii="Arial" w:cs="Arial" w:eastAsia="Arial" w:hAnsi="Arial"/>
                  <w:sz w:val="18"/>
                  <w:szCs w:val="18"/>
                  <w:i w:val="1"/>
                  <w:iCs w:val="1"/>
                  <w:color w:val="0000FF"/>
                  <w:w w:val="88"/>
                </w:rPr>
                <w:t>Table of Contents</w:t>
              </w:r>
            </w:hyperlink>
          </w:p>
        </w:tc>
        <w:tc>
          <w:tcPr>
            <w:tcW w:w="6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8240" w:type="dxa"/>
            <w:vAlign w:val="bottom"/>
            <w:gridSpan w:val="2"/>
          </w:tcPr>
          <w:p>
            <w:pPr>
              <w:spacing w:after="0"/>
              <w:rPr>
                <w:sz w:val="20"/>
                <w:szCs w:val="20"/>
                <w:color w:val="auto"/>
              </w:rPr>
            </w:pPr>
            <w:r>
              <w:rPr>
                <w:rFonts w:ascii="Arial" w:cs="Arial" w:eastAsia="Arial" w:hAnsi="Arial"/>
                <w:sz w:val="18"/>
                <w:szCs w:val="18"/>
                <w:color w:val="auto"/>
              </w:rPr>
              <w:t>Deferred charges and other assets, classified as long-term assets, included the following:</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0"/>
        </w:trPr>
        <w:tc>
          <w:tcPr>
            <w:tcW w:w="8240" w:type="dxa"/>
            <w:vAlign w:val="bottom"/>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2"/>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Broadband contract acquisition and fulfillment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10,252</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23"/>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Deferred charges and other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11,650</w:t>
            </w:r>
          </w:p>
        </w:tc>
        <w:tc>
          <w:tcPr>
            <w:tcW w:w="0" w:type="dxa"/>
            <w:vAlign w:val="bottom"/>
          </w:tcPr>
          <w:p>
            <w:pPr>
              <w:spacing w:after="0"/>
              <w:rPr>
                <w:sz w:val="1"/>
                <w:szCs w:val="1"/>
                <w:color w:val="auto"/>
              </w:rPr>
            </w:pPr>
          </w:p>
        </w:tc>
      </w:tr>
      <w:tr>
        <w:trPr>
          <w:trHeight w:val="21"/>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Accrued liabilities and other, classified as current liabilities, included the following:</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2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0"/>
        </w:trPr>
        <w:tc>
          <w:tcPr>
            <w:tcW w:w="8240" w:type="dxa"/>
            <w:vAlign w:val="bottom"/>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2"/>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Accrued programming costs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Sales and property taxes payable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Restructuring accrual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23"/>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Accrued liabilities and other</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13,869</w:t>
            </w:r>
          </w:p>
        </w:tc>
        <w:tc>
          <w:tcPr>
            <w:tcW w:w="0" w:type="dxa"/>
            <w:vAlign w:val="bottom"/>
          </w:tcPr>
          <w:p>
            <w:pPr>
              <w:spacing w:after="0"/>
              <w:rPr>
                <w:sz w:val="1"/>
                <w:szCs w:val="1"/>
                <w:color w:val="auto"/>
              </w:rPr>
            </w:pPr>
          </w:p>
        </w:tc>
      </w:tr>
      <w:tr>
        <w:trPr>
          <w:trHeight w:val="21"/>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Other liabilities, classified as long-term liabilities, included the following:</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82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9"/>
        </w:trPr>
        <w:tc>
          <w:tcPr>
            <w:tcW w:w="8240" w:type="dxa"/>
            <w:vAlign w:val="bottom"/>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2"/>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Noncurrent portion of deferred lease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18,610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18,687</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FCC spectrum license obligations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Noncurrent portion of financing leases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23"/>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24,905</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three months ended March 31, 2021, we implemented a restructuring plan whereby certain employees will leave the Company during the second quarter of 2021. We recognized a restructuring accrual for severance benefits payable to those employees totaling $0.8 million. Of that amount, $0.6 million was presented within income from continuing operations, and $0.2 million was presented within income from discontinued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lease various telecommunications sites, warehouses, retail stores, and office facilities for use in our business. These agreements include fixed rental payments as well as variable rental payments, such as those based on relevant inflation indices. The accounting lease term includes optional renewal periods that we are reasonably certain to exercise based on our assessment of relevant contractual and economic factors. The related lease payments are discounted at lease commencement using the Company's incremental borrowing rate in order to measure the lease liability and ROU asset.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incremental borrowing rate is determined using a portfolio approach based on the rate of interest that the Company would have to pay to borrow an amount equal to the lease payments on a collateralized basis over a similar term. The Company uses the observable unsecured borrowing rate and risk-adjusts that rate to approximate a collateralized rate. At March 31, 2021, our operating leases had a weighted average remaining lease term of 22 years and a weighted average discount rate of 4.5%. Our finance leases had a weighted average remaining lease term of 14 years and a weighted average discount rate of 5.2%.</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each of the three months ended March 31, 2021 and 2020, we recognized $1.4 million of operating lease expense. We recognized $0.2 million and $0.1 million of interest and depreciation expense on finance leases during the three months ended March 31, 2021 and 2020, respectively. Operating lease expense is presented in cost of service or selling, general and administrative expense based on the use of the relevant facility. Variable lease payments and short-term lease expense were both immaterial. We remitted $1.5 million and $1.0 million of operating lease payments during the three months ended March 31, 2021 and 2020, respectively. We also obtained $2.7 million and $0.3 million of leased assets in exchange for new operating lease liabilities recognized during the three months ended March 31, 2021 and 2020, respectively.</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4"/>
          </w:tcPr>
          <w:p>
            <w:pPr>
              <w:spacing w:after="0"/>
              <w:rPr>
                <w:sz w:val="20"/>
                <w:szCs w:val="20"/>
                <w:color w:val="auto"/>
              </w:rPr>
            </w:pPr>
            <w:r>
              <w:rPr>
                <w:rFonts w:ascii="Arial" w:cs="Arial" w:eastAsia="Arial" w:hAnsi="Arial"/>
                <w:sz w:val="18"/>
                <w:szCs w:val="18"/>
                <w:color w:val="auto"/>
                <w:w w:val="98"/>
              </w:rPr>
              <w:t>The following table summarizes the expected maturity of lease liabilities at March 31, 2021:</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6"/>
        </w:trPr>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2"/>
                <w:szCs w:val="22"/>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rPr>
              <w:t>Operating Leases</w:t>
            </w:r>
          </w:p>
        </w:tc>
        <w:tc>
          <w:tcPr>
            <w:tcW w:w="240" w:type="dxa"/>
            <w:vAlign w:val="bottom"/>
          </w:tcPr>
          <w:p>
            <w:pPr>
              <w:spacing w:after="0"/>
              <w:rPr>
                <w:sz w:val="22"/>
                <w:szCs w:val="22"/>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Finance Leases</w:t>
            </w:r>
          </w:p>
        </w:tc>
        <w:tc>
          <w:tcPr>
            <w:tcW w:w="440" w:type="dxa"/>
            <w:vAlign w:val="bottom"/>
          </w:tcPr>
          <w:p>
            <w:pPr>
              <w:spacing w:after="0"/>
              <w:rPr>
                <w:sz w:val="22"/>
                <w:szCs w:val="22"/>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rPr>
              <w:t>Total</w:t>
            </w: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3,639</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3,746</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4,695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4,870</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4,251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4,428</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4,073</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3,853</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66,791</w:t>
            </w: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85,391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87,761</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35,282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35,977</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50,109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51,784</w:t>
            </w:r>
          </w:p>
        </w:tc>
      </w:tr>
      <w:tr>
        <w:trPr>
          <w:trHeight w:val="21"/>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recognized $2.4 million and $2.1 million of operating lease revenue during the three months ended March 31, 2021 and 2020, respectively, related to the cell site colocation space and dedicated fiber optic strands that we lease to our customers, which is included in Service and other revenue in the consolidated statements of comprehensive income. Substantially all of our lease revenue relates to fixed lease payments.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Below is a summary of our minimum rental receipts under the lease agreements in place at March 31, 2021:</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6"/>
        </w:trPr>
        <w:tc>
          <w:tcPr>
            <w:tcW w:w="9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Operating Leases</w:t>
            </w:r>
          </w:p>
        </w:tc>
      </w:tr>
      <w:tr>
        <w:trPr>
          <w:trHeight w:val="222"/>
        </w:trPr>
        <w:tc>
          <w:tcPr>
            <w:tcW w:w="926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6,137</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7,198</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5,668</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4,526</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3,465</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7,109</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34,103</w:t>
            </w:r>
          </w:p>
        </w:tc>
      </w:tr>
      <w:tr>
        <w:trPr>
          <w:trHeight w:val="21"/>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syndicated Credit Agreement includes a $75 million, five-year undrawn revolving credit facility, as well as the following term loans: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1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18"/>
                <w:szCs w:val="18"/>
                <w:color w:val="auto"/>
              </w:rPr>
            </w:pPr>
          </w:p>
        </w:tc>
        <w:tc>
          <w:tcPr>
            <w:tcW w:w="1720" w:type="dxa"/>
            <w:vAlign w:val="bottom"/>
            <w:gridSpan w:val="2"/>
          </w:tcPr>
          <w:p>
            <w:pPr>
              <w:ind w:left="24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8"/>
                <w:szCs w:val="18"/>
                <w:color w:val="auto"/>
              </w:rPr>
            </w:pPr>
          </w:p>
        </w:tc>
        <w:tc>
          <w:tcPr>
            <w:tcW w:w="168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7160" w:type="dxa"/>
            <w:vAlign w:val="bottom"/>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Term loan A-1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222,154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229,437</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Term loan A-2</w:t>
            </w: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467,234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468,481</w:t>
            </w:r>
          </w:p>
        </w:tc>
        <w:tc>
          <w:tcPr>
            <w:tcW w:w="0" w:type="dxa"/>
            <w:vAlign w:val="bottom"/>
          </w:tcPr>
          <w:p>
            <w:pPr>
              <w:spacing w:after="0"/>
              <w:rPr>
                <w:sz w:val="1"/>
                <w:szCs w:val="1"/>
                <w:color w:val="auto"/>
              </w:rPr>
            </w:pPr>
          </w:p>
        </w:tc>
      </w:tr>
      <w:tr>
        <w:trPr>
          <w:trHeight w:val="222"/>
        </w:trPr>
        <w:tc>
          <w:tcPr>
            <w:tcW w:w="7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689,388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697,918</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Less: unamortized loan fees</w:t>
            </w: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8,857</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Total debt, net of unamortized loan fees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688,463</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Term Loan A-1 bears interest at one-month LIBOR plus a margin of 1.50%, while Term Loan A-2 bears interest at one-month LIBOR plus a margin of 1.75%. LIBOR resets monthly. Our cash payments for interest were $3.9 million and $5.8 million during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As shown below, as of March 31, 2021, the Company was in compliance with the financial covenants in its credit agreements.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40" w:type="dxa"/>
            <w:vAlign w:val="bottom"/>
            <w:vMerge w:val="restart"/>
          </w:tcPr>
          <w:p>
            <w:pPr>
              <w:spacing w:after="0"/>
              <w:rPr>
                <w:sz w:val="20"/>
                <w:szCs w:val="20"/>
                <w:color w:val="auto"/>
              </w:rPr>
            </w:pPr>
            <w:r>
              <w:rPr>
                <w:rFonts w:ascii="Arial" w:cs="Arial" w:eastAsia="Arial" w:hAnsi="Arial"/>
                <w:sz w:val="18"/>
                <w:szCs w:val="18"/>
                <w:color w:val="auto"/>
              </w:rPr>
              <w:t>Total leverage ratio</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Actual</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Covenant Requirement</w:t>
            </w:r>
          </w:p>
        </w:tc>
        <w:tc>
          <w:tcPr>
            <w:tcW w:w="0" w:type="dxa"/>
            <w:vAlign w:val="bottom"/>
          </w:tcPr>
          <w:p>
            <w:pPr>
              <w:spacing w:after="0"/>
              <w:rPr>
                <w:sz w:val="1"/>
                <w:szCs w:val="1"/>
                <w:color w:val="auto"/>
              </w:rPr>
            </w:pPr>
          </w:p>
        </w:tc>
      </w:tr>
      <w:tr>
        <w:trPr>
          <w:trHeight w:val="222"/>
        </w:trPr>
        <w:tc>
          <w:tcPr>
            <w:tcW w:w="684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3.25 or Lower</w:t>
            </w: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2.0 or Higher</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Minimum liquidity balance (in millions)</w:t>
            </w: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304.2</w:t>
            </w:r>
          </w:p>
        </w:tc>
        <w:tc>
          <w:tcPr>
            <w:tcW w:w="12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$25.0 or Higher</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Rate quotations provided by a group of banks that sustain LIBOR will no longer be required after 2021. As a result, it is uncertain whether LIBOR will continue to be quoted after 2021. Our term loans and interest rate swaps identify LIBOR as a reference rate and mature after 2021. Alternative reference rates that replace LIBOR may not yield the same or similar economic results over the terms of the financial instruments. The transition from LIBOR could result in us paying higher or lower interest rates on our current LIBOR-indexed term loans, affect the fair value of the derivative instruments we hold, or affect our ability to effectively use interest rate swaps to manage interest rate risk. Our Credit Agreement includes provisions that provide for the identification of a LIBOR replacement rate. Due to the uncertainty regarding the transition from LIBOR-indexed financial instruments, including when it will happen, and the manner in which an alternative reference rate will apply, we cannot yet reasonably estimate the expected financial impact of the LIBOR transition.</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As discussed in Note 2, </w:t>
      </w:r>
      <w:r>
        <w:rPr>
          <w:rFonts w:ascii="Arial" w:cs="Arial" w:eastAsia="Arial" w:hAnsi="Arial"/>
          <w:sz w:val="17"/>
          <w:szCs w:val="17"/>
          <w:i w:val="1"/>
          <w:iCs w:val="1"/>
          <w:color w:val="auto"/>
        </w:rPr>
        <w:t>Discontinued Operations</w:t>
      </w:r>
      <w:r>
        <w:rPr>
          <w:rFonts w:ascii="Arial" w:cs="Arial" w:eastAsia="Arial" w:hAnsi="Arial"/>
          <w:sz w:val="17"/>
          <w:szCs w:val="17"/>
          <w:color w:val="auto"/>
        </w:rPr>
        <w:t>, the terms of our long term debt agreements require us to repay all of our debt upon consummation of the sale of our Wireless operations, which is expected to occur during the third quarter of 2021. Management also intends to settle the related interest rate swaps upon consummation. Both are therefore presented outside of the disposal group as a current liability at March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Derivatives and Hedging</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Company's interest rate swaps are pay-fixed (1.16%), receive-variable (one month LIBOR) that hedged approximately 40% of outstanding debt with outstanding notional amounts totaling $275.3 million and $328.7 million as of March 31, 2021 and 2020, respectively.</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these instruments was estimated using an income approach and observable market inputs. The hedge was determined to be highly effective and therefore all of the change in its fair value was recognized through other comprehensive income.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gridSpan w:val="4"/>
          </w:tcPr>
          <w:p>
            <w:pPr>
              <w:spacing w:after="0"/>
              <w:rPr>
                <w:sz w:val="20"/>
                <w:szCs w:val="20"/>
                <w:color w:val="auto"/>
              </w:rPr>
            </w:pPr>
            <w:r>
              <w:rPr>
                <w:rFonts w:ascii="Arial" w:cs="Arial" w:eastAsia="Arial" w:hAnsi="Arial"/>
                <w:sz w:val="18"/>
                <w:szCs w:val="18"/>
                <w:color w:val="auto"/>
                <w:w w:val="94"/>
              </w:rPr>
              <w:t>The table below summarizes changes in accumulated other comprehensive income (loss) by component:</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0" w:type="dxa"/>
            <w:vAlign w:val="bottom"/>
          </w:tcPr>
          <w:p>
            <w:pPr>
              <w:spacing w:after="0"/>
              <w:rPr>
                <w:sz w:val="1"/>
                <w:szCs w:val="1"/>
                <w:color w:val="auto"/>
              </w:rPr>
            </w:pPr>
          </w:p>
        </w:tc>
      </w:tr>
      <w:tr>
        <w:trPr>
          <w:trHeight w:val="175"/>
        </w:trPr>
        <w:tc>
          <w:tcPr>
            <w:tcW w:w="6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7"/>
              </w:rPr>
              <w:t>Gains (Losses) on</w:t>
            </w:r>
          </w:p>
        </w:tc>
        <w:tc>
          <w:tcPr>
            <w:tcW w:w="240" w:type="dxa"/>
            <w:vAlign w:val="bottom"/>
          </w:tcPr>
          <w:p>
            <w:pPr>
              <w:spacing w:after="0"/>
              <w:rPr>
                <w:sz w:val="15"/>
                <w:szCs w:val="15"/>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Income Tax</w:t>
            </w:r>
          </w:p>
        </w:tc>
        <w:tc>
          <w:tcPr>
            <w:tcW w:w="160" w:type="dxa"/>
            <w:vAlign w:val="bottom"/>
          </w:tcPr>
          <w:p>
            <w:pPr>
              <w:spacing w:after="0"/>
              <w:rPr>
                <w:sz w:val="15"/>
                <w:szCs w:val="15"/>
                <w:color w:val="auto"/>
              </w:rPr>
            </w:pPr>
          </w:p>
        </w:tc>
        <w:tc>
          <w:tcPr>
            <w:tcW w:w="14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175"/>
        </w:trPr>
        <w:tc>
          <w:tcPr>
            <w:tcW w:w="6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0" w:type="dxa"/>
            <w:vAlign w:val="bottom"/>
          </w:tcPr>
          <w:p>
            <w:pPr>
              <w:spacing w:after="0"/>
              <w:rPr>
                <w:sz w:val="1"/>
                <w:szCs w:val="1"/>
                <w:color w:val="auto"/>
              </w:rPr>
            </w:pPr>
          </w:p>
        </w:tc>
      </w:tr>
      <w:tr>
        <w:trPr>
          <w:trHeight w:val="175"/>
        </w:trPr>
        <w:tc>
          <w:tcPr>
            <w:tcW w:w="6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5"/>
                <w:szCs w:val="15"/>
                <w:color w:val="auto"/>
              </w:rPr>
            </w:pPr>
          </w:p>
        </w:tc>
        <w:tc>
          <w:tcPr>
            <w:tcW w:w="158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8"/>
              </w:rPr>
              <w:t>Cash Flow</w:t>
            </w:r>
          </w:p>
        </w:tc>
        <w:tc>
          <w:tcPr>
            <w:tcW w:w="240" w:type="dxa"/>
            <w:vAlign w:val="bottom"/>
          </w:tcPr>
          <w:p>
            <w:pPr>
              <w:spacing w:after="0"/>
              <w:rPr>
                <w:sz w:val="15"/>
                <w:szCs w:val="15"/>
                <w:color w:val="auto"/>
              </w:rPr>
            </w:pPr>
          </w:p>
        </w:tc>
        <w:tc>
          <w:tcPr>
            <w:tcW w:w="146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88"/>
              </w:rPr>
              <w:t>(Expense)</w:t>
            </w:r>
          </w:p>
        </w:tc>
        <w:tc>
          <w:tcPr>
            <w:tcW w:w="16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Income (Loss), net</w:t>
            </w:r>
          </w:p>
        </w:tc>
        <w:tc>
          <w:tcPr>
            <w:tcW w:w="0" w:type="dxa"/>
            <w:vAlign w:val="bottom"/>
          </w:tcPr>
          <w:p>
            <w:pPr>
              <w:spacing w:after="0"/>
              <w:rPr>
                <w:sz w:val="1"/>
                <w:szCs w:val="1"/>
                <w:color w:val="auto"/>
              </w:rPr>
            </w:pPr>
          </w:p>
        </w:tc>
      </w:tr>
      <w:tr>
        <w:trPr>
          <w:trHeight w:val="230"/>
        </w:trPr>
        <w:tc>
          <w:tcPr>
            <w:tcW w:w="6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Hedges</w:t>
            </w:r>
          </w:p>
        </w:tc>
        <w:tc>
          <w:tcPr>
            <w:tcW w:w="240" w:type="dxa"/>
            <w:vAlign w:val="bottom"/>
          </w:tcPr>
          <w:p>
            <w:pPr>
              <w:spacing w:after="0"/>
              <w:rPr>
                <w:sz w:val="19"/>
                <w:szCs w:val="19"/>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Benefit</w:t>
            </w:r>
          </w:p>
        </w:tc>
        <w:tc>
          <w:tcPr>
            <w:tcW w:w="160" w:type="dxa"/>
            <w:vAlign w:val="bottom"/>
          </w:tcPr>
          <w:p>
            <w:pPr>
              <w:spacing w:after="0"/>
              <w:rPr>
                <w:sz w:val="19"/>
                <w:szCs w:val="19"/>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of taxes</w:t>
            </w:r>
          </w:p>
        </w:tc>
        <w:tc>
          <w:tcPr>
            <w:tcW w:w="0" w:type="dxa"/>
            <w:vAlign w:val="bottom"/>
          </w:tcPr>
          <w:p>
            <w:pPr>
              <w:spacing w:after="0"/>
              <w:rPr>
                <w:sz w:val="1"/>
                <w:szCs w:val="1"/>
                <w:color w:val="auto"/>
              </w:rPr>
            </w:pPr>
          </w:p>
        </w:tc>
      </w:tr>
      <w:tr>
        <w:trPr>
          <w:trHeight w:val="222"/>
        </w:trPr>
        <w:tc>
          <w:tcPr>
            <w:tcW w:w="624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Net change in unrealized (loss) gain</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176"/>
        </w:trPr>
        <w:tc>
          <w:tcPr>
            <w:tcW w:w="6240" w:type="dxa"/>
            <w:vAlign w:val="bottom"/>
          </w:tcPr>
          <w:p>
            <w:pPr>
              <w:ind w:left="20"/>
              <w:spacing w:after="0" w:line="176" w:lineRule="exact"/>
              <w:rPr>
                <w:sz w:val="20"/>
                <w:szCs w:val="20"/>
                <w:color w:val="auto"/>
              </w:rPr>
            </w:pPr>
            <w:r>
              <w:rPr>
                <w:rFonts w:ascii="Arial" w:cs="Arial" w:eastAsia="Arial" w:hAnsi="Arial"/>
                <w:sz w:val="18"/>
                <w:szCs w:val="18"/>
                <w:color w:val="auto"/>
                <w:w w:val="90"/>
              </w:rPr>
              <w:t>Amounts reclassified from accumulated other comprehensive income (loss) to interest</w:t>
            </w:r>
          </w:p>
        </w:tc>
        <w:tc>
          <w:tcPr>
            <w:tcW w:w="12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vMerge w:val="restart"/>
          </w:tcPr>
          <w:p>
            <w:pPr>
              <w:ind w:left="1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Balance as of March 31,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files U.S. federal income tax returns and various state income tax returns. The Company is not subject to any state or federal income tax audits as of March 31, 2021. The Company's returns are generally open to examination from 2017 forward and the net operating losses acquired in the acquisition of nTelos are open to examination from 2002 forward.</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tax rates for the three months ended March 31, 2021 and 2020, differ from the statutory U.S. federal income tax rate of 21% primarily due to the state income taxes, excess tax benefits and other discrete items.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tax expense at federal statutory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 income taxes, net of federal tax effect</w:t>
      </w:r>
    </w:p>
    <w:p>
      <w:pPr>
        <w:spacing w:after="0" w:line="23" w:lineRule="exact"/>
        <w:rPr>
          <w:sz w:val="20"/>
          <w:szCs w:val="20"/>
          <w:color w:val="auto"/>
        </w:rPr>
      </w:pPr>
    </w:p>
    <w:p>
      <w:pPr>
        <w:ind w:left="140" w:right="2540" w:hanging="120"/>
        <w:spacing w:after="0" w:line="292" w:lineRule="auto"/>
        <w:rPr>
          <w:sz w:val="20"/>
          <w:szCs w:val="20"/>
          <w:color w:val="auto"/>
        </w:rPr>
      </w:pPr>
      <w:r>
        <w:rPr>
          <w:rFonts w:ascii="Arial" w:cs="Arial" w:eastAsia="Arial" w:hAnsi="Arial"/>
          <w:sz w:val="18"/>
          <w:szCs w:val="18"/>
          <w:color w:val="auto"/>
        </w:rPr>
        <w:t>Excess tax benefit from share based compensation and other, net Income tax (benefit)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w:t>
      </w:r>
    </w:p>
    <w:p>
      <w:pPr>
        <w:jc w:val="center"/>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2"/>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730"/>
              <w:spacing w:after="0"/>
              <w:rPr>
                <w:sz w:val="20"/>
                <w:szCs w:val="20"/>
                <w:color w:val="auto"/>
              </w:rPr>
            </w:pPr>
            <w:r>
              <w:rPr>
                <w:rFonts w:ascii="Arial" w:cs="Arial" w:eastAsia="Arial" w:hAnsi="Arial"/>
                <w:sz w:val="18"/>
                <w:szCs w:val="18"/>
                <w:color w:val="auto"/>
                <w:w w:val="86"/>
              </w:rPr>
              <w:t>834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360" w:type="dxa"/>
            <w:vAlign w:val="bottom"/>
          </w:tcPr>
          <w:p>
            <w:pPr>
              <w:spacing w:after="0"/>
              <w:rPr>
                <w:sz w:val="19"/>
                <w:szCs w:val="19"/>
                <w:color w:val="auto"/>
              </w:rPr>
            </w:pPr>
          </w:p>
        </w:tc>
        <w:tc>
          <w:tcPr>
            <w:tcW w:w="1240" w:type="dxa"/>
            <w:vAlign w:val="bottom"/>
          </w:tcPr>
          <w:p>
            <w:pPr>
              <w:jc w:val="center"/>
              <w:ind w:left="730"/>
              <w:spacing w:after="0"/>
              <w:rPr>
                <w:sz w:val="20"/>
                <w:szCs w:val="20"/>
                <w:color w:val="auto"/>
              </w:rPr>
            </w:pPr>
            <w:r>
              <w:rPr>
                <w:rFonts w:ascii="Arial" w:cs="Arial" w:eastAsia="Arial" w:hAnsi="Arial"/>
                <w:sz w:val="18"/>
                <w:szCs w:val="18"/>
                <w:color w:val="auto"/>
                <w:w w:val="86"/>
              </w:rPr>
              <w:t>315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color w:val="auto"/>
                <w:w w:val="95"/>
              </w:rPr>
              <w:t>(227)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86"/>
              </w:rPr>
              <w:t>922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20" w:space="720"/>
            <w:col w:w="3300"/>
          </w:cols>
          <w:pgMar w:left="320" w:top="125" w:right="339" w:bottom="1440" w:gutter="0" w:footer="0" w:header="0"/>
        </w:sectPr>
      </w:pPr>
    </w:p>
    <w:p>
      <w:pPr>
        <w:spacing w:after="0" w:line="1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Company's cash refunds for income taxes were $0.8 million in the three months ended March 31, 2021. The Company had no significant cash payments or refunds for income taxes during the three months ended March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utilize the treasury stock method to calculate the impact on diluted earnings per share that potentially dilutive stock-based compensation awards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the computation of basic and diluted earnings per share:</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9"/>
        </w:trPr>
        <w:tc>
          <w:tcPr>
            <w:tcW w:w="79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8"/>
                <w:szCs w:val="18"/>
                <w:color w:val="auto"/>
              </w:rPr>
              <w:t>Calculation of net income per share: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12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7920" w:type="dxa"/>
            <w:vAlign w:val="bottom"/>
          </w:tcPr>
          <w:p>
            <w:pPr>
              <w:ind w:left="120"/>
              <w:spacing w:after="0"/>
              <w:rPr>
                <w:sz w:val="20"/>
                <w:szCs w:val="20"/>
                <w:color w:val="auto"/>
              </w:rPr>
            </w:pPr>
            <w:r>
              <w:rPr>
                <w:rFonts w:ascii="Arial" w:cs="Arial" w:eastAsia="Arial" w:hAnsi="Arial"/>
                <w:sz w:val="18"/>
                <w:szCs w:val="18"/>
                <w:color w:val="auto"/>
              </w:rPr>
              <w:t>Income from discontinued operations, net of tax</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48,472</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13,130</w:t>
            </w:r>
          </w:p>
        </w:tc>
        <w:tc>
          <w:tcPr>
            <w:tcW w:w="0" w:type="dxa"/>
            <w:vAlign w:val="bottom"/>
          </w:tcPr>
          <w:p>
            <w:pPr>
              <w:spacing w:after="0"/>
              <w:rPr>
                <w:sz w:val="1"/>
                <w:szCs w:val="1"/>
                <w:color w:val="auto"/>
              </w:rPr>
            </w:pPr>
          </w:p>
        </w:tc>
      </w:tr>
      <w:tr>
        <w:trPr>
          <w:trHeight w:val="223"/>
        </w:trPr>
        <w:tc>
          <w:tcPr>
            <w:tcW w:w="79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51,521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13,280</w:t>
            </w:r>
          </w:p>
        </w:tc>
        <w:tc>
          <w:tcPr>
            <w:tcW w:w="0" w:type="dxa"/>
            <w:vAlign w:val="bottom"/>
          </w:tcPr>
          <w:p>
            <w:pPr>
              <w:spacing w:after="0"/>
              <w:rPr>
                <w:sz w:val="1"/>
                <w:szCs w:val="1"/>
                <w:color w:val="auto"/>
              </w:rPr>
            </w:pPr>
          </w:p>
        </w:tc>
      </w:tr>
      <w:tr>
        <w:trPr>
          <w:trHeight w:val="223"/>
        </w:trPr>
        <w:tc>
          <w:tcPr>
            <w:tcW w:w="7920" w:type="dxa"/>
            <w:vAlign w:val="bottom"/>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49,947</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49,888</w:t>
            </w:r>
          </w:p>
        </w:tc>
        <w:tc>
          <w:tcPr>
            <w:tcW w:w="0" w:type="dxa"/>
            <w:vAlign w:val="bottom"/>
          </w:tcPr>
          <w:p>
            <w:pPr>
              <w:spacing w:after="0"/>
              <w:rPr>
                <w:sz w:val="1"/>
                <w:szCs w:val="1"/>
                <w:color w:val="auto"/>
              </w:rPr>
            </w:pPr>
          </w:p>
        </w:tc>
      </w:tr>
      <w:tr>
        <w:trPr>
          <w:trHeight w:val="223"/>
        </w:trPr>
        <w:tc>
          <w:tcPr>
            <w:tcW w:w="7920" w:type="dxa"/>
            <w:vAlign w:val="bottom"/>
          </w:tcPr>
          <w:p>
            <w:pPr>
              <w:ind w:left="120"/>
              <w:spacing w:after="0"/>
              <w:rPr>
                <w:sz w:val="20"/>
                <w:szCs w:val="20"/>
                <w:color w:val="auto"/>
              </w:rPr>
            </w:pPr>
            <w:r>
              <w:rPr>
                <w:rFonts w:ascii="Arial" w:cs="Arial" w:eastAsia="Arial" w:hAnsi="Arial"/>
                <w:sz w:val="18"/>
                <w:szCs w:val="18"/>
                <w:color w:val="auto"/>
              </w:rPr>
              <w:t>Basic net income per share - continuing operations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20" w:type="dxa"/>
            <w:vAlign w:val="bottom"/>
          </w:tcPr>
          <w:p>
            <w:pPr>
              <w:ind w:left="120"/>
              <w:spacing w:after="0"/>
              <w:rPr>
                <w:sz w:val="20"/>
                <w:szCs w:val="20"/>
                <w:color w:val="auto"/>
              </w:rPr>
            </w:pPr>
            <w:r>
              <w:rPr>
                <w:rFonts w:ascii="Arial" w:cs="Arial" w:eastAsia="Arial" w:hAnsi="Arial"/>
                <w:sz w:val="18"/>
                <w:szCs w:val="18"/>
                <w:color w:val="auto"/>
              </w:rPr>
              <w:t>Basic net income per share - discontinued operations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3"/>
        </w:trPr>
        <w:tc>
          <w:tcPr>
            <w:tcW w:w="7920" w:type="dxa"/>
            <w:vAlign w:val="bottom"/>
          </w:tcPr>
          <w:p>
            <w:pPr>
              <w:ind w:left="220"/>
              <w:spacing w:after="0"/>
              <w:rPr>
                <w:sz w:val="20"/>
                <w:szCs w:val="20"/>
                <w:color w:val="auto"/>
              </w:rPr>
            </w:pPr>
            <w:r>
              <w:rPr>
                <w:rFonts w:ascii="Arial" w:cs="Arial" w:eastAsia="Arial" w:hAnsi="Arial"/>
                <w:sz w:val="18"/>
                <w:szCs w:val="18"/>
                <w:color w:val="auto"/>
              </w:rPr>
              <w:t>Basic net income per share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color w:val="auto"/>
              </w:rPr>
              <w:t>Effect of stock-based compensation awards outstanding:</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7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49,888</w:t>
            </w:r>
          </w:p>
        </w:tc>
        <w:tc>
          <w:tcPr>
            <w:tcW w:w="0" w:type="dxa"/>
            <w:vAlign w:val="bottom"/>
          </w:tcPr>
          <w:p>
            <w:pPr>
              <w:spacing w:after="0"/>
              <w:rPr>
                <w:sz w:val="1"/>
                <w:szCs w:val="1"/>
                <w:color w:val="auto"/>
              </w:rPr>
            </w:pPr>
          </w:p>
        </w:tc>
      </w:tr>
      <w:tr>
        <w:trPr>
          <w:trHeight w:val="230"/>
        </w:trPr>
        <w:tc>
          <w:tcPr>
            <w:tcW w:w="7920" w:type="dxa"/>
            <w:vAlign w:val="bottom"/>
          </w:tcPr>
          <w:p>
            <w:pPr>
              <w:ind w:left="120"/>
              <w:spacing w:after="0"/>
              <w:rPr>
                <w:sz w:val="20"/>
                <w:szCs w:val="20"/>
                <w:color w:val="auto"/>
              </w:rPr>
            </w:pPr>
            <w:r>
              <w:rPr>
                <w:rFonts w:ascii="Arial" w:cs="Arial" w:eastAsia="Arial" w:hAnsi="Arial"/>
                <w:sz w:val="18"/>
                <w:szCs w:val="18"/>
                <w:color w:val="auto"/>
              </w:rPr>
              <w:t>Effect from dilutive shares and options outstanding</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7920" w:type="dxa"/>
            <w:vAlign w:val="bottom"/>
          </w:tcPr>
          <w:p>
            <w:pPr>
              <w:ind w:left="120"/>
              <w:spacing w:after="0"/>
              <w:rPr>
                <w:sz w:val="20"/>
                <w:szCs w:val="20"/>
                <w:color w:val="auto"/>
              </w:rPr>
            </w:pPr>
            <w:r>
              <w:rPr>
                <w:rFonts w:ascii="Arial" w:cs="Arial" w:eastAsia="Arial" w:hAnsi="Arial"/>
                <w:sz w:val="18"/>
                <w:szCs w:val="18"/>
                <w:color w:val="auto"/>
              </w:rPr>
              <w:t>Diluted weighted average shares outstanding</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50,081</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50,036</w:t>
            </w:r>
          </w:p>
        </w:tc>
        <w:tc>
          <w:tcPr>
            <w:tcW w:w="0" w:type="dxa"/>
            <w:vAlign w:val="bottom"/>
          </w:tcPr>
          <w:p>
            <w:pPr>
              <w:spacing w:after="0"/>
              <w:rPr>
                <w:sz w:val="1"/>
                <w:szCs w:val="1"/>
                <w:color w:val="auto"/>
              </w:rPr>
            </w:pPr>
          </w:p>
        </w:tc>
      </w:tr>
      <w:tr>
        <w:trPr>
          <w:trHeight w:val="223"/>
        </w:trPr>
        <w:tc>
          <w:tcPr>
            <w:tcW w:w="7920" w:type="dxa"/>
            <w:vAlign w:val="bottom"/>
          </w:tcPr>
          <w:p>
            <w:pPr>
              <w:ind w:left="120"/>
              <w:spacing w:after="0"/>
              <w:rPr>
                <w:sz w:val="20"/>
                <w:szCs w:val="20"/>
                <w:color w:val="auto"/>
              </w:rPr>
            </w:pPr>
            <w:r>
              <w:rPr>
                <w:rFonts w:ascii="Arial" w:cs="Arial" w:eastAsia="Arial" w:hAnsi="Arial"/>
                <w:sz w:val="18"/>
                <w:szCs w:val="18"/>
                <w:color w:val="auto"/>
              </w:rPr>
              <w:t>Diluted net income per share - continuing operations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20" w:type="dxa"/>
            <w:vAlign w:val="bottom"/>
          </w:tcPr>
          <w:p>
            <w:pPr>
              <w:ind w:left="120"/>
              <w:spacing w:after="0"/>
              <w:rPr>
                <w:sz w:val="20"/>
                <w:szCs w:val="20"/>
                <w:color w:val="auto"/>
              </w:rPr>
            </w:pPr>
            <w:r>
              <w:rPr>
                <w:rFonts w:ascii="Arial" w:cs="Arial" w:eastAsia="Arial" w:hAnsi="Arial"/>
                <w:sz w:val="18"/>
                <w:szCs w:val="18"/>
                <w:color w:val="auto"/>
              </w:rPr>
              <w:t>Diluted net income per share - discontinued operations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3"/>
        </w:trPr>
        <w:tc>
          <w:tcPr>
            <w:tcW w:w="7920" w:type="dxa"/>
            <w:vAlign w:val="bottom"/>
          </w:tcPr>
          <w:p>
            <w:pPr>
              <w:ind w:left="220"/>
              <w:spacing w:after="0"/>
              <w:rPr>
                <w:sz w:val="20"/>
                <w:szCs w:val="20"/>
                <w:color w:val="auto"/>
              </w:rPr>
            </w:pPr>
            <w:r>
              <w:rPr>
                <w:rFonts w:ascii="Arial" w:cs="Arial" w:eastAsia="Arial" w:hAnsi="Arial"/>
                <w:sz w:val="18"/>
                <w:szCs w:val="18"/>
                <w:color w:val="auto"/>
              </w:rPr>
              <w:t>Diluted net income per share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fewer than 100 thousand anti-dilutive awards outstanding during three months ended March 31, 2021 and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committed to make payments to satisfy our lease liabilities and long-term debt. The scheduled payments under those obligations are summarized in the respective notes. We are also committed to make annual payments of approximately $108.0 thousand on our FCC spectrum license obligation through 2039.</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is subject to claims and legal actions that may arise in the ordinary course of business. The Company does not believe that any of these pending claims or legal actions are either probable or reasonably possible of a material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Reporting</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expected divestiture of our Wireless operations represents a strategic shift in the Company’s business and qualifies as a discontinued operation. As a result, the operating results and cash flows related to the Wireless segment have been reflected as discontinued operations in our Unaudited Condensed Consolidated Statements of Comprehensive Income and the Unaudited Condensed Consolidated Statements of Cash Flows. The tables below reflect the results of operations of the Company's reportable segments in continuing operations, consistent with internal reporting used by the Company.</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i w:val="1"/>
                <w:iCs w:val="1"/>
                <w:color w:val="0000FF"/>
                <w:w w:val="88"/>
              </w:rPr>
            </w:pPr>
            <w:hyperlink w:anchor="page1">
              <w:r>
                <w:rPr>
                  <w:rFonts w:ascii="Arial" w:cs="Arial" w:eastAsia="Arial" w:hAnsi="Arial"/>
                  <w:sz w:val="18"/>
                  <w:szCs w:val="18"/>
                  <w:i w:val="1"/>
                  <w:iCs w:val="1"/>
                  <w:color w:val="0000FF"/>
                  <w:w w:val="88"/>
                </w:rPr>
                <w:t>Table of Contents</w:t>
              </w:r>
            </w:hyperlink>
          </w:p>
        </w:tc>
        <w:tc>
          <w:tcPr>
            <w:tcW w:w="3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7"/>
                <w:szCs w:val="17"/>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Broadband</w:t>
            </w:r>
          </w:p>
        </w:tc>
        <w:tc>
          <w:tcPr>
            <w:tcW w:w="300" w:type="dxa"/>
            <w:vAlign w:val="bottom"/>
          </w:tcPr>
          <w:p>
            <w:pPr>
              <w:spacing w:after="0"/>
              <w:rPr>
                <w:sz w:val="17"/>
                <w:szCs w:val="17"/>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Tower</w:t>
            </w:r>
          </w:p>
        </w:tc>
        <w:tc>
          <w:tcPr>
            <w:tcW w:w="180" w:type="dxa"/>
            <w:vAlign w:val="bottom"/>
          </w:tcPr>
          <w:p>
            <w:pPr>
              <w:spacing w:after="0"/>
              <w:rPr>
                <w:sz w:val="17"/>
                <w:szCs w:val="17"/>
                <w:color w:val="auto"/>
              </w:rPr>
            </w:pPr>
          </w:p>
        </w:tc>
        <w:tc>
          <w:tcPr>
            <w:tcW w:w="136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Corporate &amp;</w:t>
            </w:r>
          </w:p>
        </w:tc>
        <w:tc>
          <w:tcPr>
            <w:tcW w:w="160" w:type="dxa"/>
            <w:vAlign w:val="bottom"/>
          </w:tcPr>
          <w:p>
            <w:pPr>
              <w:spacing w:after="0"/>
              <w:rPr>
                <w:sz w:val="17"/>
                <w:szCs w:val="17"/>
                <w:color w:val="auto"/>
              </w:rPr>
            </w:pP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29"/>
        </w:trPr>
        <w:tc>
          <w:tcPr>
            <w:tcW w:w="52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External revenue</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Residential &amp; SMB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42,930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42,930</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Commercial Fiber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RLEC &amp; Other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Tower lease</w:t>
            </w: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22"/>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Service revenue and other</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52,946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55,096</w:t>
            </w:r>
          </w:p>
        </w:tc>
        <w:tc>
          <w:tcPr>
            <w:tcW w:w="0" w:type="dxa"/>
            <w:vAlign w:val="bottom"/>
          </w:tcPr>
          <w:p>
            <w:pPr>
              <w:spacing w:after="0"/>
              <w:rPr>
                <w:sz w:val="1"/>
                <w:szCs w:val="1"/>
                <w:color w:val="auto"/>
              </w:rPr>
            </w:pPr>
          </w:p>
        </w:tc>
      </w:tr>
      <w:tr>
        <w:trPr>
          <w:trHeight w:val="176"/>
        </w:trPr>
        <w:tc>
          <w:tcPr>
            <w:tcW w:w="520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Revenue for service provided to the discontinued Wireless</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4,595</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59,691</w:t>
            </w:r>
          </w:p>
        </w:tc>
        <w:tc>
          <w:tcPr>
            <w:tcW w:w="0" w:type="dxa"/>
            <w:vAlign w:val="bottom"/>
          </w:tcPr>
          <w:p>
            <w:pPr>
              <w:spacing w:after="0"/>
              <w:rPr>
                <w:sz w:val="1"/>
                <w:szCs w:val="1"/>
                <w:color w:val="auto"/>
              </w:rPr>
            </w:pPr>
          </w:p>
        </w:tc>
      </w:tr>
      <w:tr>
        <w:trPr>
          <w:trHeight w:val="20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23,283</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20,153</w:t>
            </w:r>
          </w:p>
        </w:tc>
        <w:tc>
          <w:tcPr>
            <w:tcW w:w="0" w:type="dxa"/>
            <w:vAlign w:val="bottom"/>
          </w:tcPr>
          <w:p>
            <w:pPr>
              <w:spacing w:after="0"/>
              <w:rPr>
                <w:sz w:val="1"/>
                <w:szCs w:val="1"/>
                <w:color w:val="auto"/>
              </w:rPr>
            </w:pPr>
          </w:p>
        </w:tc>
      </w:tr>
      <w:tr>
        <w:trPr>
          <w:trHeight w:val="229"/>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13,266</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57,320</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1"/>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2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Broadband</w:t>
            </w:r>
          </w:p>
        </w:tc>
        <w:tc>
          <w:tcPr>
            <w:tcW w:w="300" w:type="dxa"/>
            <w:vAlign w:val="bottom"/>
          </w:tcPr>
          <w:p>
            <w:pPr>
              <w:spacing w:after="0"/>
              <w:rPr>
                <w:sz w:val="24"/>
                <w:szCs w:val="24"/>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Tower</w:t>
            </w:r>
          </w:p>
        </w:tc>
        <w:tc>
          <w:tcPr>
            <w:tcW w:w="18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 &amp;</w:t>
            </w:r>
          </w:p>
        </w:tc>
        <w:tc>
          <w:tcPr>
            <w:tcW w:w="160" w:type="dxa"/>
            <w:vAlign w:val="bottom"/>
          </w:tcPr>
          <w:p>
            <w:pPr>
              <w:spacing w:after="0"/>
              <w:rPr>
                <w:sz w:val="24"/>
                <w:szCs w:val="24"/>
                <w:color w:val="auto"/>
              </w:rPr>
            </w:pP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29"/>
        </w:trPr>
        <w:tc>
          <w:tcPr>
            <w:tcW w:w="52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External revenue</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Residential &amp; SMB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37,009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37,009</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Commercial Fiber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RLEC &amp; Other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4,044</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Tower lease</w:t>
            </w: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22"/>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Service revenue and other</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47,253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49,050</w:t>
            </w:r>
          </w:p>
        </w:tc>
        <w:tc>
          <w:tcPr>
            <w:tcW w:w="0" w:type="dxa"/>
            <w:vAlign w:val="bottom"/>
          </w:tcPr>
          <w:p>
            <w:pPr>
              <w:spacing w:after="0"/>
              <w:rPr>
                <w:sz w:val="1"/>
                <w:szCs w:val="1"/>
                <w:color w:val="auto"/>
              </w:rPr>
            </w:pPr>
          </w:p>
        </w:tc>
      </w:tr>
      <w:tr>
        <w:trPr>
          <w:trHeight w:val="176"/>
        </w:trPr>
        <w:tc>
          <w:tcPr>
            <w:tcW w:w="520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Revenue for service provided to the discontinued Wireless</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53,134</w:t>
            </w:r>
          </w:p>
        </w:tc>
        <w:tc>
          <w:tcPr>
            <w:tcW w:w="0" w:type="dxa"/>
            <w:vAlign w:val="bottom"/>
          </w:tcPr>
          <w:p>
            <w:pPr>
              <w:spacing w:after="0"/>
              <w:rPr>
                <w:sz w:val="1"/>
                <w:szCs w:val="1"/>
                <w:color w:val="auto"/>
              </w:rPr>
            </w:pPr>
          </w:p>
        </w:tc>
      </w:tr>
      <w:tr>
        <w:trPr>
          <w:trHeight w:val="20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20,317</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22,096</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12,085</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54,498</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gridSpan w:val="4"/>
          </w:tcPr>
          <w:p>
            <w:pPr>
              <w:spacing w:after="0"/>
              <w:rPr>
                <w:sz w:val="20"/>
                <w:szCs w:val="20"/>
                <w:color w:val="auto"/>
              </w:rPr>
            </w:pPr>
            <w:r>
              <w:rPr>
                <w:rFonts w:ascii="Arial" w:cs="Arial" w:eastAsia="Arial" w:hAnsi="Arial"/>
                <w:sz w:val="18"/>
                <w:szCs w:val="18"/>
                <w:color w:val="auto"/>
              </w:rPr>
              <w:t>A reconciliation of the total of the reportable segments’ operating income to consolidated income before taxes is as follows:</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7"/>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8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19"/>
                <w:szCs w:val="19"/>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2"/>
        </w:trPr>
        <w:tc>
          <w:tcPr>
            <w:tcW w:w="8260" w:type="dxa"/>
            <w:vAlign w:val="bottom"/>
          </w:tcPr>
          <w:p>
            <w:pPr>
              <w:ind w:left="20"/>
              <w:spacing w:after="0"/>
              <w:rPr>
                <w:sz w:val="20"/>
                <w:szCs w:val="20"/>
                <w:color w:val="auto"/>
              </w:rPr>
            </w:pPr>
            <w:r>
              <w:rPr>
                <w:rFonts w:ascii="Arial" w:cs="Arial" w:eastAsia="Arial" w:hAnsi="Arial"/>
                <w:sz w:val="18"/>
                <w:szCs w:val="18"/>
                <w:color w:val="auto"/>
              </w:rPr>
              <w:t>Total consolidated operating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(1,364)</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chief operating decision maker (CODM) does not currently review total assets by segment since the assets are centrally managed and some of the assets are shared by the segments, accordingly total assets by segment are not provided.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including information concerning our response to COVID-19, are forward-looking statements. We cannot assure you that the Company’s expectations expressed or implied in these forward-looking statements will turn out to be correct. The Company’s actual results could be materially different from its expectations because of various factors, that may include natural disasters, pandemics and outbreaks of contagious diseases and other adverse public health developments, such as COVID-19, changes in general economic conditions, increases in costs, changes in regulation and other competitive factors. Updates to the Risk Factors described in “Item 1A-Risk Factors” as provided in our Annual Report on Form 10-K for the year ended December 31, 2020, may be found below in Part II, under the heading “Item 1A-Risk Factors.</w:t>
      </w:r>
    </w:p>
    <w:p>
      <w:pPr>
        <w:spacing w:after="0" w:line="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The following management’s discussion and analysis should be read in conjunction with the Company’s Annual Report on Form 10-K for its fiscal year ended December 31, 2020, including the consolidated financial statements and related notes included therein.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Shenandoah Telecommunications Company (“Shentel”, “we”, “our”, “us”, or the “Company”), is a provider of a comprehensive range of broadband communication services and cell tower colocation space in the Mid-Atlantic portion of the United States.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Management’s Discussion and Analysis is organized around our reporting segments. Refer to Note 2,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and Note 14,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in our unaudited condensed consolidated financial statements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with the Three Months Ended March 31,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5"/>
          </w:tcPr>
          <w:p>
            <w:pPr>
              <w:jc w:val="right"/>
              <w:ind w:right="1046"/>
              <w:spacing w:after="0"/>
              <w:rPr>
                <w:sz w:val="20"/>
                <w:szCs w:val="20"/>
                <w:color w:val="auto"/>
              </w:rPr>
            </w:pPr>
            <w:r>
              <w:rPr>
                <w:rFonts w:ascii="Arial" w:cs="Arial" w:eastAsia="Arial" w:hAnsi="Arial"/>
                <w:sz w:val="18"/>
                <w:szCs w:val="18"/>
                <w:b w:val="1"/>
                <w:bCs w:val="1"/>
                <w:color w:val="auto"/>
                <w:w w:val="93"/>
              </w:rPr>
              <w:t>Three Months Ended March 31,</w:t>
            </w:r>
          </w:p>
        </w:tc>
        <w:tc>
          <w:tcPr>
            <w:tcW w:w="100" w:type="dxa"/>
            <w:vAlign w:val="bottom"/>
          </w:tcPr>
          <w:p>
            <w:pPr>
              <w:spacing w:after="0"/>
              <w:rPr>
                <w:sz w:val="20"/>
                <w:szCs w:val="20"/>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9"/>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of Revenue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of Revenue</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b w:val="1"/>
                <w:bCs w:val="1"/>
                <w:color w:val="auto"/>
              </w:rPr>
              <w:t>%</w:t>
            </w:r>
          </w:p>
        </w:tc>
      </w:tr>
      <w:tr>
        <w:trPr>
          <w:trHeight w:val="222"/>
        </w:trPr>
        <w:tc>
          <w:tcPr>
            <w:tcW w:w="4340" w:type="dxa"/>
            <w:vAlign w:val="bottom"/>
          </w:tcPr>
          <w:p>
            <w:pPr>
              <w:ind w:left="1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59,691</w:t>
            </w:r>
          </w:p>
        </w:tc>
        <w:tc>
          <w:tcPr>
            <w:tcW w:w="122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53,134</w:t>
            </w:r>
          </w:p>
        </w:tc>
        <w:tc>
          <w:tcPr>
            <w:tcW w:w="1200" w:type="dxa"/>
            <w:vAlign w:val="bottom"/>
          </w:tcPr>
          <w:p>
            <w:pPr>
              <w:jc w:val="right"/>
              <w:spacing w:after="0"/>
              <w:rPr>
                <w:sz w:val="20"/>
                <w:szCs w:val="20"/>
                <w:color w:val="auto"/>
              </w:rPr>
            </w:pPr>
            <w:r>
              <w:rPr>
                <w:rFonts w:ascii="Arial" w:cs="Arial" w:eastAsia="Arial" w:hAnsi="Arial"/>
                <w:sz w:val="14"/>
                <w:szCs w:val="14"/>
                <w:color w:val="auto"/>
              </w:rPr>
              <w:t>100.0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6,557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2,822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2,371</w:t>
            </w:r>
          </w:p>
        </w:tc>
        <w:tc>
          <w:tcPr>
            <w:tcW w:w="122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(1,364)</w:t>
            </w:r>
          </w:p>
        </w:tc>
        <w:tc>
          <w:tcPr>
            <w:tcW w:w="1200" w:type="dxa"/>
            <w:vAlign w:val="bottom"/>
          </w:tcPr>
          <w:p>
            <w:pPr>
              <w:jc w:val="right"/>
              <w:spacing w:after="0"/>
              <w:rPr>
                <w:sz w:val="20"/>
                <w:szCs w:val="20"/>
                <w:color w:val="auto"/>
              </w:rPr>
            </w:pPr>
            <w:r>
              <w:rPr>
                <w:rFonts w:ascii="Arial" w:cs="Arial" w:eastAsia="Arial" w:hAnsi="Arial"/>
                <w:sz w:val="14"/>
                <w:szCs w:val="14"/>
                <w:color w:val="auto"/>
              </w:rPr>
              <w:t>(2.6)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3,735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(273.8)</w:t>
            </w:r>
          </w:p>
        </w:tc>
      </w:tr>
      <w:tr>
        <w:trPr>
          <w:trHeight w:val="499"/>
        </w:trPr>
        <w:tc>
          <w:tcPr>
            <w:tcW w:w="434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851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113.6</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3,971</w:t>
            </w:r>
          </w:p>
        </w:tc>
        <w:tc>
          <w:tcPr>
            <w:tcW w:w="122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w:t>
            </w:r>
          </w:p>
        </w:tc>
        <w:tc>
          <w:tcPr>
            <w:tcW w:w="1200" w:type="dxa"/>
            <w:vAlign w:val="bottom"/>
          </w:tcPr>
          <w:p>
            <w:pPr>
              <w:jc w:val="right"/>
              <w:spacing w:after="0"/>
              <w:rPr>
                <w:sz w:val="20"/>
                <w:szCs w:val="20"/>
                <w:color w:val="auto"/>
              </w:rPr>
            </w:pPr>
            <w:r>
              <w:rPr>
                <w:rFonts w:ascii="Arial" w:cs="Arial" w:eastAsia="Arial" w:hAnsi="Arial"/>
                <w:sz w:val="14"/>
                <w:szCs w:val="14"/>
                <w:color w:val="auto"/>
              </w:rPr>
              <w:t>(1.2)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4,586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(745.7)</w:t>
            </w: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1,687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220.5</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3,049</w:t>
            </w:r>
          </w:p>
        </w:tc>
        <w:tc>
          <w:tcPr>
            <w:tcW w:w="122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1200" w:type="dxa"/>
            <w:vAlign w:val="bottom"/>
          </w:tcPr>
          <w:p>
            <w:pPr>
              <w:jc w:val="right"/>
              <w:spacing w:after="0"/>
              <w:rPr>
                <w:sz w:val="20"/>
                <w:szCs w:val="20"/>
                <w:color w:val="auto"/>
              </w:rPr>
            </w:pPr>
            <w:r>
              <w:rPr>
                <w:rFonts w:ascii="Arial" w:cs="Arial" w:eastAsia="Arial" w:hAnsi="Arial"/>
                <w:sz w:val="14"/>
                <w:szCs w:val="14"/>
                <w:color w:val="auto"/>
              </w:rPr>
              <w:t>0.3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2,899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1,932.7</w:t>
            </w:r>
          </w:p>
        </w:tc>
      </w:tr>
      <w:tr>
        <w:trPr>
          <w:trHeight w:val="499"/>
        </w:trPr>
        <w:tc>
          <w:tcPr>
            <w:tcW w:w="434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35,342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269.2</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51,521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38,241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288.0</w:t>
            </w:r>
          </w:p>
        </w:tc>
      </w:tr>
      <w:tr>
        <w:trPr>
          <w:trHeight w:val="21"/>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Revenue increased approximately $6.6 million, or 12.3%, during the three months ended March 31, 2021 compared with the three months ended March 31, 2020, driven by growth of $5.4 million, or 10.8%, in the Broadband segment and $0.9 million,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25.1%, in the Tower segment. Refer to the discussion of the results of operations for the Tower and Broadband segments, included within this quarterly report, for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approximately $2.8 million, or 5.2%, during the three months ended March 31, 2021 compared with the three months ended March 31, 2020, primarily driven by incremental Broadband operating expenses incurred to support the launch of our Glo Fiber and Beam fixed wireless services.</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three months ended March 31, 2021, we implemented a workforce reduction plan whereby certain employees of the continuing operations will leave the Company during the second quarter of 2021. We recognized a restructuring accrual for severance benefits payable to those employees totaling $0.6 million. Under our workforce reduction plan, we expect to incur an additional $1.1 million of severance expense within income from continuing operations when the sale of our Wireless operations is completed, which is expected to be in the third quarter of 2021. The workforce reduction is expected to decrease the Company's annualized run-rate operating expenses for continuing operations by approximately $4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Income tax expense of approximately $0.9 million increased approximately $1.7 million during the three months ended March 31, 2021 compared with the three months ended March 31, 2020, primarily due to changes in taxable income.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 net of tax</w:t>
      </w:r>
    </w:p>
    <w:p>
      <w:pPr>
        <w:spacing w:after="0" w:line="2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Income from discontinued operations, net of tax, increased by $35.3 million during the three months ended March 31, 2021 as compared with the three months ended March 31, 2020, primarily driven by a $4.5 million increase in Travel Revenue following the June 2020 settlement with Sprint, a $24.8 million decline in depreciation and amortization primarily as a result of ceasing depreciation and amortization of assets held for sale during the third quarter of 2020, a $14.0 million decline in cost of services primarily due to ceasing amortization on our right of use assets under operating leases during the third quarter of 2020, an $1.7 decline in interest expense primarily driven by lower interest rates on our term loans, partially offset by $12.6 million of higher income tax driven by changes in taxable income.</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the three months ended March 31, 2021, we implemented a workforce reduction plan whereby certain employees of the continuing operations will leave the Company during the second quarter of 2021. We recognized a restructuring accrual for severance benefits payable to those employees totaling $0.2 million. Under our workforce reduction plan, we expect to incur an additional $3.9 million of severance expense within income from discontinued operations when the sale of our Wireless operations is completed, which is expected to be in the third quarter of 2021.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Broadband</w:t>
      </w:r>
    </w:p>
    <w:p>
      <w:pPr>
        <w:spacing w:after="0" w:line="2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Broadband segment provides broadband internet, video and voice services to residential and commercial customers in portions of Virginia, West Virginia, Maryland, Pennsylvania, and Kentucky, via hybrid fiber coaxial cable under the brand name of Shentel, fiber optics under the brand name of Glo Fiber and fixed wireless network under the brand name of Beam. The Broadband segment also leases dark fiber and provides Ethernet and Wavelength fiber optic services to enterprise and wholesale customers throughout the entirety of our service area. The Broadband segment also provides voice and DSL telephone services to customers in Virginia’s Shenandoah County and portions of adjacent counties as a Rural Local Exchange Carrier (“RLEC”). These integrated networks are connected by an approximately 6,900 fiber route mile network. This fiber optic network also supports our Wireless segment operations, which are currently classified as discontinued operations, and these intercompany transactions are reported at their market value.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i w:val="1"/>
                <w:iCs w:val="1"/>
                <w:color w:val="0000FF"/>
                <w:w w:val="88"/>
              </w:rPr>
            </w:pPr>
            <w:hyperlink w:anchor="page1">
              <w:r>
                <w:rPr>
                  <w:rFonts w:ascii="Arial" w:cs="Arial" w:eastAsia="Arial" w:hAnsi="Arial"/>
                  <w:sz w:val="18"/>
                  <w:szCs w:val="18"/>
                  <w:i w:val="1"/>
                  <w:iCs w:val="1"/>
                  <w:color w:val="0000FF"/>
                  <w:w w:val="88"/>
                </w:rPr>
                <w:t>Table of Contents</w:t>
              </w:r>
            </w:hyperlink>
          </w:p>
        </w:tc>
        <w:tc>
          <w:tcPr>
            <w:tcW w:w="6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790"/>
        </w:trPr>
        <w:tc>
          <w:tcPr>
            <w:tcW w:w="8000" w:type="dxa"/>
            <w:vAlign w:val="bottom"/>
            <w:gridSpan w:val="2"/>
          </w:tcPr>
          <w:p>
            <w:pPr>
              <w:spacing w:after="0"/>
              <w:rPr>
                <w:sz w:val="20"/>
                <w:szCs w:val="20"/>
                <w:color w:val="auto"/>
              </w:rPr>
            </w:pPr>
            <w:r>
              <w:rPr>
                <w:rFonts w:ascii="Arial" w:cs="Arial" w:eastAsia="Arial" w:hAnsi="Arial"/>
                <w:sz w:val="18"/>
                <w:szCs w:val="18"/>
                <w:color w:val="auto"/>
              </w:rPr>
              <w:t>The following table indicates selected operating statistics of Broadband:</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7"/>
                <w:szCs w:val="17"/>
                <w:color w:val="auto"/>
              </w:rPr>
            </w:pPr>
          </w:p>
        </w:tc>
        <w:tc>
          <w:tcPr>
            <w:tcW w:w="13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March 31,</w:t>
            </w:r>
          </w:p>
        </w:tc>
      </w:tr>
      <w:tr>
        <w:trPr>
          <w:trHeight w:val="230"/>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2"/>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Broadband homes and businesses passed (1)</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259,891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212,129</w:t>
            </w: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Incumbent Cable (2)</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210,210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206,782</w:t>
            </w:r>
          </w:p>
        </w:tc>
      </w:tr>
      <w:tr>
        <w:trPr>
          <w:trHeight w:val="22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Glo Fiber</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34,441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5,347</w:t>
            </w: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Beam</w:t>
            </w:r>
          </w:p>
        </w:tc>
        <w:tc>
          <w:tcPr>
            <w:tcW w:w="24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15,240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338"/>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Broadband customer relationships (3)</w:t>
            </w:r>
          </w:p>
        </w:tc>
        <w:tc>
          <w:tcPr>
            <w:tcW w:w="24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115,921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103,287</w:t>
            </w:r>
          </w:p>
        </w:tc>
      </w:tr>
      <w:tr>
        <w:trPr>
          <w:trHeight w:val="337"/>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Residential &amp; SMB RGUs: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Broadband Data</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107,569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86,667</w:t>
            </w:r>
          </w:p>
        </w:tc>
      </w:tr>
      <w:tr>
        <w:trPr>
          <w:trHeight w:val="229"/>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Incumbent Cable (2)</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101,576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86,214</w:t>
            </w:r>
          </w:p>
        </w:tc>
      </w:tr>
      <w:tr>
        <w:trPr>
          <w:trHeight w:val="229"/>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Glo Fiber</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5,524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453</w:t>
            </w:r>
          </w:p>
        </w:tc>
      </w:tr>
      <w:tr>
        <w:trPr>
          <w:trHeight w:val="230"/>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Beam</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Video (2)</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51,989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53,067</w:t>
            </w:r>
          </w:p>
        </w:tc>
      </w:tr>
      <w:tr>
        <w:trPr>
          <w:trHeight w:val="230"/>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Voice (2)</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33,322</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31,836</w:t>
            </w:r>
          </w:p>
        </w:tc>
      </w:tr>
      <w:tr>
        <w:trPr>
          <w:trHeight w:val="224"/>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Total Residential &amp; SMB RGUs (excludes RLEC)</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192,880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171,570</w:t>
            </w:r>
          </w:p>
        </w:tc>
      </w:tr>
      <w:tr>
        <w:trPr>
          <w:trHeight w:val="336"/>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Residential &amp; SMB Penetration (4)</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Broadband Data</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40.9 %</w:t>
            </w:r>
          </w:p>
        </w:tc>
      </w:tr>
      <w:tr>
        <w:trPr>
          <w:trHeight w:val="230"/>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Incumbent Cable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41.7 %</w:t>
            </w:r>
          </w:p>
        </w:tc>
      </w:tr>
      <w:tr>
        <w:trPr>
          <w:trHeight w:val="229"/>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Glo Fiber</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Beam</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Video</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230"/>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Voice</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16.3 %</w:t>
            </w:r>
          </w:p>
        </w:tc>
      </w:tr>
      <w:tr>
        <w:trPr>
          <w:trHeight w:val="337"/>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Residential &amp; SMB ARPU (5)</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Broadband Data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77.93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77.88</w:t>
            </w:r>
          </w:p>
        </w:tc>
      </w:tr>
      <w:tr>
        <w:trPr>
          <w:trHeight w:val="230"/>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Incumbent Cable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78.12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77.87</w:t>
            </w:r>
          </w:p>
        </w:tc>
      </w:tr>
      <w:tr>
        <w:trPr>
          <w:trHeight w:val="230"/>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Glo Fiber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74.24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80.55</w:t>
            </w:r>
          </w:p>
        </w:tc>
      </w:tr>
      <w:tr>
        <w:trPr>
          <w:trHeight w:val="230"/>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Beam</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73.14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Video</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99.50</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93.22</w:t>
            </w:r>
          </w:p>
        </w:tc>
      </w:tr>
      <w:tr>
        <w:trPr>
          <w:trHeight w:val="230"/>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Voice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29.34</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29.83</w:t>
            </w:r>
          </w:p>
        </w:tc>
      </w:tr>
      <w:tr>
        <w:trPr>
          <w:trHeight w:val="337"/>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Fiber route miles</w:t>
            </w:r>
          </w:p>
        </w:tc>
        <w:tc>
          <w:tcPr>
            <w:tcW w:w="24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6,888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6,273</w:t>
            </w:r>
          </w:p>
        </w:tc>
      </w:tr>
      <w:tr>
        <w:trPr>
          <w:trHeight w:val="230"/>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Total fiber miles (6)</w:t>
            </w:r>
          </w:p>
        </w:tc>
        <w:tc>
          <w:tcPr>
            <w:tcW w:w="24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407,710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334,802</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ind w:left="660" w:hanging="328"/>
        <w:spacing w:after="0" w:line="241" w:lineRule="auto"/>
        <w:tabs>
          <w:tab w:leader="none" w:pos="652" w:val="left"/>
        </w:tabs>
        <w:numPr>
          <w:ilvl w:val="0"/>
          <w:numId w:val="3"/>
        </w:numPr>
        <w:rPr>
          <w:rFonts w:ascii="Arial" w:cs="Arial" w:eastAsia="Arial" w:hAnsi="Arial"/>
          <w:sz w:val="14"/>
          <w:szCs w:val="14"/>
          <w:color w:val="auto"/>
        </w:rPr>
      </w:pPr>
      <w:r>
        <w:rPr>
          <w:rFonts w:ascii="Arial" w:cs="Arial" w:eastAsia="Arial" w:hAnsi="Arial"/>
          <w:sz w:val="14"/>
          <w:szCs w:val="14"/>
          <w:color w:val="auto"/>
        </w:rPr>
        <w:t>Homes and businesses are considered passed (“homes passed”) if we can connect them to our network without further extending the distribution system. Homes passed is an estimate based upon the best available information. Homes passed will vary among video, broadband data and voice services.</w:t>
      </w:r>
    </w:p>
    <w:p>
      <w:pPr>
        <w:ind w:left="640" w:hanging="308"/>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 acquired Canaan Cable on December 31, 2020 adding 1,100 homes passed, 512 data RGUs, 324 video RGUs and 164 voice RGUs.</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Customer relationships represent the number of billed customers who receive at least one of our services.</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users by the number of homes passed or available homes, as appropriate.</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Average Revenue Per RGU calculation = (Residential &amp; SMB Revenue * 1,000) / average RGUs / 3 months</w:t>
      </w:r>
    </w:p>
    <w:p>
      <w:pPr>
        <w:spacing w:after="0" w:line="1" w:lineRule="exact"/>
        <w:rPr>
          <w:rFonts w:ascii="Arial" w:cs="Arial" w:eastAsia="Arial" w:hAnsi="Arial"/>
          <w:sz w:val="14"/>
          <w:szCs w:val="14"/>
          <w:color w:val="auto"/>
        </w:rPr>
      </w:pPr>
    </w:p>
    <w:p>
      <w:pPr>
        <w:ind w:left="660" w:hanging="328"/>
        <w:spacing w:after="0" w:line="255" w:lineRule="auto"/>
        <w:tabs>
          <w:tab w:leader="none" w:pos="652" w:val="left"/>
        </w:tabs>
        <w:numPr>
          <w:ilvl w:val="0"/>
          <w:numId w:val="3"/>
        </w:numPr>
        <w:rPr>
          <w:rFonts w:ascii="Arial" w:cs="Arial" w:eastAsia="Arial" w:hAnsi="Arial"/>
          <w:sz w:val="14"/>
          <w:szCs w:val="14"/>
          <w:color w:val="auto"/>
        </w:rPr>
      </w:pPr>
      <w:r>
        <w:rPr>
          <w:rFonts w:ascii="Arial" w:cs="Arial" w:eastAsia="Arial" w:hAnsi="Arial"/>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Broadband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Pr>
          <w:p>
            <w:pPr>
              <w:spacing w:after="0"/>
              <w:rPr>
                <w:sz w:val="20"/>
                <w:szCs w:val="20"/>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6"/>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80" w:type="dxa"/>
            <w:vAlign w:val="bottom"/>
          </w:tcPr>
          <w:p>
            <w:pPr>
              <w:jc w:val="right"/>
              <w:ind w:right="46"/>
              <w:spacing w:after="0"/>
              <w:rPr>
                <w:sz w:val="20"/>
                <w:szCs w:val="20"/>
                <w:color w:val="auto"/>
              </w:rPr>
            </w:pPr>
            <w:r>
              <w:rPr>
                <w:rFonts w:ascii="Arial" w:cs="Arial" w:eastAsia="Arial" w:hAnsi="Arial"/>
                <w:sz w:val="18"/>
                <w:szCs w:val="18"/>
                <w:b w:val="1"/>
                <w:bCs w:val="1"/>
                <w:color w:val="auto"/>
                <w:w w:val="96"/>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8"/>
              <w:spacing w:after="0"/>
              <w:rPr>
                <w:sz w:val="20"/>
                <w:szCs w:val="20"/>
                <w:color w:val="auto"/>
              </w:rPr>
            </w:pPr>
            <w:r>
              <w:rPr>
                <w:rFonts w:ascii="Arial" w:cs="Arial" w:eastAsia="Arial" w:hAnsi="Arial"/>
                <w:sz w:val="18"/>
                <w:szCs w:val="18"/>
                <w:b w:val="1"/>
                <w:bCs w:val="1"/>
                <w:color w:val="auto"/>
              </w:rPr>
              <w:t>%</w:t>
            </w:r>
          </w:p>
        </w:tc>
      </w:tr>
      <w:tr>
        <w:trPr>
          <w:trHeight w:val="209"/>
        </w:trPr>
        <w:tc>
          <w:tcPr>
            <w:tcW w:w="4280" w:type="dxa"/>
            <w:vAlign w:val="bottom"/>
          </w:tcPr>
          <w:p>
            <w:pPr>
              <w:spacing w:after="0"/>
              <w:rPr>
                <w:sz w:val="20"/>
                <w:szCs w:val="20"/>
                <w:color w:val="auto"/>
              </w:rPr>
            </w:pPr>
            <w:r>
              <w:rPr>
                <w:rFonts w:ascii="Arial" w:cs="Arial" w:eastAsia="Arial" w:hAnsi="Arial"/>
                <w:sz w:val="18"/>
                <w:szCs w:val="18"/>
                <w:color w:val="auto"/>
              </w:rPr>
              <w:t>Broadband operating revenue</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30"/>
        </w:trPr>
        <w:tc>
          <w:tcPr>
            <w:tcW w:w="4280" w:type="dxa"/>
            <w:vAlign w:val="bottom"/>
          </w:tcPr>
          <w:p>
            <w:pPr>
              <w:ind w:left="120"/>
              <w:spacing w:after="0"/>
              <w:rPr>
                <w:sz w:val="20"/>
                <w:szCs w:val="20"/>
                <w:color w:val="auto"/>
              </w:rPr>
            </w:pPr>
            <w:r>
              <w:rPr>
                <w:rFonts w:ascii="Arial" w:cs="Arial" w:eastAsia="Arial" w:hAnsi="Arial"/>
                <w:sz w:val="18"/>
                <w:szCs w:val="18"/>
                <w:color w:val="auto"/>
              </w:rPr>
              <w:t>Residential &amp; SMB</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42,930</w:t>
            </w:r>
          </w:p>
        </w:tc>
        <w:tc>
          <w:tcPr>
            <w:tcW w:w="1180" w:type="dxa"/>
            <w:vAlign w:val="bottom"/>
          </w:tcPr>
          <w:p>
            <w:pPr>
              <w:jc w:val="right"/>
              <w:spacing w:after="0"/>
              <w:rPr>
                <w:sz w:val="20"/>
                <w:szCs w:val="20"/>
                <w:color w:val="auto"/>
              </w:rPr>
            </w:pPr>
            <w:r>
              <w:rPr>
                <w:rFonts w:ascii="Arial" w:cs="Arial" w:eastAsia="Arial" w:hAnsi="Arial"/>
                <w:sz w:val="14"/>
                <w:szCs w:val="14"/>
                <w:color w:val="auto"/>
              </w:rPr>
              <w:t>77.8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37,009</w:t>
            </w: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74.3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5,921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29"/>
        </w:trPr>
        <w:tc>
          <w:tcPr>
            <w:tcW w:w="4280" w:type="dxa"/>
            <w:vAlign w:val="bottom"/>
          </w:tcPr>
          <w:p>
            <w:pPr>
              <w:ind w:left="120"/>
              <w:spacing w:after="0"/>
              <w:rPr>
                <w:sz w:val="20"/>
                <w:szCs w:val="20"/>
                <w:color w:val="auto"/>
              </w:rPr>
            </w:pPr>
            <w:r>
              <w:rPr>
                <w:rFonts w:ascii="Arial" w:cs="Arial" w:eastAsia="Arial" w:hAnsi="Arial"/>
                <w:sz w:val="18"/>
                <w:szCs w:val="18"/>
                <w:color w:val="auto"/>
              </w:rPr>
              <w:t>Commercial Fiber</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8,479</w:t>
            </w:r>
          </w:p>
        </w:tc>
        <w:tc>
          <w:tcPr>
            <w:tcW w:w="118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8,359</w:t>
            </w: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16.8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0"/>
        </w:trPr>
        <w:tc>
          <w:tcPr>
            <w:tcW w:w="4280" w:type="dxa"/>
            <w:vAlign w:val="bottom"/>
          </w:tcPr>
          <w:p>
            <w:pPr>
              <w:ind w:left="120"/>
              <w:spacing w:after="0"/>
              <w:rPr>
                <w:sz w:val="20"/>
                <w:szCs w:val="20"/>
                <w:color w:val="auto"/>
              </w:rPr>
            </w:pPr>
            <w:r>
              <w:rPr>
                <w:rFonts w:ascii="Arial" w:cs="Arial" w:eastAsia="Arial" w:hAnsi="Arial"/>
                <w:sz w:val="18"/>
                <w:szCs w:val="18"/>
                <w:color w:val="auto"/>
              </w:rPr>
              <w:t>RLEC &amp; Other</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4,418</w:t>
            </w: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8.9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22"/>
        </w:trPr>
        <w:tc>
          <w:tcPr>
            <w:tcW w:w="4280" w:type="dxa"/>
            <w:vAlign w:val="bottom"/>
          </w:tcPr>
          <w:p>
            <w:pPr>
              <w:ind w:left="340"/>
              <w:spacing w:after="0"/>
              <w:rPr>
                <w:sz w:val="20"/>
                <w:szCs w:val="20"/>
                <w:color w:val="auto"/>
              </w:rPr>
            </w:pPr>
            <w:r>
              <w:rPr>
                <w:rFonts w:ascii="Arial" w:cs="Arial" w:eastAsia="Arial" w:hAnsi="Arial"/>
                <w:sz w:val="18"/>
                <w:szCs w:val="18"/>
                <w:color w:val="auto"/>
              </w:rPr>
              <w:t>Total broadband revenue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55,154</w:t>
            </w:r>
          </w:p>
        </w:tc>
        <w:tc>
          <w:tcPr>
            <w:tcW w:w="118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49,786</w:t>
            </w:r>
          </w:p>
        </w:tc>
        <w:tc>
          <w:tcPr>
            <w:tcW w:w="1280" w:type="dxa"/>
            <w:vAlign w:val="bottom"/>
          </w:tcPr>
          <w:p>
            <w:pPr>
              <w:jc w:val="right"/>
              <w:spacing w:after="0"/>
              <w:rPr>
                <w:sz w:val="20"/>
                <w:szCs w:val="20"/>
                <w:color w:val="auto"/>
              </w:rPr>
            </w:pPr>
            <w:r>
              <w:rPr>
                <w:rFonts w:ascii="Arial" w:cs="Arial" w:eastAsia="Arial" w:hAnsi="Arial"/>
                <w:sz w:val="14"/>
                <w:szCs w:val="14"/>
                <w:color w:val="auto"/>
              </w:rPr>
              <w:t>100.0 %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5,368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Broadband operating expenses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4280" w:type="dxa"/>
            <w:vAlign w:val="bottom"/>
          </w:tcPr>
          <w:p>
            <w:pPr>
              <w:ind w:left="20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22,136</w:t>
            </w:r>
          </w:p>
        </w:tc>
        <w:tc>
          <w:tcPr>
            <w:tcW w:w="1180" w:type="dxa"/>
            <w:vAlign w:val="bottom"/>
          </w:tcPr>
          <w:p>
            <w:pPr>
              <w:jc w:val="right"/>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19,386</w:t>
            </w: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38.9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29"/>
        </w:trPr>
        <w:tc>
          <w:tcPr>
            <w:tcW w:w="42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10,725</w:t>
            </w:r>
          </w:p>
        </w:tc>
        <w:tc>
          <w:tcPr>
            <w:tcW w:w="1180" w:type="dxa"/>
            <w:vAlign w:val="bottom"/>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9,704</w:t>
            </w: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19.5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30"/>
        </w:trPr>
        <w:tc>
          <w:tcPr>
            <w:tcW w:w="4280" w:type="dxa"/>
            <w:vAlign w:val="bottom"/>
          </w:tcPr>
          <w:p>
            <w:pPr>
              <w:ind w:left="20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6"/>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2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10,034</w:t>
            </w: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20.2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1,727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23"/>
        </w:trPr>
        <w:tc>
          <w:tcPr>
            <w:tcW w:w="4280" w:type="dxa"/>
            <w:vAlign w:val="bottom"/>
          </w:tcPr>
          <w:p>
            <w:pPr>
              <w:ind w:left="340"/>
              <w:spacing w:after="0"/>
              <w:rPr>
                <w:sz w:val="20"/>
                <w:szCs w:val="20"/>
                <w:color w:val="auto"/>
              </w:rPr>
            </w:pPr>
            <w:r>
              <w:rPr>
                <w:rFonts w:ascii="Arial" w:cs="Arial" w:eastAsia="Arial" w:hAnsi="Arial"/>
                <w:sz w:val="18"/>
                <w:szCs w:val="18"/>
                <w:color w:val="auto"/>
              </w:rPr>
              <w:t>Total broadband operating expenses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39,124</w:t>
            </w: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78.6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5,603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Broadband operating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10,662</w:t>
            </w: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21.4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&amp; SMB (small &amp; medium business) revenue</w:t>
      </w:r>
    </w:p>
    <w:p>
      <w:pPr>
        <w:spacing w:after="0" w:line="23"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Residential &amp; SMB revenue increased approximately $5.9 million, or 16.0%, during the three months ended March 31, 2021 primarily driven by 24.1% growth in broadband RGUs and penetration improvement, driven by demand for higher speed data service and the rollout of our Glo fiber service.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Fiber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Commercial Fiber revenue was comparable with the prior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RLEC &amp; Other revenue</w:t>
      </w:r>
    </w:p>
    <w:p>
      <w:pPr>
        <w:spacing w:after="0" w:line="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RLEC &amp; Other revenue decreased approximately $0.7 million, or 15.2%, compared with the three months ended March 31, 2020 due primarily to a decline in residential DSL subscribers, lower governmental support, and lower intercompany phone service. We expect RLEC revenue to continue to decline in future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Cost of services increased approximately $2.8 million, or 14.2%, compared with the three months ended March 31, 2020, primarily driven by the growth of our Glo Fiber and Beam fixed wireless products. This included a $1.6 million increase in compensation expense from increased staffing, as well as a $0.5 million increase in installation, maintenance, and other expenses. Higher video programming costs drove an additional increase of $0.5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 increased $1.0 million or 10.5% compared with the three months ended March 31, 2020, driven by a $0.9 million increase in software and professional fees, a $0.4 million increase in compensation expense from higher staffing to support our Glo Fiber and Beam fixed wireless services, and partially offset by a $0.3 million decrease in advertising expense.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expense</w:t>
      </w:r>
    </w:p>
    <w:p>
      <w:pPr>
        <w:spacing w:after="0" w:line="23"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During the first quarter of 2021, we implemented a workforce reduction program that impacted certain broadband employees and as a result we incurred $0.1 million of severance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Depreciation and amortization increased $1.7 million or 17.2%, compared with the three months ended March 31, 2020, primarily as a result of our network expansion and the deployment of infrastructure necessary to support new fiber-to-the-home service, Glo Fiber, and fixed wireless solution, Beam.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Tower</w:t>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Tower segment owns cell towers and leases colocation space on the towers to wireless communications providers, including our Wireless segment that is currently classified as a discontinued operation. Substantially all of our owned towers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are built on ground that we lease from the respective landlords. The colocation space that is leased to our discontinued Wireless operations is priced at our estimate of fair market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The following table indicates selected operating statistics of the Tower segment:</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97"/>
        </w:trPr>
        <w:tc>
          <w:tcPr>
            <w:tcW w:w="8260" w:type="dxa"/>
            <w:vAlign w:val="bottom"/>
          </w:tcPr>
          <w:p>
            <w:pPr>
              <w:spacing w:after="0"/>
              <w:rPr>
                <w:sz w:val="24"/>
                <w:szCs w:val="24"/>
                <w:color w:val="auto"/>
              </w:rPr>
            </w:pPr>
          </w:p>
        </w:tc>
        <w:tc>
          <w:tcPr>
            <w:tcW w:w="1540" w:type="dxa"/>
            <w:vAlign w:val="bottom"/>
            <w:gridSpan w:val="2"/>
          </w:tcPr>
          <w:p>
            <w:pPr>
              <w:ind w:left="340"/>
              <w:spacing w:after="0"/>
              <w:rPr>
                <w:sz w:val="20"/>
                <w:szCs w:val="20"/>
                <w:color w:val="auto"/>
              </w:rPr>
            </w:pPr>
            <w:r>
              <w:rPr>
                <w:rFonts w:ascii="Arial" w:cs="Arial" w:eastAsia="Arial" w:hAnsi="Arial"/>
                <w:sz w:val="18"/>
                <w:szCs w:val="18"/>
                <w:b w:val="1"/>
                <w:bCs w:val="1"/>
                <w:color w:val="auto"/>
              </w:rPr>
              <w:t>March 31,</w:t>
            </w: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r>
      <w:tr>
        <w:trPr>
          <w:trHeight w:val="229"/>
        </w:trPr>
        <w:tc>
          <w:tcPr>
            <w:tcW w:w="826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2"/>
        </w:trPr>
        <w:tc>
          <w:tcPr>
            <w:tcW w:w="8260" w:type="dxa"/>
            <w:vAlign w:val="bottom"/>
          </w:tcPr>
          <w:p>
            <w:pPr>
              <w:ind w:left="20"/>
              <w:spacing w:after="0"/>
              <w:rPr>
                <w:sz w:val="20"/>
                <w:szCs w:val="20"/>
                <w:color w:val="auto"/>
              </w:rPr>
            </w:pPr>
            <w:r>
              <w:rPr>
                <w:rFonts w:ascii="Arial" w:cs="Arial" w:eastAsia="Arial" w:hAnsi="Arial"/>
                <w:sz w:val="18"/>
                <w:szCs w:val="18"/>
                <w:color w:val="auto"/>
              </w:rPr>
              <w:t>Macro tower sites</w:t>
            </w:r>
          </w:p>
        </w:tc>
        <w:tc>
          <w:tcPr>
            <w:tcW w:w="144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Tenants (1)</w:t>
            </w:r>
          </w:p>
        </w:tc>
        <w:tc>
          <w:tcPr>
            <w:tcW w:w="144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Average tenants per tower</w:t>
            </w: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1.85</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ind w:left="660" w:hanging="328"/>
        <w:spacing w:after="0" w:line="255" w:lineRule="auto"/>
        <w:tabs>
          <w:tab w:leader="none" w:pos="652"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236 and 203 intercompany tenants for our Wireless operations, (reported as a discontinued operation), and Broadband operations, as of March 31, 2021 and 2020,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Tower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6"/>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80" w:type="dxa"/>
            <w:vAlign w:val="bottom"/>
          </w:tcPr>
          <w:p>
            <w:pPr>
              <w:jc w:val="right"/>
              <w:ind w:right="44"/>
              <w:spacing w:after="0"/>
              <w:rPr>
                <w:sz w:val="20"/>
                <w:szCs w:val="20"/>
                <w:color w:val="auto"/>
              </w:rPr>
            </w:pPr>
            <w:r>
              <w:rPr>
                <w:rFonts w:ascii="Arial" w:cs="Arial" w:eastAsia="Arial" w:hAnsi="Arial"/>
                <w:sz w:val="18"/>
                <w:szCs w:val="18"/>
                <w:b w:val="1"/>
                <w:bCs w:val="1"/>
                <w:color w:val="auto"/>
                <w:w w:val="96"/>
              </w:rPr>
              <w:t>% of Revenue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7"/>
              <w:spacing w:after="0"/>
              <w:rPr>
                <w:sz w:val="20"/>
                <w:szCs w:val="20"/>
                <w:color w:val="auto"/>
              </w:rPr>
            </w:pPr>
            <w:r>
              <w:rPr>
                <w:rFonts w:ascii="Arial" w:cs="Arial" w:eastAsia="Arial" w:hAnsi="Arial"/>
                <w:sz w:val="18"/>
                <w:szCs w:val="18"/>
                <w:b w:val="1"/>
                <w:bCs w:val="1"/>
                <w:color w:val="auto"/>
              </w:rPr>
              <w:t>%</w:t>
            </w:r>
          </w:p>
        </w:tc>
      </w:tr>
      <w:tr>
        <w:trPr>
          <w:trHeight w:val="222"/>
        </w:trPr>
        <w:tc>
          <w:tcPr>
            <w:tcW w:w="4280" w:type="dxa"/>
            <w:vAlign w:val="bottom"/>
          </w:tcPr>
          <w:p>
            <w:pPr>
              <w:ind w:left="120"/>
              <w:spacing w:after="0"/>
              <w:rPr>
                <w:sz w:val="20"/>
                <w:szCs w:val="20"/>
                <w:color w:val="auto"/>
              </w:rPr>
            </w:pPr>
            <w:r>
              <w:rPr>
                <w:rFonts w:ascii="Arial" w:cs="Arial" w:eastAsia="Arial" w:hAnsi="Arial"/>
                <w:sz w:val="18"/>
                <w:szCs w:val="18"/>
                <w:color w:val="auto"/>
              </w:rPr>
              <w:t>Tower revenue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4,665</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3,730</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w:t>
            </w:r>
          </w:p>
        </w:tc>
      </w:tr>
      <w:tr>
        <w:trPr>
          <w:trHeight w:val="230"/>
        </w:trPr>
        <w:tc>
          <w:tcPr>
            <w:tcW w:w="4280" w:type="dxa"/>
            <w:vAlign w:val="bottom"/>
          </w:tcPr>
          <w:p>
            <w:pPr>
              <w:ind w:left="120"/>
              <w:spacing w:after="0"/>
              <w:rPr>
                <w:sz w:val="20"/>
                <w:szCs w:val="20"/>
                <w:color w:val="auto"/>
              </w:rPr>
            </w:pPr>
            <w:r>
              <w:rPr>
                <w:rFonts w:ascii="Arial" w:cs="Arial" w:eastAsia="Arial" w:hAnsi="Arial"/>
                <w:sz w:val="18"/>
                <w:szCs w:val="18"/>
                <w:color w:val="auto"/>
              </w:rPr>
              <w:t>Tower operating expenses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1,935</w:t>
            </w:r>
          </w:p>
        </w:tc>
        <w:tc>
          <w:tcPr>
            <w:tcW w:w="12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Tower operating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1,795</w:t>
            </w:r>
          </w:p>
        </w:tc>
        <w:tc>
          <w:tcPr>
            <w:tcW w:w="12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21"/>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Revenue increased approximately $0.9 million, or 25.1%, during the three months ended March 31, 2021 compared with the three months ended March 31, 2020. This increase was due to an 8.6% increase in tenants and a 14.7% increase in average revenue per tenant.</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Revenue earned from leasing colocation space to our discontinued wireless operations was approximately $2.5 million and $1.9 million during the three months ended March 31, 2021 and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consistent with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 Liquidity and Capital Resources</w:t>
      </w:r>
    </w:p>
    <w:p>
      <w:pPr>
        <w:spacing w:after="0" w:line="2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Sources and Uses of Cash: </w:t>
      </w:r>
      <w:r>
        <w:rPr>
          <w:rFonts w:ascii="Arial" w:cs="Arial" w:eastAsia="Arial" w:hAnsi="Arial"/>
          <w:sz w:val="18"/>
          <w:szCs w:val="18"/>
          <w:color w:val="auto"/>
        </w:rPr>
        <w:t>Our principal sources of liquidity are our cash and cash equivalents, cash generated from operations, proceeds available under</w:t>
      </w:r>
      <w:r>
        <w:rPr>
          <w:rFonts w:ascii="Arial" w:cs="Arial" w:eastAsia="Arial" w:hAnsi="Arial"/>
          <w:sz w:val="18"/>
          <w:szCs w:val="18"/>
          <w:i w:val="1"/>
          <w:iCs w:val="1"/>
          <w:color w:val="auto"/>
        </w:rPr>
        <w:t xml:space="preserve"> </w:t>
      </w:r>
      <w:r>
        <w:rPr>
          <w:rFonts w:ascii="Arial" w:cs="Arial" w:eastAsia="Arial" w:hAnsi="Arial"/>
          <w:sz w:val="18"/>
          <w:szCs w:val="18"/>
          <w:color w:val="auto"/>
        </w:rPr>
        <w:t>our revolving line of credit, and proceeds from dispositions.</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2021 our cash and cash equivalents totaled $229.2 million and the availability under our revolving line of credit was $75.0 million, for total available liquidity of $304.2 million.</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activities from continuing operations generated approximately $9.1 million during the three months ended March 31, 2021, representing a decrease of $4.1 million compared with 2020, driven by changes in working capital.</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activities from discontinued operations generated $75.5 million during the three months ended March 31, 2021, as compared to $47.9 million during the three months ended March 31, 2020 driven by an increase in operating income.</w:t>
      </w:r>
    </w:p>
    <w:p>
      <w:pPr>
        <w:spacing w:after="0" w:line="19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Net cash used in investing activities for continuing operations increased $16.4 million during the three months ended March 31, 2021, compared with the three months ended March 31, 2020 due to the following:</w:t>
      </w:r>
    </w:p>
    <w:p>
      <w:pPr>
        <w:spacing w:after="0" w:line="1" w:lineRule="exact"/>
        <w:rPr>
          <w:sz w:val="20"/>
          <w:szCs w:val="20"/>
          <w:color w:val="auto"/>
        </w:rPr>
      </w:pP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$16.1 million increase in capital expenditures due primarily to higher spending in the Broadband segment primarily driven by our Glo Fiber and Beam market expansions.</w:t>
      </w:r>
    </w:p>
    <w:p>
      <w:pPr>
        <w:ind w:left="66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used in investing activities for discontinued operations decreased $8.0 million to $0.9 million during the three months ended March 31, 2021, due to postponement of expansion projects in contemplation of the pending sale of our Wireless operations.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for continuing operations during the three months ended March 31, 2021 increased approximately $0.0 million compared with three months ended March 31, 2020, driven by a decline in share repurchases.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financing activities for discontinued operations during the three months ended March 31, 2021, was consistent with the prior year.</w:t>
      </w:r>
    </w:p>
    <w:p>
      <w:pPr>
        <w:spacing w:after="0" w:line="2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Indebtedness</w:t>
      </w:r>
      <w:r>
        <w:rPr>
          <w:rFonts w:ascii="Arial" w:cs="Arial" w:eastAsia="Arial" w:hAnsi="Arial"/>
          <w:sz w:val="17"/>
          <w:szCs w:val="17"/>
          <w:color w:val="auto"/>
        </w:rPr>
        <w:t>: As of March 31, 2021, the Company’s indebtedness totaled approximately $689.4 million, with an annualized overall weighted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rate of approximately 2.2%. As of March 31, 2021, we were in compliance with the financial covenants in our Credit Facility agreement.</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Disposition of Wireless</w:t>
      </w:r>
      <w:r>
        <w:rPr>
          <w:rFonts w:ascii="Arial" w:cs="Arial" w:eastAsia="Arial" w:hAnsi="Arial"/>
          <w:sz w:val="17"/>
          <w:szCs w:val="17"/>
          <w:color w:val="auto"/>
        </w:rPr>
        <w:t>: Shentel currently expects that the after-tax proceeds from the sale of Shentel Wireless will be approximately $1.5 billion.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will be accounted for as an asset sale for income tax purposes. Cash proceeds from the sale are required to be used to immediately repay our outstanding indebtedness. Principal payments on our debt are thus presented as cash used to finance our discontinued operations. The Company currently expects to use the after-tax proceeds from the sale of Shentel Wireless to, among other things:</w:t>
      </w:r>
    </w:p>
    <w:p>
      <w:pPr>
        <w:spacing w:after="0" w:line="2" w:lineRule="exact"/>
        <w:rPr>
          <w:sz w:val="20"/>
          <w:szCs w:val="20"/>
          <w:color w:val="auto"/>
        </w:rPr>
      </w:pPr>
    </w:p>
    <w:p>
      <w:pPr>
        <w:ind w:left="660" w:right="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Repay and terminate approximately $692 million of outstanding term loans under our credit agreement, and associated interest rate swap liabilities, concurrent with the closing of the disposition;</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 a Special Dividend of $18.75 per share to Shentel’s shareholders, approximately $932 million</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to pay the Special Dividend in the third quarter 2021 after the close of the Shentel Wireless transaction, subject to the approval of Shentel’s Board of Directors.</w:t>
      </w:r>
    </w:p>
    <w:p>
      <w:pPr>
        <w:spacing w:after="0" w:line="19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Following the disposition of Wireless and concurrent repayment of our outstanding term loans, we expect to secure a new credit facility, to assist in funding our strategic initiatives and future growth.</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our cash on hand, proceeds received from dispositions, and cash flow from continuing operations will be sufficient to meet our anticipated liquidity needs for business operations for the next twelve months. There can be no assurance that we will continue to generate cash flows at or above current levels or that we will be able to raise additional financing to support the Company's planned capital expenditures.</w:t>
      </w:r>
    </w:p>
    <w:p>
      <w:pPr>
        <w:spacing w:after="0" w:line="19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expect our capital expenditures to exceed the cash flow provided from continuing operations through 2023, as we expand our Glo Fiber and Beam broadband services into new markets.</w:t>
      </w:r>
    </w:p>
    <w:p>
      <w:pPr>
        <w:spacing w:after="0" w:line="198"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actual amount and timing of our future capital requirements may differ materially from our estimate depending on the demand for our products and services, the outcome of the sale of our discontinued wireless operations to T-Mobile, new market developments and expansion opportunities.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proceeds from dispositions and cash flows from continuing operations could be adversely affected by events outside our control, including, without limitation, changes in overall economic conditions, regulatory requirements, changes in technologies,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particularly in our Broadband markets, is critical to our ability to maintain a positive cash flow from operations. The foregoing events individually or collectively could affect our results.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critical accounting policies as previously disclosed in Part II, Item 8 of our Annual Report on Form 10-K for the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31, 2021, the Company had $689.4 million of gross variable rate debt outstanding, (i.e. outstanding principal on term loans A-1 and A-2), bearing interest at a weighted average rate of 2.2%. An increase in market interest rates of 1.00% would add approximately $6.8 million to annual interest expense, excluding the effect of our interest rate swaps. The swaps cover notional principal equal to $275.3 million, or approximately 39.9% as of March 31, 2021. The Company is required to pay a combined fixed rate of approximately 1.16% and receive a variable rate based on one month LIBOR (0.11% at March 31, 2021), to manage a portion of its interest rate risk. Changes in the net interest paid or received under the swaps would offset a corresponding portion of the change in interest expense on the variable rate debt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with the participation of our President and Chief Executive Officer, who is the Principal Executive Officer, the Senior Vice President - Finance and Chief Financial Officer, who is the Principal Financial Officer, and the Vice President and Chief Accounting Officer, who is the Principal Accounting Officer, conducted an evaluation of our disclosure controls and procedures, (as defined by Rule 13a-15(e) under the Securities Exchange Act of 1934), as of the end of the period covered by this Quarterly report on Form 10-Q.</w:t>
      </w:r>
    </w:p>
    <w:p>
      <w:pPr>
        <w:spacing w:after="0" w:line="10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As disclosed in our Annual Report on Form 10-K for our fiscal year ended </w:t>
      </w:r>
      <w:r>
        <w:rPr>
          <w:rFonts w:ascii="Arial" w:cs="Arial" w:eastAsia="Arial" w:hAnsi="Arial"/>
          <w:sz w:val="17"/>
          <w:szCs w:val="17"/>
          <w:color w:val="212529"/>
        </w:rPr>
        <w:t>December 31, 2020</w:t>
      </w:r>
      <w:r>
        <w:rPr>
          <w:rFonts w:ascii="Arial" w:cs="Arial" w:eastAsia="Arial" w:hAnsi="Arial"/>
          <w:sz w:val="17"/>
          <w:szCs w:val="17"/>
          <w:color w:val="auto"/>
        </w:rPr>
        <w:t>, we identified material weaknesses in internal control over financial reporting. The material weaknesses will not be considered remediated until the applicable enhanced controls operate for a sufficient period of time and management has concluded, through testing, that these controls are operating effectively. As remediation has not yet been completed, our President and Chief Executive Officer, our Senior Vice President - Finance and Chief Financial Officer, and our Vice President - Chief Accounting Officer, have concluded that our disclosure controls and procedures continued to be ineffective as of March 31, 2021.</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light of the material weaknesses, management performed additional analysis and other procedures to ensure that our unaudited condensed consolidated financial statements were prepared in accordance with U.S. generally accepted accounting principles (GAAP).</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Notwithstanding the material weaknesses, management has concluded that the unaudited condensed consolidated financial statements included in this Quarterly Report on Form 10-Q fairly state, in all material respects, our financial position, results of operations and cash flows for the periods presented.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the Company continued execution of Management's Remediation Plan. Aside from continued improvements under this plan,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jc w:val="both"/>
        <w:ind w:left="820"/>
        <w:spacing w:after="0" w:line="224" w:lineRule="auto"/>
        <w:rPr>
          <w:sz w:val="20"/>
          <w:szCs w:val="20"/>
          <w:color w:val="auto"/>
        </w:rPr>
      </w:pPr>
      <w:r>
        <w:rPr>
          <w:rFonts w:ascii="Arial" w:cs="Arial" w:eastAsia="Arial" w:hAnsi="Arial"/>
          <w:sz w:val="18"/>
          <w:szCs w:val="18"/>
          <w:color w:val="auto"/>
        </w:rPr>
        <w:t>We discuss in our Annual Report on Form 10-K various risks that may materially affect our business. We use this section to update this discussion to reflect material developments since our Form 10-K was filed. As of March 31, 2021, the Company has not identified any needed updates to the risk factors included in our most recent Form 10-K.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Registered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or Affiliated Purchasers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about shares surrendered during the first quarter ended March 31, 2021, to settle employee tax withholding related to the vesting of stock awards and through the share repurchase program.</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Total Number of Shares</w:t>
            </w:r>
          </w:p>
        </w:tc>
        <w:tc>
          <w:tcPr>
            <w:tcW w:w="140" w:type="dxa"/>
            <w:vAlign w:val="bottom"/>
          </w:tcPr>
          <w:p>
            <w:pPr>
              <w:spacing w:after="0"/>
              <w:rPr>
                <w:sz w:val="17"/>
                <w:szCs w:val="17"/>
                <w:color w:val="auto"/>
              </w:rPr>
            </w:pPr>
          </w:p>
        </w:tc>
        <w:tc>
          <w:tcPr>
            <w:tcW w:w="25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4"/>
              </w:rPr>
              <w:t>Approximate Dollar Value that</w:t>
            </w:r>
          </w:p>
        </w:tc>
        <w:tc>
          <w:tcPr>
            <w:tcW w:w="0" w:type="dxa"/>
            <w:vAlign w:val="bottom"/>
          </w:tcPr>
          <w:p>
            <w:pPr>
              <w:spacing w:after="0"/>
              <w:rPr>
                <w:sz w:val="1"/>
                <w:szCs w:val="1"/>
                <w:color w:val="auto"/>
              </w:rPr>
            </w:pPr>
          </w:p>
        </w:tc>
      </w:tr>
      <w:tr>
        <w:trPr>
          <w:trHeight w:val="175"/>
        </w:trPr>
        <w:tc>
          <w:tcPr>
            <w:tcW w:w="300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 except per share</w:t>
            </w: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9"/>
              </w:rPr>
              <w:t>Average Price</w:t>
            </w:r>
          </w:p>
        </w:tc>
        <w:tc>
          <w:tcPr>
            <w:tcW w:w="180" w:type="dxa"/>
            <w:vAlign w:val="bottom"/>
          </w:tcPr>
          <w:p>
            <w:pPr>
              <w:spacing w:after="0"/>
              <w:rPr>
                <w:sz w:val="15"/>
                <w:szCs w:val="15"/>
                <w:color w:val="auto"/>
              </w:rPr>
            </w:pPr>
          </w:p>
        </w:tc>
        <w:tc>
          <w:tcPr>
            <w:tcW w:w="21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8"/>
              </w:rPr>
              <w:t>Purchased as Part of</w:t>
            </w:r>
          </w:p>
        </w:tc>
        <w:tc>
          <w:tcPr>
            <w:tcW w:w="140" w:type="dxa"/>
            <w:vAlign w:val="bottom"/>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2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Publicly Announced Plans or</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tcPr>
          <w:p>
            <w:pPr>
              <w:jc w:val="right"/>
              <w:ind w:right="70"/>
              <w:spacing w:after="0" w:line="176" w:lineRule="exact"/>
              <w:rPr>
                <w:sz w:val="20"/>
                <w:szCs w:val="20"/>
                <w:color w:val="auto"/>
              </w:rPr>
            </w:pPr>
            <w:r>
              <w:rPr>
                <w:rFonts w:ascii="Arial" w:cs="Arial" w:eastAsia="Arial" w:hAnsi="Arial"/>
                <w:sz w:val="18"/>
                <w:szCs w:val="18"/>
                <w:b w:val="1"/>
                <w:bCs w:val="1"/>
                <w:color w:val="auto"/>
                <w:w w:val="90"/>
              </w:rPr>
              <w:t>May Yet be Purchased under</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i w:val="1"/>
                <w:iCs w:val="1"/>
                <w:color w:val="auto"/>
              </w:rPr>
              <w:t>amounts)</w:t>
            </w: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Surrendered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Paid per Share</w:t>
            </w:r>
          </w:p>
        </w:tc>
        <w:tc>
          <w:tcPr>
            <w:tcW w:w="180" w:type="dxa"/>
            <w:vAlign w:val="bottom"/>
          </w:tcPr>
          <w:p>
            <w:pPr>
              <w:spacing w:after="0"/>
              <w:rPr>
                <w:sz w:val="19"/>
                <w:szCs w:val="19"/>
                <w:color w:val="auto"/>
              </w:rPr>
            </w:pPr>
          </w:p>
        </w:tc>
        <w:tc>
          <w:tcPr>
            <w:tcW w:w="21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Programs (1)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tcPr>
          <w:p>
            <w:pPr>
              <w:jc w:val="right"/>
              <w:ind w:right="310"/>
              <w:spacing w:after="0"/>
              <w:rPr>
                <w:sz w:val="20"/>
                <w:szCs w:val="20"/>
                <w:color w:val="auto"/>
              </w:rPr>
            </w:pPr>
            <w:r>
              <w:rPr>
                <w:rFonts w:ascii="Arial" w:cs="Arial" w:eastAsia="Arial" w:hAnsi="Arial"/>
                <w:sz w:val="18"/>
                <w:szCs w:val="18"/>
                <w:b w:val="1"/>
                <w:bCs w:val="1"/>
                <w:color w:val="auto"/>
              </w:rPr>
              <w:t>the Plans or Programs</w:t>
            </w:r>
          </w:p>
        </w:tc>
        <w:tc>
          <w:tcPr>
            <w:tcW w:w="0" w:type="dxa"/>
            <w:vAlign w:val="bottom"/>
          </w:tcPr>
          <w:p>
            <w:pPr>
              <w:spacing w:after="0"/>
              <w:rPr>
                <w:sz w:val="1"/>
                <w:szCs w:val="1"/>
                <w:color w:val="auto"/>
              </w:rPr>
            </w:pPr>
          </w:p>
        </w:tc>
      </w:tr>
      <w:tr>
        <w:trPr>
          <w:trHeight w:val="222"/>
        </w:trPr>
        <w:tc>
          <w:tcPr>
            <w:tcW w:w="3000" w:type="dxa"/>
            <w:vAlign w:val="bottom"/>
          </w:tcPr>
          <w:p>
            <w:pPr>
              <w:spacing w:after="0"/>
              <w:rPr>
                <w:sz w:val="20"/>
                <w:szCs w:val="20"/>
                <w:color w:val="auto"/>
              </w:rPr>
            </w:pPr>
            <w:r>
              <w:rPr>
                <w:rFonts w:ascii="Arial" w:cs="Arial" w:eastAsia="Arial" w:hAnsi="Arial"/>
                <w:sz w:val="18"/>
                <w:szCs w:val="18"/>
                <w:color w:val="auto"/>
              </w:rPr>
              <w:t>January 1 to January 31</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spacing w:after="0"/>
              <w:rPr>
                <w:sz w:val="20"/>
                <w:szCs w:val="20"/>
                <w:color w:val="auto"/>
              </w:rPr>
            </w:pPr>
            <w:r>
              <w:rPr>
                <w:rFonts w:ascii="Arial" w:cs="Arial" w:eastAsia="Arial" w:hAnsi="Arial"/>
                <w:sz w:val="18"/>
                <w:szCs w:val="18"/>
                <w:color w:val="auto"/>
              </w:rPr>
              <w:t>February 1 to February 28</w:t>
            </w:r>
          </w:p>
        </w:tc>
        <w:tc>
          <w:tcPr>
            <w:tcW w:w="1500" w:type="dxa"/>
            <w:vAlign w:val="bottom"/>
          </w:tcPr>
          <w:p>
            <w:pPr>
              <w:jc w:val="right"/>
              <w:spacing w:after="0"/>
              <w:rPr>
                <w:sz w:val="20"/>
                <w:szCs w:val="20"/>
                <w:color w:val="auto"/>
              </w:rPr>
            </w:pPr>
            <w:r>
              <w:rPr>
                <w:rFonts w:ascii="Arial" w:cs="Arial" w:eastAsia="Arial" w:hAnsi="Arial"/>
                <w:sz w:val="18"/>
                <w:szCs w:val="18"/>
                <w:color w:val="auto"/>
              </w:rPr>
              <w:t>33,450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ind w:left="18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March 1 to March 31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48.81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Reinvestment Plan</w:t>
      </w:r>
    </w:p>
    <w:p>
      <w:pPr>
        <w:spacing w:after="0" w:line="2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Company maintains a dividend reinvestment plan (the “DRIP”) for the benefit of its shareholders. When shareholders remove shares from the DRIP, the Company issues whole shares in book entry form, pays out cash for any fractional shares, and cancels the fractional shares. In conjunction with the vesting of shares or exercise of stock options, the grantees may surrender awards necessary to cover the statutory tax withholding requirements and any amounts required to cover stock option strike prices associated with the transaction.</w:t>
      </w:r>
    </w:p>
    <w:p>
      <w:pPr>
        <w:spacing w:after="0" w:line="220"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Based on the current number of shares enrolled in the dividend reinvestment plan (the “DRIP”), as observed in April 2021, the Company expects that approximately 79 thousand new shares of common stock will be issued to DRIP participants during 2021 in connection with the Special Dividend. Participation in the DRIP is subject to change at the discretion of the shareholders.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Index</w:t>
      </w:r>
    </w:p>
    <w:p>
      <w:pPr>
        <w:spacing w:after="0" w:line="387"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Exhibit Description</w:t>
      </w:r>
    </w:p>
    <w:p>
      <w:pPr>
        <w:spacing w:after="0" w:line="337" w:lineRule="exact"/>
        <w:rPr>
          <w:sz w:val="20"/>
          <w:szCs w:val="20"/>
          <w:color w:val="auto"/>
        </w:rPr>
      </w:pPr>
    </w:p>
    <w:p>
      <w:pPr>
        <w:ind w:left="400"/>
        <w:spacing w:after="0"/>
        <w:tabs>
          <w:tab w:leader="none" w:pos="1200" w:val="left"/>
        </w:tabs>
        <w:rPr>
          <w:rFonts w:ascii="Arial" w:cs="Arial" w:eastAsia="Arial" w:hAnsi="Arial"/>
          <w:sz w:val="18"/>
          <w:szCs w:val="18"/>
          <w:color w:val="0000FF"/>
        </w:rPr>
      </w:pPr>
      <w:hyperlink w:anchor="page27">
        <w:r>
          <w:rPr>
            <w:rFonts w:ascii="Arial" w:cs="Arial" w:eastAsia="Arial" w:hAnsi="Arial"/>
            <w:sz w:val="18"/>
            <w:szCs w:val="18"/>
            <w:u w:val="single" w:color="auto"/>
            <w:color w:val="0000FF"/>
          </w:rPr>
          <w:t>31.1</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Chief Executive Officer pursuant to Rule 13a-14(a) under the Securities Exchange Act of 1934.</w:t>
      </w:r>
    </w:p>
    <w:p>
      <w:pPr>
        <w:spacing w:after="0" w:line="252" w:lineRule="exact"/>
        <w:rPr>
          <w:sz w:val="20"/>
          <w:szCs w:val="20"/>
          <w:color w:val="auto"/>
        </w:rPr>
      </w:pPr>
    </w:p>
    <w:p>
      <w:pPr>
        <w:ind w:left="400"/>
        <w:spacing w:after="0"/>
        <w:tabs>
          <w:tab w:leader="none" w:pos="1200" w:val="left"/>
        </w:tabs>
        <w:rPr>
          <w:rFonts w:ascii="Arial" w:cs="Arial" w:eastAsia="Arial" w:hAnsi="Arial"/>
          <w:sz w:val="18"/>
          <w:szCs w:val="18"/>
          <w:color w:val="0000FF"/>
        </w:rPr>
      </w:pPr>
      <w:hyperlink w:anchor="page28">
        <w:r>
          <w:rPr>
            <w:rFonts w:ascii="Arial" w:cs="Arial" w:eastAsia="Arial" w:hAnsi="Arial"/>
            <w:sz w:val="18"/>
            <w:szCs w:val="18"/>
            <w:u w:val="single" w:color="auto"/>
            <w:color w:val="0000FF"/>
          </w:rPr>
          <w:t>31.2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Principal Financial Officer pursuant to Rule 13a-14(a) under the Securities Exchange Act of 1934.</w:t>
      </w:r>
    </w:p>
    <w:p>
      <w:pPr>
        <w:spacing w:after="0" w:line="293" w:lineRule="exact"/>
        <w:rPr>
          <w:sz w:val="20"/>
          <w:szCs w:val="20"/>
          <w:color w:val="auto"/>
        </w:rPr>
      </w:pPr>
    </w:p>
    <w:p>
      <w:pPr>
        <w:ind w:left="400"/>
        <w:spacing w:after="0"/>
        <w:tabs>
          <w:tab w:leader="none" w:pos="1200" w:val="left"/>
        </w:tabs>
        <w:rPr>
          <w:rFonts w:ascii="Arial" w:cs="Arial" w:eastAsia="Arial" w:hAnsi="Arial"/>
          <w:sz w:val="18"/>
          <w:szCs w:val="18"/>
          <w:color w:val="0000FF"/>
        </w:rPr>
      </w:pPr>
      <w:hyperlink w:anchor="page29">
        <w:r>
          <w:rPr>
            <w:rFonts w:ascii="Arial" w:cs="Arial" w:eastAsia="Arial" w:hAnsi="Arial"/>
            <w:sz w:val="18"/>
            <w:szCs w:val="18"/>
            <w:u w:val="single" w:color="auto"/>
            <w:color w:val="0000FF"/>
          </w:rPr>
          <w:t>31.3</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Principal Accounting Officer pursuant to Rule 13a-14(a) under the Securities Exchange Act of 1934.</w:t>
      </w:r>
    </w:p>
    <w:p>
      <w:pPr>
        <w:spacing w:after="0" w:line="333" w:lineRule="exact"/>
        <w:rPr>
          <w:sz w:val="20"/>
          <w:szCs w:val="20"/>
          <w:color w:val="auto"/>
        </w:rPr>
      </w:pPr>
    </w:p>
    <w:p>
      <w:pPr>
        <w:ind w:left="420"/>
        <w:spacing w:after="0"/>
        <w:tabs>
          <w:tab w:leader="none" w:pos="1200" w:val="left"/>
        </w:tabs>
        <w:rPr>
          <w:rFonts w:ascii="Arial" w:cs="Arial" w:eastAsia="Arial" w:hAnsi="Arial"/>
          <w:sz w:val="18"/>
          <w:szCs w:val="18"/>
          <w:color w:val="0000FF"/>
        </w:rPr>
      </w:pPr>
      <w:hyperlink w:anchor="page30">
        <w:r>
          <w:rPr>
            <w:rFonts w:ascii="Arial" w:cs="Arial" w:eastAsia="Arial" w:hAnsi="Arial"/>
            <w:sz w:val="18"/>
            <w:szCs w:val="18"/>
            <w:u w:val="single" w:color="auto"/>
            <w:color w:val="0000FF"/>
          </w:rPr>
          <w:t>32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Certifications pursuant to Rule 13a-14(b) under the Securities Exchange Act of 1934 and 18 U.S.C. § 1350.</w:t>
      </w:r>
    </w:p>
    <w:p>
      <w:pPr>
        <w:spacing w:after="0" w:line="252" w:lineRule="exact"/>
        <w:rPr>
          <w:sz w:val="20"/>
          <w:szCs w:val="20"/>
          <w:color w:val="auto"/>
        </w:rPr>
      </w:pPr>
    </w:p>
    <w:p>
      <w:pPr>
        <w:ind w:left="1220" w:hanging="813"/>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21"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8740" w:type="dxa"/>
            <w:vAlign w:val="bottom"/>
            <w:gridSpan w:val="3"/>
          </w:tcPr>
          <w:p>
            <w:pPr>
              <w:ind w:left="32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w:t>
            </w:r>
          </w:p>
        </w:tc>
      </w:tr>
      <w:tr>
        <w:trPr>
          <w:trHeight w:val="230"/>
        </w:trPr>
        <w:tc>
          <w:tcPr>
            <w:tcW w:w="1000" w:type="dxa"/>
            <w:vAlign w:val="bottom"/>
          </w:tcPr>
          <w:p>
            <w:pPr>
              <w:spacing w:after="0"/>
              <w:rPr>
                <w:sz w:val="20"/>
                <w:szCs w:val="20"/>
                <w:color w:val="auto"/>
              </w:rPr>
            </w:pPr>
          </w:p>
        </w:tc>
        <w:tc>
          <w:tcPr>
            <w:tcW w:w="8740" w:type="dxa"/>
            <w:vAlign w:val="bottom"/>
            <w:gridSpan w:val="3"/>
          </w:tcPr>
          <w:p>
            <w:pPr>
              <w:ind w:left="320"/>
              <w:spacing w:after="0"/>
              <w:rPr>
                <w:sz w:val="20"/>
                <w:szCs w:val="20"/>
                <w:color w:val="auto"/>
              </w:rPr>
            </w:pPr>
            <w:r>
              <w:rPr>
                <w:rFonts w:ascii="Arial" w:cs="Arial" w:eastAsia="Arial" w:hAnsi="Arial"/>
                <w:sz w:val="18"/>
                <w:szCs w:val="18"/>
                <w:color w:val="auto"/>
              </w:rPr>
              <w:t>are embedded within the Inline XBRL document</w:t>
            </w:r>
          </w:p>
        </w:tc>
      </w:tr>
      <w:tr>
        <w:trPr>
          <w:trHeight w:val="458"/>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874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874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874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874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874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135"/>
        </w:trPr>
        <w:tc>
          <w:tcPr>
            <w:tcW w:w="10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80" w:type="dxa"/>
            <w:vAlign w:val="bottom"/>
          </w:tcPr>
          <w:p>
            <w:pPr>
              <w:spacing w:after="0"/>
              <w:rPr>
                <w:sz w:val="11"/>
                <w:szCs w:val="11"/>
                <w:color w:val="auto"/>
              </w:rPr>
            </w:pPr>
          </w:p>
        </w:tc>
      </w:tr>
      <w:tr>
        <w:trPr>
          <w:trHeight w:val="68"/>
        </w:trPr>
        <w:tc>
          <w:tcPr>
            <w:tcW w:w="1000" w:type="dxa"/>
            <w:vAlign w:val="bottom"/>
          </w:tcPr>
          <w:p>
            <w:pPr>
              <w:spacing w:after="0"/>
              <w:rPr>
                <w:sz w:val="5"/>
                <w:szCs w:val="5"/>
                <w:color w:val="auto"/>
              </w:rPr>
            </w:pPr>
          </w:p>
        </w:tc>
        <w:tc>
          <w:tcPr>
            <w:tcW w:w="3000" w:type="dxa"/>
            <w:vAlign w:val="bottom"/>
          </w:tcPr>
          <w:p>
            <w:pPr>
              <w:spacing w:after="0"/>
              <w:rPr>
                <w:sz w:val="5"/>
                <w:szCs w:val="5"/>
                <w:color w:val="auto"/>
              </w:rPr>
            </w:pPr>
          </w:p>
        </w:tc>
        <w:tc>
          <w:tcPr>
            <w:tcW w:w="860" w:type="dxa"/>
            <w:vAlign w:val="bottom"/>
            <w:shd w:val="clear" w:color="auto" w:fill="444444"/>
          </w:tcPr>
          <w:p>
            <w:pPr>
              <w:spacing w:after="0"/>
              <w:rPr>
                <w:sz w:val="5"/>
                <w:szCs w:val="5"/>
                <w:color w:val="auto"/>
              </w:rPr>
            </w:pPr>
          </w:p>
        </w:tc>
        <w:tc>
          <w:tcPr>
            <w:tcW w:w="4880" w:type="dxa"/>
            <w:vAlign w:val="bottom"/>
          </w:tcPr>
          <w:p>
            <w:pPr>
              <w:spacing w:after="0"/>
              <w:rPr>
                <w:sz w:val="5"/>
                <w:szCs w:val="5"/>
                <w:color w:val="auto"/>
              </w:rPr>
            </w:pPr>
          </w:p>
        </w:tc>
      </w:tr>
    </w:tbl>
    <w:p>
      <w:pPr>
        <w:spacing w:after="0" w:line="26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98" w:lineRule="exact"/>
        <w:rPr>
          <w:sz w:val="20"/>
          <w:szCs w:val="20"/>
          <w:color w:val="auto"/>
        </w:rPr>
      </w:pPr>
    </w:p>
    <w:p>
      <w:pPr>
        <w:ind w:left="660" w:hanging="652"/>
        <w:spacing w:after="0" w:line="263" w:lineRule="auto"/>
        <w:tabs>
          <w:tab w:leader="none" w:pos="41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SHENANDOAH TELECOMMUNICATIONS COMPANY</w:t>
      </w:r>
    </w:p>
    <w:p>
      <w:pPr>
        <w:spacing w:after="0" w:line="374" w:lineRule="exact"/>
        <w:rPr>
          <w:sz w:val="20"/>
          <w:szCs w:val="20"/>
          <w:color w:val="auto"/>
        </w:rPr>
      </w:pPr>
    </w:p>
    <w:p>
      <w:pPr>
        <w:ind w:left="128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James J. Volk</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Senior Vice President - Chief Financial Officer</w:t>
      </w:r>
    </w:p>
    <w:p>
      <w:pPr>
        <w:ind w:left="1280"/>
        <w:spacing w:after="0"/>
        <w:rPr>
          <w:sz w:val="20"/>
          <w:szCs w:val="20"/>
          <w:color w:val="auto"/>
        </w:rPr>
      </w:pPr>
      <w:r>
        <w:rPr>
          <w:rFonts w:ascii="Arial" w:cs="Arial" w:eastAsia="Arial" w:hAnsi="Arial"/>
          <w:sz w:val="18"/>
          <w:szCs w:val="18"/>
          <w:i w:val="1"/>
          <w:iCs w:val="1"/>
          <w:color w:val="auto"/>
        </w:rPr>
        <w:t>(Principal Financial Officer)</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Date: April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320" w:top="125" w:right="37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9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4"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left="660" w:right="80" w:hanging="652"/>
        <w:spacing w:after="0" w:line="342" w:lineRule="auto"/>
        <w:tabs>
          <w:tab w:leader="none" w:pos="65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right="780" w:hanging="324"/>
        <w:spacing w:after="0" w:line="342" w:lineRule="auto"/>
        <w:tabs>
          <w:tab w:leader="none" w:pos="974"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April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391795</wp:posOffset>
            </wp:positionV>
            <wp:extent cx="7115175"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James J. Volk, certify that:</w:t>
      </w:r>
    </w:p>
    <w:p>
      <w:pPr>
        <w:spacing w:after="0" w:line="11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980" w:right="60" w:hanging="324"/>
        <w:spacing w:after="0" w:line="263" w:lineRule="auto"/>
        <w:tabs>
          <w:tab w:leader="none" w:pos="974"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4" w:val="left"/>
        </w:tabs>
        <w:numPr>
          <w:ilvl w:val="2"/>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hanging="324"/>
        <w:spacing w:after="0" w:line="263" w:lineRule="auto"/>
        <w:tabs>
          <w:tab w:leader="none" w:pos="974" w:val="left"/>
        </w:tabs>
        <w:numPr>
          <w:ilvl w:val="2"/>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571"/>
        <w:spacing w:after="0" w:line="342" w:lineRule="auto"/>
        <w:tabs>
          <w:tab w:leader="none" w:pos="654"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right="780" w:hanging="324"/>
        <w:spacing w:after="0" w:line="342" w:lineRule="auto"/>
        <w:tabs>
          <w:tab w:leader="none" w:pos="974" w:val="left"/>
        </w:tabs>
        <w:numPr>
          <w:ilvl w:val="2"/>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80" w:hanging="324"/>
        <w:spacing w:after="0" w:line="277" w:lineRule="auto"/>
        <w:tabs>
          <w:tab w:leader="none" w:pos="974" w:val="left"/>
        </w:tabs>
        <w:numPr>
          <w:ilvl w:val="2"/>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J. Volk, Senior Vice President –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April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15175"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Chase L. Stobbe, certify that:</w:t>
      </w:r>
    </w:p>
    <w:p>
      <w:pPr>
        <w:spacing w:after="0" w:line="11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9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980" w:right="60" w:hanging="324"/>
        <w:spacing w:after="0" w:line="263" w:lineRule="auto"/>
        <w:tabs>
          <w:tab w:leader="none" w:pos="974" w:val="left"/>
        </w:tabs>
        <w:numPr>
          <w:ilvl w:val="2"/>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2"/>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4" w:val="left"/>
        </w:tabs>
        <w:numPr>
          <w:ilvl w:val="2"/>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hanging="324"/>
        <w:spacing w:after="0" w:line="263" w:lineRule="auto"/>
        <w:tabs>
          <w:tab w:leader="none" w:pos="974" w:val="left"/>
        </w:tabs>
        <w:numPr>
          <w:ilvl w:val="2"/>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571"/>
        <w:spacing w:after="0" w:line="342" w:lineRule="auto"/>
        <w:tabs>
          <w:tab w:leader="none" w:pos="654"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right="780" w:hanging="324"/>
        <w:spacing w:after="0" w:line="342" w:lineRule="auto"/>
        <w:tabs>
          <w:tab w:leader="none" w:pos="974" w:val="left"/>
        </w:tabs>
        <w:numPr>
          <w:ilvl w:val="2"/>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80" w:hanging="324"/>
        <w:spacing w:after="0" w:line="277" w:lineRule="auto"/>
        <w:tabs>
          <w:tab w:leader="none" w:pos="974"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/s/CHASE L. STOBBE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Chase L. Stobbe, Vice President - Chief Accounting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Accounting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April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151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15175"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Senior Vice President - Chief Financial Officer, of Shenandoah Telecommunications Company (the “Company”), hereby certifies that, on the date hereof:</w:t>
      </w:r>
    </w:p>
    <w:p>
      <w:pPr>
        <w:spacing w:after="0" w:line="197" w:lineRule="exact"/>
        <w:rPr>
          <w:sz w:val="20"/>
          <w:szCs w:val="20"/>
          <w:color w:val="auto"/>
        </w:rPr>
      </w:pPr>
    </w:p>
    <w:p>
      <w:pPr>
        <w:ind w:firstLine="656"/>
        <w:spacing w:after="0" w:line="342" w:lineRule="auto"/>
        <w:tabs>
          <w:tab w:leader="none" w:pos="121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three months ended March 31, 2021 filed on the date hereof with the Securities and Exchange Commission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1220" w:hanging="564"/>
        <w:spacing w:after="0"/>
        <w:tabs>
          <w:tab w:leader="none" w:pos="1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/S/CHRISTOPHER E. FRENCH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Christopher E. French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April 29, 2021</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James J. Volk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 Chief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Fincncial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April 29, 2021</w:t>
      </w:r>
    </w:p>
    <w:p>
      <w:pPr>
        <w:spacing w:after="0" w:line="3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1517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20"/>
      </w:cols>
      <w:pgMar w:left="320" w:top="11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0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lvl w:ilvl="1">
      <w:lvlJc w:val="left"/>
      <w:lvlText w:val="(%2)"/>
      <w:numFmt w:val="decimal"/>
      <w:start w:val="1"/>
    </w:lvl>
  </w:abstractNum>
  <w:abstractNum w:abstractNumId="9">
    <w:nsid w:val="1190CDE7"/>
    <w:multiLevelType w:val="hybridMultilevel"/>
    <w:lvl w:ilvl="0">
      <w:lvlJc w:val="left"/>
      <w:lvlText w:val="(%1)"/>
      <w:numFmt w:val="decimal"/>
      <w:start w:val="5"/>
    </w:lvl>
    <w:lvl w:ilvl="1">
      <w:lvlJc w:val="left"/>
      <w:lvlText w:val="(%2)"/>
      <w:numFmt w:val="decimal"/>
      <w:start w:val="1"/>
    </w:lvl>
  </w:abstractNum>
  <w:abstractNum w:abstractNumId="10">
    <w:nsid w:val="66EF438D"/>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11">
    <w:nsid w:val="140E0F76"/>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2021-04-29T17:00:35Z</dcterms:created>
  <dcterms:modified xsi:type="dcterms:W3CDTF">2021-04-29T17:00:35Z</dcterms:modified>
</cp:coreProperties>
</file>