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20" w:right="2320" w:hanging="412"/>
        <w:spacing w:after="0" w:line="266"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2016</w:t>
      </w:r>
    </w:p>
    <w:p>
      <w:pPr>
        <w:spacing w:after="0" w:line="207" w:lineRule="exact"/>
        <w:rPr>
          <w:sz w:val="24"/>
          <w:szCs w:val="24"/>
          <w:color w:val="auto"/>
        </w:rPr>
      </w:pPr>
    </w:p>
    <w:p>
      <w:pPr>
        <w:ind w:left="420" w:right="2320" w:hanging="412"/>
        <w:spacing w:after="0" w:line="277"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41" w:right="239" w:bottom="1440" w:gutter="0" w:footer="0" w:header="0"/>
          <w:type w:val="continuous"/>
        </w:sectPr>
      </w:pPr>
    </w:p>
    <w:p>
      <w:pPr>
        <w:spacing w:after="0" w:line="49"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4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p>
      <w:pPr>
        <w:spacing w:after="0" w:line="207" w:lineRule="exact"/>
        <w:tabs>
          <w:tab w:leader="none" w:pos="298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2" w:lineRule="exact"/>
        <w:rPr>
          <w:sz w:val="24"/>
          <w:szCs w:val="24"/>
          <w:color w:val="auto"/>
        </w:rPr>
      </w:pPr>
    </w:p>
    <w:p>
      <w:pPr>
        <w:spacing w:after="0" w:line="207"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April 20, 2016 was 48,768,965.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90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9860" w:type="dxa"/>
            <w:vAlign w:val="bottom"/>
            <w:gridSpan w:val="16"/>
            <w:vMerge w:val="restart"/>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Pr>
          <w:p>
            <w:pPr>
              <w:spacing w:after="0"/>
              <w:rPr>
                <w:sz w:val="20"/>
                <w:szCs w:val="20"/>
                <w:color w:val="auto"/>
              </w:rPr>
            </w:pPr>
            <w:r>
              <w:rPr>
                <w:rFonts w:ascii="Arial" w:cs="Arial" w:eastAsia="Arial" w:hAnsi="Arial"/>
                <w:sz w:val="18"/>
                <w:szCs w:val="18"/>
                <w:color w:val="auto"/>
                <w:w w:val="87"/>
              </w:rPr>
              <w:t>Numbers</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9860" w:type="dxa"/>
            <w:vAlign w:val="bottom"/>
            <w:gridSpan w:val="16"/>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March 31, 2016 and December 31, 2015</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Consolidated Statements of Income and Comprehensive Income (Loss) for the Three Months Ended March 31, 2016 and</w:t>
              </w:r>
            </w:hyperlink>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186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Shareholders’ Equity for the Three Months Ended March 31, 2016 and the Year Ended December</w:t>
              </w:r>
            </w:hyperlink>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31, 2015</w:t>
              </w:r>
            </w:hyperlink>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Three Months Ended March 31, 2016 and 2015</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8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60" w:type="dxa"/>
            <w:vAlign w:val="bottom"/>
            <w:gridSpan w:val="1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 Index</w:t>
              </w:r>
            </w:hyperlink>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7"/>
          </w:tcPr>
          <w:p>
            <w:pPr>
              <w:spacing w:after="0"/>
              <w:rPr>
                <w:sz w:val="24"/>
                <w:szCs w:val="24"/>
                <w:color w:val="auto"/>
              </w:rPr>
            </w:pPr>
          </w:p>
        </w:tc>
        <w:tc>
          <w:tcPr>
            <w:tcW w:w="4860" w:type="dxa"/>
            <w:vAlign w:val="bottom"/>
            <w:tcBorders>
              <w:top w:val="single" w:sz="8" w:color="CCEEFF"/>
            </w:tcBorders>
            <w:gridSpan w:val="5"/>
          </w:tcPr>
          <w:p>
            <w:pPr>
              <w:jc w:val="right"/>
              <w:ind w:right="1000"/>
              <w:spacing w:after="0"/>
              <w:rPr>
                <w:sz w:val="20"/>
                <w:szCs w:val="20"/>
                <w:color w:val="auto"/>
              </w:rPr>
            </w:pPr>
            <w:r>
              <w:rPr>
                <w:rFonts w:ascii="Arial" w:cs="Arial" w:eastAsia="Arial" w:hAnsi="Arial"/>
                <w:sz w:val="14"/>
                <w:szCs w:val="14"/>
                <w:color w:val="auto"/>
              </w:rPr>
              <w:t>2</w:t>
            </w:r>
          </w:p>
        </w:tc>
        <w:tc>
          <w:tcPr>
            <w:tcW w:w="6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120"/>
        <w:spacing w:after="0" w:line="275"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BALANCE SHEETS </w:t>
      </w: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27,012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Materials and supplies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4,450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2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128,957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including $2,706 and $2,654 carried at fair value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410,949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67,283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2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11,323</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Arial" w:cs="Arial" w:eastAsia="Arial" w:hAnsi="Arial"/>
                <w:sz w:val="18"/>
                <w:szCs w:val="18"/>
                <w:b w:val="1"/>
                <w:bCs w:val="1"/>
                <w:color w:val="auto"/>
              </w:rPr>
              <w:t>Other assets, net</w:t>
            </w:r>
          </w:p>
        </w:tc>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78,606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2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629,372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March 31,</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22,508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10,720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11,981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2,037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7,767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55,013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171,535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71,767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lease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8,349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retirement obligations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7,412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12,027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long-term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99,555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33,274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270,628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303,269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629,372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6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2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INCOME AND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92,571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Cost of goods and services, exclusive of depreciation and amortization shown separately below</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31,762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Selling, general and administrative, exclusive of depreciation and amortization shown separately below</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21,758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71,259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21,312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Gain on investments, 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20,249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6,368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13,881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Unrealized loss on interest rate hedge, net of tax</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12,833</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0.29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48,563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49,249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22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94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STATEMENTS OF SHAREHOLDERS' EQUITY </w:t>
      </w:r>
      <w:r>
        <w:rPr>
          <w:rFonts w:ascii="Arial" w:cs="Arial" w:eastAsia="Arial" w:hAnsi="Arial"/>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48,265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29,712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227,512</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40,864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($0.24 per share)</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Common stock issued through exercise of incentive stock</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options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stock issued</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48,475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32,776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256,747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13,881</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4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48,769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33,274</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270,628</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17,454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on stock awards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disposal of equipment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Unrealized gains on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from patronage and equity investments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Amortization of long term debt issuance costs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2,470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6,981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lease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deferrals and accruals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43,170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property, plant and equipment</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distributions from investments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Cash disbursed for acquisition</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paid for debt issuance costs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(3,526)</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issuances of 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(7,995)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12,348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Beginning</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76,812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Ending</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89,160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payments for: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 (refunded)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2016 and 2015, accounts payable included approximately $1.2 million and $2.2 million, respectively, associated with capital expenditures.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for accounts payable and acquisition of property, plant and equipment exclude this activity.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UNAUDITED CONSOLIDATED FINANCIAL STATEMENTS</w:t>
      </w:r>
    </w:p>
    <w:p>
      <w:pPr>
        <w:spacing w:after="0" w:line="1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audited consolidated financial statements and related notes in the Company’s Annual Report on Form 10-K for the year ended December 31, 2015. The balance sheet information at December 31, 2015 was derived from the audited December 31, 2015 consolidated balance sheet. Operating revenues and income from operations for any interim period are not necessarily indicative of results that may be expected for the entire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2.  Property, Plant and Equipment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March 31,</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718,503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36,981</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36,600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773,127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755,103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362,178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345,085</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410,018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tab/>
        <w:t>Earnings per share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991 thousand and 1,443 thousand shares and options outstanding at March 31, 2016 and 2015, respectively, 136 thousand and 168 thousand were anti-dilutive, respectively. These shares and options have been excluded from the computations of diluted earnings per share for their respective period. There were no adjustments to net income for either period.</w:t>
      </w:r>
    </w:p>
    <w:p>
      <w:pPr>
        <w:spacing w:after="0" w:line="2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Carried at Fair Value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Investments include $2.7 million of investments carried at fair value at both March 31, 2016 and December 31, 2015,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three months ended March 31, 2016, the Company recognized $64 thousand in dividend and interest income from investments, and recorded net unrealized gains of $16 thousand on these investments. Fair values for these investments held under the rabbi trust were determined by Level 1 quoted market prices for the underlying mutual funds.</w:t>
      </w:r>
    </w:p>
    <w:p>
      <w:pPr>
        <w:spacing w:after="0" w:line="21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Instruments, Hedging Activities and Accumulated Other Comprehensive Income</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$148.4 million as of March 31, 2016. The outstanding notional amount decreases as the Company makes scheduled principal payments on the debt.</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March 31, 2016, the Company estimates that $0.8 million will be reclassified as an increase to interest expense during the next twelve months due to the interest rate swap since the hedge interest rate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December 31, 2015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Derivatives</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000" w:type="dxa"/>
            <w:vAlign w:val="bottom"/>
          </w:tcPr>
          <w:p>
            <w:pPr>
              <w:jc w:val="center"/>
              <w:ind w:left="1490"/>
              <w:spacing w:after="0" w:line="201" w:lineRule="exact"/>
              <w:rPr>
                <w:sz w:val="20"/>
                <w:szCs w:val="20"/>
                <w:color w:val="auto"/>
              </w:rPr>
            </w:pPr>
            <w:r>
              <w:rPr>
                <w:rFonts w:ascii="Arial" w:cs="Arial" w:eastAsia="Arial" w:hAnsi="Arial"/>
                <w:sz w:val="18"/>
                <w:szCs w:val="18"/>
                <w:color w:val="auto"/>
                <w:w w:val="87"/>
              </w:rPr>
              <w:t>Balance Sheet</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00" w:type="dxa"/>
            <w:vAlign w:val="bottom"/>
            <w:tcBorders>
              <w:bottom w:val="single" w:sz="8" w:color="auto"/>
            </w:tcBorders>
          </w:tcPr>
          <w:p>
            <w:pPr>
              <w:jc w:val="center"/>
              <w:ind w:left="1510"/>
              <w:spacing w:after="0"/>
              <w:rPr>
                <w:sz w:val="20"/>
                <w:szCs w:val="20"/>
                <w:color w:val="auto"/>
              </w:rPr>
            </w:pPr>
            <w:r>
              <w:rPr>
                <w:rFonts w:ascii="Arial" w:cs="Arial" w:eastAsia="Arial" w:hAnsi="Arial"/>
                <w:sz w:val="18"/>
                <w:szCs w:val="18"/>
                <w:color w:val="auto"/>
                <w:w w:val="93"/>
              </w:rPr>
              <w:t>Location</w:t>
            </w: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20" w:type="dxa"/>
            <w:vAlign w:val="bottom"/>
            <w:gridSpan w:val="3"/>
          </w:tcPr>
          <w:p>
            <w:pPr>
              <w:spacing w:after="0"/>
              <w:rPr>
                <w:sz w:val="20"/>
                <w:szCs w:val="20"/>
                <w:color w:val="auto"/>
              </w:rPr>
            </w:pPr>
            <w:r>
              <w:rPr>
                <w:rFonts w:ascii="Arial" w:cs="Arial" w:eastAsia="Arial" w:hAnsi="Arial"/>
                <w:sz w:val="18"/>
                <w:szCs w:val="18"/>
                <w:color w:val="auto"/>
              </w:rPr>
              <w:t>Derivatives designated as hedging instruments: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Interest rate swap</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32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charges and other assets,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7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change in accumulated other comprehensive income (loss) by component for the three months ended March 31,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Tax</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(Expense)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Hedges</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Benefit</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(1,753)</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7.</w:t>
        <w:tab/>
        <w:t>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Three months ended March 31, 2016</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color w:val="auto"/>
              </w:rPr>
              <w:t>Cable</w:t>
            </w: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52,179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1,846</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55,382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26,186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56,518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26,446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18,379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16,578</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14,647</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8,643</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(8,106)</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11,514</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5,108</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6,095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36,586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25,850</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line="196" w:lineRule="exact"/>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19,932</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596</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5,098</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March 31, 2015</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48,375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51,405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23,163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52,509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23,311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16,187</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13,618</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7,334</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(6,465)</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9,052</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7,831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33,070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23,990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196" w:lineRule="exact"/>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19,439</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3,829</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21,312</w:t>
            </w:r>
          </w:p>
        </w:tc>
        <w:tc>
          <w:tcPr>
            <w:tcW w:w="3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18,526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(1,915)</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17,145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80"/>
          </w:cols>
          <w:pgMar w:left="240" w:top="114"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The Company’s assets by segment are as follows: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8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r>
      <w:tr>
        <w:trPr>
          <w:trHeight w:val="237"/>
        </w:trPr>
        <w:tc>
          <w:tcPr>
            <w:tcW w:w="6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205,718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Cable</w:t>
            </w: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209,992</w:t>
            </w:r>
          </w:p>
        </w:tc>
        <w:tc>
          <w:tcPr>
            <w:tcW w:w="180" w:type="dxa"/>
            <w:vAlign w:val="bottom"/>
          </w:tcPr>
          <w:p>
            <w:pPr>
              <w:spacing w:after="0"/>
              <w:rPr>
                <w:sz w:val="18"/>
                <w:szCs w:val="18"/>
                <w:color w:val="auto"/>
              </w:rPr>
            </w:pPr>
          </w:p>
        </w:tc>
        <w:tc>
          <w:tcPr>
            <w:tcW w:w="1140" w:type="dxa"/>
            <w:vAlign w:val="bottom"/>
          </w:tcPr>
          <w:p>
            <w:pPr>
              <w:jc w:val="center"/>
              <w:ind w:left="470"/>
              <w:spacing w:after="0"/>
              <w:rPr>
                <w:sz w:val="20"/>
                <w:szCs w:val="20"/>
                <w:color w:val="auto"/>
              </w:rPr>
            </w:pPr>
            <w:r>
              <w:rPr>
                <w:rFonts w:ascii="Arial" w:cs="Arial" w:eastAsia="Arial" w:hAnsi="Arial"/>
                <w:sz w:val="18"/>
                <w:szCs w:val="18"/>
                <w:color w:val="auto"/>
                <w:w w:val="89"/>
              </w:rPr>
              <w:t>209,132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107,334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105,369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481,886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463,390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997,201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983,609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(367,829)</w:t>
            </w:r>
          </w:p>
        </w:tc>
        <w:tc>
          <w:tcPr>
            <w:tcW w:w="180" w:type="dxa"/>
            <w:vAlign w:val="bottom"/>
          </w:tcPr>
          <w:p>
            <w:pPr>
              <w:spacing w:after="0"/>
              <w:rPr>
                <w:sz w:val="19"/>
                <w:szCs w:val="19"/>
                <w:color w:val="auto"/>
              </w:rPr>
            </w:pPr>
          </w:p>
        </w:tc>
        <w:tc>
          <w:tcPr>
            <w:tcW w:w="12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(356,458)</w:t>
            </w:r>
          </w:p>
        </w:tc>
      </w:tr>
      <w:tr>
        <w:trPr>
          <w:trHeight w:val="257"/>
        </w:trPr>
        <w:tc>
          <w:tcPr>
            <w:tcW w:w="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629,372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627,151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tab/>
        <w:t>Income Taxes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2012 are no longer subject to examination. The Company is not subject to any state or federal income tax audits as of March 31,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New Accounting Principles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Effective in the first quarter of 2016, the Company adopted three recent accounting principles, Accounting Standards Update 2015-03, “Interest – Imputation of Interest” (ASU 2015-03), ASU 2015-17, “Balance Sheet Classification of Deferred Taxes”, and ASU 2016-09, “Improvements to Employee Share-based Payment Accounting”.</w:t>
      </w:r>
    </w:p>
    <w:p>
      <w:pPr>
        <w:spacing w:after="0" w:line="20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ASU 2015-03 requires that premiums, discounts, and loan fees and costs associated with long term debt be reflected as a reduction of the outstanding debt balance. Previous guidance had treated such loan fees and costs as a deferred charge on the balance sheet. As a result of implementing ASU 2015-03, the Company reclassified $1.6 million of unamortized loan fees and costs included in deferred charges and other assets as of December 31, 2015 to long-term debt. Approximately $0.5 million was allocated to current maturities of long-term debt, and $1.1 million to long term debt. Total assets, as well as total liabilities and shareholders’ equity, were also reduced by the same $1.6 million. There was no impact on the statements of income or cash flows.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ASU 2015-17 simplifies accounting for deferred taxes by eliminating the requirement to present deferred tax assets and liabilities as current and non-current in a classified balance sheet. Due to the immaterial balance of current deferred tax assets ($0.9 million as of December 31, 2015), the Company has elected to apply this guidance prospectively, and thus prior periods have not been retrospectively adjusted.</w:t>
      </w:r>
    </w:p>
    <w:p>
      <w:pPr>
        <w:spacing w:after="0" w:line="20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ASU 2016-09 simplifies certain provisions related to the accounting for the tax effects of stock-based compensation transactions. In particular for the Company, it eliminates the requirement to determine for each award whether the difference between book compensation and tax compensation results in an excess tax benefit or a tax deficiency, which generally speaking, result in an entry to additional paid-in-capital. Under the new guidance, all tax effects for exercised or vested awards are recognized as discrete items in income tax expense. The new guidance also allows an employer to withhold shares to cover more than the minimum statutory withholding taxes (but not more than the maximum statutory withholding requirements) without causing an equity-classified award to become a liability classified award. The other provisions of the new guidance are either not applicable or have no significant impact on the Company’s accounting for stock-based compensation transactions. The Company has elected to early adopt the new guidance and apply it prospectively to tax effects on share-based compensation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10. Acquisition of NTELOS Holdings Corporation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11, 2015, the Company announced that it had entered into a definitive agreement to acquire NTELOS Holdings Corporation ("nTelos") for $9.25 per share in cash for a total equity value of approximately $208 million, after including shares expected to vest on change of control. At closing, the Company will pay off nTelos' outstanding debt, which was $520 million at December 31, 2015. Under the terms of the agreement, the Company will acquire all of nTelos' stock and operations including wireless network assets, retail stores and approximately 298,000 retail subscribers in the nTelos Western Markets. The Company will complete nTelos' plans to close down its Eastern Markets.</w:t>
      </w:r>
    </w:p>
    <w:p>
      <w:pPr>
        <w:spacing w:after="0" w:line="2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Concurrent with the signing of the agreement with nTelos, the Company and Sprint Corporation ("Sprint") entered into a series of agreements, including an Addendum to the Shentel Affiliate Agreement and related agreements, whereby the Company and Sprint will, among other things, exchange certain assets in the nTelos Western Markets. The Company will convert nTelos’ retail wireless customers into Sprint branded affiliate customers. Sprint will transition its existing retail wireless operations in the nTelos footprint, including approximately 280,000 Sprint retail customers homed in the nTelos footprint, to Sprint branded affiliate customers. These existing Sprint retail customers, in combination with the nTelos customers, will enable the Company to serve approximately 570,000 additional customers under its affiliate arrangement with Sprint.</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part of the transaction, the Company and Sprint have also agreed to extend their Affiliate relationship by five years through 2029. Sprint will receive certain spectrum assets of nTelos, and has agreed to reduce the 8% and 6% Management Fee portions of the retained revenues that would otherwise be due to Sprint under the Affiliate Agreement by $252 million over an expected period of five to six years.</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15, 2016, the transaction received its remaining regulatory approval from the Federal Communications Commission. The Company, Sprint and nTelos expect that closing will take place in May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finance the nTelos acquisition and network upgrade with $960 million in credit facilities (including term loans totaling $885 million and a revolver of $75 million) from a syndicate of lenders. Proceeds will be used to finance the transaction and refinance the Company’s existing outstanding indebtedness. This commitment is fully underwritten by CoBank, ACB; Royal Bank of Canada; and Fifth Third Bank. Upon the closing of the merger, the Company expects to have total long-term debt outstanding of approximately $785 million. The revolver and an additional $100 million in a delayed draw term loan are not expected to be drawn at close.</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2016 and 2015, the Company has incurred $0.3 million and $0.1 million, respectively, of expenses associated with the planned acquisition of nTelos.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2015. The following management’s discussion and analysis should be read in conjunction with the Company’s Annual Report on Form 10-K for its fiscal year ended December 31, 2015,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the Company operates and manages as strategic business units organized by lines of business: (1) Wireless, (2) Cable, and (3) Wireline.</w:t>
      </w:r>
    </w:p>
    <w:p>
      <w:pPr>
        <w:spacing w:after="0" w:line="215"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MHz, 1900 MHz and 2.5 GHz bands under the Sprint brand. This segment also owns cell site towers built on leased land, and leases space on these towers to both affiliates and non-affiliated service providers.</w:t>
      </w:r>
    </w:p>
    <w:p>
      <w:pPr>
        <w:spacing w:after="0" w:line="198"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with the Three Months Ended March 31, 2015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quarter of 2016 and 2015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2015</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92,571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84,287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8,284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71,259</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65,761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5,498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18,526</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17,145</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6,368</w:t>
            </w:r>
          </w:p>
        </w:tc>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6,859</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13,881</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3,595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three months ended March 31, 2016, operating revenues increased $8.3 million, or 9.8%. Wireless segment revenues increased $4.0 million compared to the first quarter of 2015. Net postpaid service revenue increased $3.3 million, primarily due to a reduction, effective January 1, 2016, in the net service fee charged by Sprint. The net service fee decreased from 14% of net billed revenue to 8.6% of net billed revenue. The reduction in the net service fee was accompanied by separately settling certain expenses, as discussed below. Prepaid net service revenue increased $.5 million, or 4.3%, from 2015, primarily due to changes in the mix of subscribers to higher rate plans. Cable segment revenues grew $3.1 million primarily as a result of 6.2% growth in average subscriber counts and an increase in revenue per subscriber. Wireline segment revenues increased $1.3 million, net of eliminations of intersegment activities, primarily due to increases in fiber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operating expenses were $71.3 million in the first quarter of 2016 compared to $65.8 million in the prior year period. Cost of goods and services sold increased $1.1 million overall. Wireless segment cost of goods increased $0.4 million, primarily due to $1.2 million in incremental separately settled postpaid wireless expenses for handsets sold through Sprint’s national channels, previously settled as part of the net service fee as described above. On-going costs for postpaid handsets sold through our channels decreased $1.4 million as sales of subsidized handsets continued to decline, while prepaid handset subsidies decreased $0.3 million on fewer gross adds and upgrades as well as lower rates. Cable segment cost of goods sold increased $1.0 million, due to increased cable programming and network costs.</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general and administrative expenses increased $3.0 million overall, with $2.5 million incurred in the Wireless segment. This includes $2.4 million in incremental separately settled postpaid wireless expenses for national commissions.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Depreciation and amortization expense increased $1.4 million, primarily due to ongoing projects to expand and upgrade the wireless, cable and fiber networks.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effective tax rate decreased from 40.0% for the three months ended March 31, 2015 to 31.4% for the three months ended March 31, 2016. This decrease primarily resulted from discrete tax benefits resulting from the change in accounting for stock option exercises and share award distributions in the first quarter of 2016 in accordance with ASU 2016-09. In prior periods, such tax benefits were recorded directly to equity.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For the three months ended March 31, 2016, net income increased $3.6 million, or 35.0%, primarily reflecting revenue growth in the Wireline and Cable segments and the reduction in income tax expense for the tax benefits of stock compensation transactions in the first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Through Shenandoah Mobile, LLC (“Mobile”), this segment also leases land on which it builds Company-owned cell towers, which it leases to affiliated and non-affiliated wireless service providers, throughout the same four-state area described above.</w:t>
      </w:r>
    </w:p>
    <w:p>
      <w:pPr>
        <w:spacing w:after="0" w:line="21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Through December 31, 2015, these fees totaled 22% of postpaid net billed revenue (gross customer billings net of credits and adjustments to customer accounts, and write-offs of uncollectible accounts), as defined by the Affiliate Agreement with Sprint. Effective January 1, 2016, the fees charged by Sprint declined to 16.6%, and certain revenue and expense items previously included in these fees became separately settled. The overall effect of these changes was an increase of $4.9 million of revenue, partially offset by increased expenses totaling $3.6 million.</w:t>
      </w:r>
    </w:p>
    <w:p>
      <w:pPr>
        <w:spacing w:after="0" w:line="19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also offers prepaid wireless products and services in its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March 31,</w:t>
            </w:r>
          </w:p>
        </w:tc>
        <w:tc>
          <w:tcPr>
            <w:tcW w:w="1700" w:type="dxa"/>
            <w:vAlign w:val="bottom"/>
            <w:gridSpan w:val="5"/>
          </w:tcPr>
          <w:p>
            <w:pPr>
              <w:jc w:val="right"/>
              <w:ind w:right="440"/>
              <w:spacing w:after="0"/>
              <w:rPr>
                <w:sz w:val="20"/>
                <w:szCs w:val="20"/>
                <w:color w:val="auto"/>
              </w:rPr>
            </w:pPr>
            <w:r>
              <w:rPr>
                <w:rFonts w:ascii="Arial" w:cs="Arial" w:eastAsia="Arial" w:hAnsi="Arial"/>
                <w:sz w:val="18"/>
                <w:szCs w:val="18"/>
                <w:color w:val="auto"/>
              </w:rPr>
              <w:t>December 31,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March 31,</w:t>
            </w: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2015</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315,231</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291,078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Retail PCS Subscribers – Prepaid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142,539</w:t>
            </w:r>
          </w:p>
        </w:tc>
        <w:tc>
          <w:tcPr>
            <w:tcW w:w="5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142,840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147,783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PCS Covered POPS (000) (1)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2,230</w:t>
            </w:r>
          </w:p>
        </w:tc>
        <w:tc>
          <w:tcPr>
            <w:tcW w:w="5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2,210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Towers Owned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Non-affiliate Cell Site Leases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gridSpan w:val="6"/>
          </w:tcPr>
          <w:p>
            <w:pPr>
              <w:jc w:val="right"/>
              <w:ind w:right="5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gridSpan w:val="5"/>
          </w:tcPr>
          <w:p>
            <w:pPr>
              <w:jc w:val="right"/>
              <w:ind w:right="920"/>
              <w:spacing w:after="0"/>
              <w:rPr>
                <w:sz w:val="20"/>
                <w:szCs w:val="20"/>
                <w:color w:val="auto"/>
              </w:rPr>
            </w:pPr>
            <w:r>
              <w:rPr>
                <w:rFonts w:ascii="Arial" w:cs="Arial" w:eastAsia="Arial" w:hAnsi="Arial"/>
                <w:sz w:val="18"/>
                <w:szCs w:val="18"/>
                <w:color w:val="auto"/>
                <w:w w:val="94"/>
              </w:rPr>
              <w:t>March 31,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c>
          <w:tcPr>
            <w:tcW w:w="12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7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17,356</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17,105</w:t>
            </w:r>
          </w:p>
        </w:tc>
        <w:tc>
          <w:tcPr>
            <w:tcW w:w="16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PCS Subscriber Additions - Postpaid</w:t>
            </w:r>
          </w:p>
        </w:tc>
        <w:tc>
          <w:tcPr>
            <w:tcW w:w="1700" w:type="dxa"/>
            <w:vAlign w:val="bottom"/>
            <w:gridSpan w:val="3"/>
          </w:tcPr>
          <w:p>
            <w:pPr>
              <w:jc w:val="right"/>
              <w:ind w:right="150"/>
              <w:spacing w:after="0"/>
              <w:rPr>
                <w:sz w:val="20"/>
                <w:szCs w:val="20"/>
                <w:color w:val="auto"/>
              </w:rPr>
            </w:pPr>
            <w:r>
              <w:rPr>
                <w:rFonts w:ascii="Arial" w:cs="Arial" w:eastAsia="Arial" w:hAnsi="Arial"/>
                <w:sz w:val="18"/>
                <w:szCs w:val="18"/>
                <w:color w:val="auto"/>
              </w:rPr>
              <w:t>2,719</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3,211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7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21,231</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23,620</w:t>
            </w:r>
          </w:p>
        </w:tc>
        <w:tc>
          <w:tcPr>
            <w:tcW w:w="16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PCS Subscriber Additions - Prepaid</w:t>
            </w:r>
          </w:p>
        </w:tc>
        <w:tc>
          <w:tcPr>
            <w:tcW w:w="1700" w:type="dxa"/>
            <w:vAlign w:val="bottom"/>
            <w:gridSpan w:val="3"/>
          </w:tcPr>
          <w:p>
            <w:pPr>
              <w:jc w:val="right"/>
              <w:ind w:right="90"/>
              <w:spacing w:after="0"/>
              <w:rPr>
                <w:sz w:val="20"/>
                <w:szCs w:val="20"/>
                <w:color w:val="auto"/>
              </w:rPr>
            </w:pPr>
            <w:r>
              <w:rPr>
                <w:rFonts w:ascii="Arial" w:cs="Arial" w:eastAsia="Arial" w:hAnsi="Arial"/>
                <w:sz w:val="18"/>
                <w:szCs w:val="18"/>
                <w:color w:val="auto"/>
              </w:rPr>
              <w:t>(301)</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(2)</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PCS Average Monthly Retail Churn % - Prepaid (2)</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5.05%</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4.76%</w:t>
            </w: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260" w:hanging="324"/>
        <w:spacing w:after="0" w:line="25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40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March 31, 2016 Compared with the Three Months Ended March 31, 2015</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48,375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Tower lease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2,750</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2,570</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180</w:t>
            </w: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1,454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56,518</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52,509</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4,009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16,578</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16,187</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28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11,514</w:t>
            </w: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9,052</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2,462</w:t>
            </w: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8,494</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7,831</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663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36,586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33,070</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3,516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19,932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19,439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493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Wireless service revenue increased $3.8 million, or 7.9%, for the three months ended March 31, 2016, compared to the comparable 2015 period. Effective January 1, 2016, the fees retained by Sprint and deducted from postpaid revenues decreased from 22% overall to 16.6%, accompanied by separately settling a number of revenue and expense items. The fee reduction and the new revenue components added $4.4 million to wireless postpaid service revenue, while prepaid service revenue increased $0.5 million, principally on improved mix of customers to higher-rate service offerings. These increases were partially offset by continuing reductions in postpaid billed revenue, down $1.1 million primarily as a result of lower service revenue as customers finance their handsets through installment billing and leasing programs. Under these programs, the Company receives less service revenue from the subscriber, while the equipment revenue from the subscriber and the handset expense become Sprint’s responsibility and are not recorded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Cost of goods and services increased $0.4 million, or 2.4%, in 2016 from the first quarter of 2015. Postpaid handset costs continued to decrease, down $1.4 million, as handset expenses associated with financing and leasing plans are Sprint’s responsibility and are not recorded by the Company. Prepaid handset subsidies decreased $0.3 million due to fewer gross adds and upgrades as well as lower rates charged by Sprint. Network costs increased $0.9 million, with backhaul costs, cell site rents and other network costs all increasing. Finally, separately settled national channel handset costs added $1.2 million to postpaid cost of goods and services in the first quarter of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Selling, general and administrative costs increased $2.5 million, or 27.2%, in the first quarter of 2016 from the comparable 2015 period. Separately settled costs for commissions on national channel postpaid net adds and upgrades added $2.4 million to 2016’s costs.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increased $0.7 million, or 8.5%, in the first quarter of 2016 over the comparable 2015 period, due to ongoing investments in wireless network coverage and capacity.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2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January 1, 2016, the Company acquired the assets of Colane Cable Company. With the acquisition, the Company acquired 3,299 video customers, 1,405 high-speed internet customers, and 302 voice customers. These customers are included in the March 31, 2016 totals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31,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December 31,</w:t>
            </w: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181,375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50,195</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48,184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49,662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49,247</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26,895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24,550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22,530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22,051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77,090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72,734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72,192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71,298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Video</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52,468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50,215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51,708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52,095</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High-speed Internet</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180,814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172,022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171,589</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58,273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55,131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52,508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50,686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Voice</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178,077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169,285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168,852</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20,786</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20,166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19,112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18,262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131,527</w:t>
            </w:r>
          </w:p>
        </w:tc>
        <w:tc>
          <w:tcPr>
            <w:tcW w:w="1160" w:type="dxa"/>
            <w:vAlign w:val="bottom"/>
          </w:tcPr>
          <w:p>
            <w:pPr>
              <w:jc w:val="right"/>
              <w:spacing w:after="0"/>
              <w:rPr>
                <w:sz w:val="20"/>
                <w:szCs w:val="20"/>
                <w:color w:val="auto"/>
              </w:rPr>
            </w:pPr>
            <w:r>
              <w:rPr>
                <w:rFonts w:ascii="Arial" w:cs="Arial" w:eastAsia="Arial" w:hAnsi="Arial"/>
                <w:sz w:val="18"/>
                <w:szCs w:val="18"/>
                <w:color w:val="auto"/>
              </w:rPr>
              <w:t>125,512</w:t>
            </w:r>
          </w:p>
        </w:tc>
        <w:tc>
          <w:tcPr>
            <w:tcW w:w="2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123,328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121,043</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2,955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2,836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Fiber Miles (8)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80,727</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76,949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73,294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72,694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Generating Units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129,604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121,998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117,744</w:t>
            </w:r>
          </w:p>
        </w:tc>
      </w:tr>
    </w:tbl>
    <w:p>
      <w:pPr>
        <w:spacing w:after="0" w:line="229" w:lineRule="exact"/>
        <w:rPr>
          <w:sz w:val="20"/>
          <w:szCs w:val="20"/>
          <w:color w:val="auto"/>
        </w:rPr>
      </w:pPr>
    </w:p>
    <w:p>
      <w:pPr>
        <w:ind w:left="660" w:right="4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 During the first quarter of 2016, the Company modified the way it counts subscribers when a commercial customer upgrades its internet service via a fiber contract. The Company retroactively applied the new count methodology to prior periods, and applied similar logic to certain bulk customers; the net result was reductions in internet subscriber counts of 559, 687 and 673 subscribers to December 31, 2015, March 31, 2015 and December 31, 2014 totals, respectively.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ind w:left="660" w:right="1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with the Three Months Ended March 31,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24,340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21,401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2,106</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26,446</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23,311</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3,135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14,647</w:t>
            </w: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13,618</w:t>
            </w:r>
          </w:p>
        </w:tc>
        <w:tc>
          <w:tcPr>
            <w:tcW w:w="4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1,029</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shown separately below</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4,892</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6,095</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5,480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615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25,850</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23,990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1,860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Segment operating income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596</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w:t>
            </w:r>
          </w:p>
        </w:tc>
        <w:tc>
          <w:tcPr>
            <w:tcW w:w="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1,275</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Cable segment service revenues increased $2.9 million, or 13.7%, due to a 6.2% increase in average revenue generating units, video rate increases in January 2016 to offset increases in programming costs, and customers selecting higher-speed data access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$0.2 million, primarily due to new fiber contracts to towers, schools and libraries.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Cable segment cost of goods and services increased $1.0 million, or 7.6%, in the first quarter of 2016 over the comparable 2015 period. Video programming costs, including retransmission fees, increased $0.6 million, primarily due to the increase in subscribers. The remainder of the increase resulted from higher network costs.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$0.2 million against the prior year quarter due to higher advertising and commission costs.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98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76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March 31,</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Dec. 31,</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Access Lines (1)</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19,682</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20,252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21,669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Long Distance Subscribers</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9,377</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9,476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9,533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9,571</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Customers (2)</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5,232</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5,356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5,692</w:t>
            </w: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DSL and Cable Modem Subscribers (3)</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14,200</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13,890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13,227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13,094</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1,744</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1,736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Fiber Miles (4)</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125,559</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123,891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99,523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99,387</w:t>
            </w:r>
          </w:p>
        </w:tc>
      </w:tr>
    </w:tbl>
    <w:p>
      <w:pPr>
        <w:spacing w:after="0" w:line="214" w:lineRule="exact"/>
        <w:rPr>
          <w:sz w:val="20"/>
          <w:szCs w:val="20"/>
          <w:color w:val="auto"/>
        </w:rPr>
      </w:pPr>
    </w:p>
    <w:p>
      <w:pPr>
        <w:ind w:left="660" w:right="54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October 1, 2015, the Company launched cable modem services on its cable plant, and ceased the requirement that a customer have a telephone access line to purchase DSL service.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16,000 homes.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2016 and December 2015 totals include 624 and 420 customers, respectively, served via the coaxial cable network. During first quarter 2016, the Company modified the way it counts subscribers when a commercial customer upgrades its internet service via a fiber contract. The Company retroactively applied the new count methodology to prior periods and the net result was increases in internet subscriber counts of and 804, 402 and 352 subscribers to December 31, 2015, March 31, 2015 and December 31, 2014 totals, respectively.</w:t>
      </w:r>
    </w:p>
    <w:p>
      <w:pPr>
        <w:jc w:val="both"/>
        <w:ind w:left="660" w:right="60" w:hanging="328"/>
        <w:spacing w:after="0" w:line="32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with the Three Months Ended March 31,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Carrier access and fiber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11,969</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9,527</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2,442</w:t>
            </w:r>
          </w:p>
        </w:tc>
        <w:tc>
          <w:tcPr>
            <w:tcW w:w="7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segment operating revenues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18,379</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15,585</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2,794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8,643</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7,334</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107</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segment operating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13,281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11,756</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1,525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1,269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operating revenues in the quarter ended March 31, 2016 increased $2.8 million, or 17.9%, against the comparable 2015 period. Carrier access and fiber revenues increased $2.4 million due to increases in fiber and access contracts. The increase in service revenues primarily results from higher revenues for high-speed data services.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Operating expenses overall increased $1.5 million, or 13.0%, in the quarter ended March 31, 2016, compared to the 2015 quarter. The $1.3 million increase in cost of goods and services primarily resulted from costs to support the increase in carrier access and fiber revenues shown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for the three months ended March 31, 2016 and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left="554"/>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7"/>
        </w:trPr>
        <w:tc>
          <w:tcPr>
            <w:tcW w:w="5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40,416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10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r>
      <w:tr>
        <w:trPr>
          <w:trHeight w:val="59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34"/>
              <w:spacing w:after="0"/>
              <w:rPr>
                <w:sz w:val="20"/>
                <w:szCs w:val="20"/>
                <w:color w:val="auto"/>
              </w:rPr>
            </w:pPr>
            <w:r>
              <w:rPr>
                <w:rFonts w:ascii="Arial" w:cs="Arial" w:eastAsia="Arial" w:hAnsi="Arial"/>
                <w:sz w:val="14"/>
                <w:szCs w:val="14"/>
                <w:color w:val="auto"/>
              </w:rPr>
              <w:t>22</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three months ended March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20" w:type="dxa"/>
            <w:vAlign w:val="bottom"/>
          </w:tcPr>
          <w:p>
            <w:pPr>
              <w:spacing w:after="0"/>
              <w:rPr>
                <w:sz w:val="20"/>
                <w:szCs w:val="20"/>
                <w:color w:val="auto"/>
              </w:rPr>
            </w:pPr>
          </w:p>
        </w:tc>
        <w:tc>
          <w:tcPr>
            <w:tcW w:w="2380" w:type="dxa"/>
            <w:vAlign w:val="bottom"/>
            <w:gridSpan w:val="4"/>
            <w:vMerge w:val="restart"/>
          </w:tcPr>
          <w:p>
            <w:pPr>
              <w:ind w:left="2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21,312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17,739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nTelos acquisition related expenses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40,416</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adjusted OIBDA to operating income by major segment for the three months ended March 31, 2016 and 2015:</w:t>
      </w:r>
    </w:p>
    <w:p>
      <w:pPr>
        <w:sectPr>
          <w:pgSz w:w="11900" w:h="16838" w:orient="portrait"/>
          <w:cols w:equalWidth="0" w:num="1">
            <w:col w:w="11340"/>
          </w:cols>
          <w:pgMar w:left="240" w:top="121" w:right="3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Segment: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975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975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 Segment: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975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19,932</w:t>
            </w:r>
          </w:p>
        </w:tc>
        <w:tc>
          <w:tcPr>
            <w:tcW w:w="4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19,439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8,494</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28,710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27,481</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596</w:t>
            </w:r>
          </w:p>
        </w:tc>
        <w:tc>
          <w:tcPr>
            <w:tcW w:w="4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(679)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6,095</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7,036</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5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color w:val="auto"/>
              </w:rPr>
              <w:t>Three Months Ended</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5,098</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3,829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3,033</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6,906</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00"/>
          </w:cols>
          <w:pgMar w:left="240" w:top="121" w:right="319" w:bottom="1440" w:gutter="0" w:footer="0" w:header="0"/>
          <w:type w:val="continuous"/>
        </w:sect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$43.2 million of net cash from operations in the first three months of 2016, compared to $23.8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2015. The increase was driven primarily by higher net income and by the timing of cash receipts and disbursements for prepaid assets, accounts payable and deferred revenues.</w:t>
      </w:r>
    </w:p>
    <w:p>
      <w:pPr>
        <w:spacing w:after="0" w:line="20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March 31, 2016, the Company’s indebtedness totaled $194.0 million, with an annualized effective interest rate of approximately 3.48%</w:t>
      </w:r>
      <w:r>
        <w:rPr>
          <w:rFonts w:ascii="Arial" w:cs="Arial" w:eastAsia="Arial" w:hAnsi="Arial"/>
          <w:sz w:val="16"/>
          <w:szCs w:val="16"/>
          <w:i w:val="1"/>
          <w:iCs w:val="1"/>
          <w:color w:val="auto"/>
        </w:rPr>
        <w:t xml:space="preserve"> </w:t>
      </w:r>
      <w:r>
        <w:rPr>
          <w:rFonts w:ascii="Arial" w:cs="Arial" w:eastAsia="Arial" w:hAnsi="Arial"/>
          <w:sz w:val="16"/>
          <w:szCs w:val="16"/>
          <w:color w:val="auto"/>
        </w:rPr>
        <w:t>after considering the impact of the interest rate swap contract and unamortized loan costs. The balance consists of the Term Loan Facility at a variable rate (2.68% as of March 31, 2016) that resets monthly based on one month LIBOR plus a base rate of 2.25% currently. The Term Loan Facility requires quarterly principal repayments of $5.75 million until the remaining expected balance of approximately $120.75 million is due at maturity on September 30, 2019.</w:t>
      </w:r>
    </w:p>
    <w:p>
      <w:pPr>
        <w:spacing w:after="0" w:line="15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March 31, 2016, the Company was in compliance with all debt covenants, and ratios at March 31, 2016 were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Actual</w:t>
            </w:r>
          </w:p>
        </w:tc>
        <w:tc>
          <w:tcPr>
            <w:tcW w:w="10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5"/>
              </w:rPr>
              <w:t>1.27</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 or Lower</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5"/>
              </w:rPr>
              <w:t>4.36</w:t>
            </w:r>
          </w:p>
        </w:tc>
        <w:tc>
          <w:tcPr>
            <w:tcW w:w="1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2.50 or Higher</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48.2%</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35.0% or Higher</w:t>
            </w:r>
          </w:p>
        </w:tc>
      </w:tr>
    </w:tbl>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the twelve months ended March 31, 2016. In addition to the covenants above, the Company is required to supply the lender with quarterly financial statements and other reports as defined by the Credit Agreement. The Company was in compliance with all reporting requirements at March 31, 2016.</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Capital Commitments. </w:t>
      </w:r>
      <w:r>
        <w:rPr>
          <w:rFonts w:ascii="Arial" w:cs="Arial" w:eastAsia="Arial" w:hAnsi="Arial"/>
          <w:sz w:val="17"/>
          <w:szCs w:val="17"/>
          <w:color w:val="auto"/>
        </w:rPr>
        <w:t>Capital expenditures budgeted for 2016 total $218.5 million, including $120.3 million in the Wireless segment for upgrades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expansion of the nTelos wireless network. In addition, $21.2 million is budgeted for information technology upgrades, new and renovated buildings and other projects, $24.2 million for additional network capacity, and $36.4 million for network expansion including new fiber routes, new cell towers, and cable market expansion. Approximately $13.1 million of the budget is success-based, and will be scaled back if not supported by customer growth.</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first three months of 2016, the Company spent $20.5 million on capital projects, compared to $9.5 million in the comparable 2015 period. Spending related to Wireless projects accounted for $9.4 million in the first three months of 2016, primarily for additional network capacity and technology upgrades. Cable capital spending of $5.7 million related to network and cable market expansion. Wireline capital projects cost $4.0 million, driven primarily by fiber builds. Other projects totaled $1.4 million, largely related to information technology projects.</w:t>
      </w:r>
    </w:p>
    <w:p>
      <w:pPr>
        <w:spacing w:after="0" w:line="2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believes that cash on hand, cash flow from operations and borrowings expected to be available under the Company’s existing credit facilities will provide sufficient cash to enable the Company to complete the pending acquisition of nTelos,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As amended, the new standard is effective for the Company on January 1, 2018.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the Company on January 1, 2019, and early application is permitted. Modified retrospective application is required. The Company is evaluating the effect that ASU 2016-02 will have on its consolidated financial statements and related disclosures.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March 31, 2016, the Company had $195.5 million of variable rate debt outstanding (excluding unamortized loan fees and costs of $1.5 million), bearing interest at a rate of 2.68% as determined on a monthly basis. An increase in market interest rates of 1.00% would add approximately $1.9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(0.43% as of March 31, 2016), to manage a portion of its interest rate risk. Changes in the net interest paid or received under the 2012 swap would offset approximately 76% of the change in interest expense on the variable rate debt outstanding. The 2012 swap currently adds approximately $0.8 million to annual interest expense, based on the spread between the fixed rate and the variable rate currently in effect on our debt.</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March 31, 2016, the cash is invested in a combination of a commercial checking account that has limited interest rate risk, and three money market mutual funds that contain a total investment of $40.1 million. Management continually evaluates the most beneficial use of these funds.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2016, the Company has $47.1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March 31, 2016, the Company had $8.2 million of cost and equity method investments. Approximately $2.7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March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first quarter of 2016, there were no changes in the Company's internal control over financial reporting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57%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revenue currently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2015 to September 30, 2015. The most recent report indicated there were no material issues which would adversely affect the information used to support the recording of the revenues provided by Sprint related to the Company’s relationship with them.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2015.</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March 31,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 of Shares</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Average Price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January 1 to January 31</w:t>
            </w:r>
          </w:p>
        </w:tc>
        <w:tc>
          <w:tcPr>
            <w:tcW w:w="24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22.14</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February 1 to February 29</w:t>
            </w:r>
          </w:p>
        </w:tc>
        <w:tc>
          <w:tcPr>
            <w:tcW w:w="4040" w:type="dxa"/>
            <w:vAlign w:val="bottom"/>
            <w:gridSpan w:val="3"/>
          </w:tcPr>
          <w:p>
            <w:pPr>
              <w:jc w:val="right"/>
              <w:ind w:right="180"/>
              <w:spacing w:after="0"/>
              <w:rPr>
                <w:sz w:val="20"/>
                <w:szCs w:val="20"/>
                <w:color w:val="auto"/>
              </w:rPr>
            </w:pPr>
            <w:r>
              <w:rPr>
                <w:rFonts w:ascii="Arial" w:cs="Arial" w:eastAsia="Arial" w:hAnsi="Arial"/>
                <w:sz w:val="18"/>
                <w:szCs w:val="18"/>
                <w:color w:val="auto"/>
              </w:rPr>
              <w:t>116,225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21.42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 to March 31</w:t>
            </w:r>
          </w:p>
        </w:tc>
        <w:tc>
          <w:tcPr>
            <w:tcW w:w="24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27.06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22.96</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296"/>
              <w:spacing w:after="0"/>
              <w:rPr>
                <w:sz w:val="20"/>
                <w:szCs w:val="20"/>
                <w:color w:val="auto"/>
              </w:rPr>
            </w:pPr>
            <w:r>
              <w:rPr>
                <w:rFonts w:ascii="Arial" w:cs="Arial" w:eastAsia="Arial" w:hAnsi="Arial"/>
                <w:sz w:val="14"/>
                <w:szCs w:val="14"/>
                <w:color w:val="auto"/>
              </w:rPr>
              <w:t>28</w:t>
            </w: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700" w:right="480" w:hanging="688"/>
        <w:spacing w:after="0" w:line="277" w:lineRule="auto"/>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Shenandoah Telecommunications Company, effective April 15, 2016, filed as Exhibit 3.3 to the Company’s Current Report on Form 8-K dated April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First Amendment to the Credit Agreement with CoBank, ACB, as administrative agent and the various financial institutions thereto, effective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29, 2016, filed as Exhibit 10.50 to the Company’s Current Report on Form 8-K dated April 4, 2016.</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101.INS</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Instance Document</w:t>
            </w:r>
          </w:p>
        </w:tc>
      </w:tr>
      <w:tr>
        <w:trPr>
          <w:trHeight w:val="216"/>
        </w:trPr>
        <w:tc>
          <w:tcPr>
            <w:tcW w:w="1840" w:type="dxa"/>
            <w:vAlign w:val="bottom"/>
          </w:tcPr>
          <w:p>
            <w:pPr>
              <w:spacing w:after="0"/>
              <w:rPr>
                <w:sz w:val="18"/>
                <w:szCs w:val="18"/>
                <w:color w:val="auto"/>
              </w:rPr>
            </w:pPr>
          </w:p>
        </w:tc>
        <w:tc>
          <w:tcPr>
            <w:tcW w:w="9580" w:type="dxa"/>
            <w:vAlign w:val="bottom"/>
          </w:tcPr>
          <w:p>
            <w:pPr>
              <w:spacing w:after="0"/>
              <w:rPr>
                <w:sz w:val="18"/>
                <w:szCs w:val="18"/>
                <w:color w:val="auto"/>
              </w:rPr>
            </w:pPr>
          </w:p>
        </w:tc>
      </w:t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101.SCH</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840" w:type="dxa"/>
            <w:vAlign w:val="bottom"/>
          </w:tcPr>
          <w:p>
            <w:pPr>
              <w:spacing w:after="0"/>
              <w:rPr>
                <w:sz w:val="18"/>
                <w:szCs w:val="18"/>
                <w:color w:val="auto"/>
              </w:rPr>
            </w:pPr>
          </w:p>
        </w:tc>
        <w:tc>
          <w:tcPr>
            <w:tcW w:w="9580" w:type="dxa"/>
            <w:vAlign w:val="bottom"/>
          </w:tcPr>
          <w:p>
            <w:pPr>
              <w:spacing w:after="0"/>
              <w:rPr>
                <w:sz w:val="18"/>
                <w:szCs w:val="18"/>
                <w:color w:val="auto"/>
              </w:rPr>
            </w:pPr>
          </w:p>
        </w:tc>
      </w:t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101.CAL</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840" w:type="dxa"/>
            <w:vAlign w:val="bottom"/>
          </w:tcPr>
          <w:p>
            <w:pPr>
              <w:spacing w:after="0"/>
              <w:rPr>
                <w:sz w:val="18"/>
                <w:szCs w:val="18"/>
                <w:color w:val="auto"/>
              </w:rPr>
            </w:pPr>
          </w:p>
        </w:tc>
        <w:tc>
          <w:tcPr>
            <w:tcW w:w="9580" w:type="dxa"/>
            <w:vAlign w:val="bottom"/>
          </w:tcPr>
          <w:p>
            <w:pPr>
              <w:spacing w:after="0"/>
              <w:rPr>
                <w:sz w:val="18"/>
                <w:szCs w:val="18"/>
                <w:color w:val="auto"/>
              </w:rPr>
            </w:pPr>
          </w:p>
        </w:tc>
      </w:t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101.DEF</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840" w:type="dxa"/>
            <w:vAlign w:val="bottom"/>
          </w:tcPr>
          <w:p>
            <w:pPr>
              <w:spacing w:after="0"/>
              <w:rPr>
                <w:sz w:val="18"/>
                <w:szCs w:val="18"/>
                <w:color w:val="auto"/>
              </w:rPr>
            </w:pPr>
          </w:p>
        </w:tc>
        <w:tc>
          <w:tcPr>
            <w:tcW w:w="9580" w:type="dxa"/>
            <w:vAlign w:val="bottom"/>
          </w:tcPr>
          <w:p>
            <w:pPr>
              <w:spacing w:after="0"/>
              <w:rPr>
                <w:sz w:val="18"/>
                <w:szCs w:val="18"/>
                <w:color w:val="auto"/>
              </w:rPr>
            </w:pPr>
          </w:p>
        </w:tc>
      </w:t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101.LAB</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840" w:type="dxa"/>
            <w:vAlign w:val="bottom"/>
          </w:tcPr>
          <w:p>
            <w:pPr>
              <w:spacing w:after="0"/>
              <w:rPr>
                <w:sz w:val="18"/>
                <w:szCs w:val="18"/>
                <w:color w:val="auto"/>
              </w:rPr>
            </w:pPr>
          </w:p>
        </w:tc>
        <w:tc>
          <w:tcPr>
            <w:tcW w:w="9580" w:type="dxa"/>
            <w:vAlign w:val="bottom"/>
          </w:tcPr>
          <w:p>
            <w:pPr>
              <w:spacing w:after="0"/>
              <w:rPr>
                <w:sz w:val="18"/>
                <w:szCs w:val="18"/>
                <w:color w:val="auto"/>
              </w:rPr>
            </w:pPr>
          </w:p>
        </w:tc>
      </w:tr>
      <w:tr>
        <w:trPr>
          <w:trHeight w:val="216"/>
        </w:trPr>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101.PRE</w:t>
            </w:r>
          </w:p>
        </w:tc>
        <w:tc>
          <w:tcPr>
            <w:tcW w:w="9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6"/>
        </w:trPr>
        <w:tc>
          <w:tcPr>
            <w:tcW w:w="1840" w:type="dxa"/>
            <w:vAlign w:val="bottom"/>
          </w:tcPr>
          <w:p>
            <w:pPr>
              <w:spacing w:after="0"/>
              <w:rPr>
                <w:sz w:val="24"/>
                <w:szCs w:val="24"/>
                <w:color w:val="auto"/>
              </w:rPr>
            </w:pPr>
          </w:p>
        </w:tc>
        <w:tc>
          <w:tcPr>
            <w:tcW w:w="9580" w:type="dxa"/>
            <w:vAlign w:val="bottom"/>
          </w:tcPr>
          <w:p>
            <w:pPr>
              <w:ind w:left="3800"/>
              <w:spacing w:after="0"/>
              <w:rPr>
                <w:sz w:val="20"/>
                <w:szCs w:val="20"/>
                <w:color w:val="auto"/>
              </w:rPr>
            </w:pPr>
            <w:r>
              <w:rPr>
                <w:rFonts w:ascii="Arial" w:cs="Arial" w:eastAsia="Arial" w:hAnsi="Arial"/>
                <w:sz w:val="14"/>
                <w:szCs w:val="14"/>
                <w:color w:val="auto"/>
              </w:rPr>
              <w:t>29</w:t>
            </w:r>
          </w:p>
        </w:tc>
      </w:tr>
      <w:tr>
        <w:trPr>
          <w:trHeight w:val="46"/>
        </w:trPr>
        <w:tc>
          <w:tcPr>
            <w:tcW w:w="1840" w:type="dxa"/>
            <w:vAlign w:val="bottom"/>
            <w:tcBorders>
              <w:bottom w:val="single" w:sz="8" w:color="auto"/>
            </w:tcBorders>
          </w:tcPr>
          <w:p>
            <w:pPr>
              <w:spacing w:after="0"/>
              <w:rPr>
                <w:sz w:val="4"/>
                <w:szCs w:val="4"/>
                <w:color w:val="auto"/>
              </w:rPr>
            </w:pPr>
          </w:p>
        </w:tc>
        <w:tc>
          <w:tcPr>
            <w:tcW w:w="9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April 29, 2016</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200" w:type="dxa"/>
            <w:vAlign w:val="bottom"/>
            <w:gridSpan w:val="7"/>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200" w:type="dxa"/>
            <w:vAlign w:val="bottom"/>
            <w:gridSpan w:val="7"/>
          </w:tcPr>
          <w:p>
            <w:pPr>
              <w:spacing w:after="0"/>
              <w:rPr>
                <w:sz w:val="20"/>
                <w:szCs w:val="20"/>
                <w:color w:val="auto"/>
              </w:rPr>
            </w:pPr>
            <w:r>
              <w:rPr>
                <w:rFonts w:ascii="Arial" w:cs="Arial" w:eastAsia="Arial" w:hAnsi="Arial"/>
                <w:sz w:val="18"/>
                <w:szCs w:val="18"/>
                <w:color w:val="auto"/>
              </w:rPr>
              <w:t>EXHIBIT INDEX</w:t>
            </w: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5"/>
          </w:tcPr>
          <w:p>
            <w:pPr>
              <w:ind w:left="800"/>
              <w:spacing w:after="0"/>
              <w:rPr>
                <w:sz w:val="20"/>
                <w:szCs w:val="20"/>
                <w:color w:val="auto"/>
              </w:rPr>
            </w:pPr>
            <w:r>
              <w:rPr>
                <w:rFonts w:ascii="Arial" w:cs="Arial" w:eastAsia="Arial" w:hAnsi="Arial"/>
                <w:sz w:val="18"/>
                <w:szCs w:val="18"/>
                <w:b w:val="1"/>
                <w:bCs w:val="1"/>
                <w:color w:val="auto"/>
              </w:rPr>
              <w:t>Exhibit No.</w:t>
            </w:r>
          </w:p>
        </w:tc>
        <w:tc>
          <w:tcPr>
            <w:tcW w:w="922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4"/>
            <w:shd w:val="clear" w:color="auto" w:fill="CCEEFF"/>
          </w:tcPr>
          <w:p>
            <w:pPr>
              <w:jc w:val="center"/>
              <w:ind w:left="1270"/>
              <w:spacing w:after="0" w:line="201" w:lineRule="exact"/>
              <w:rPr>
                <w:sz w:val="20"/>
                <w:szCs w:val="20"/>
                <w:color w:val="auto"/>
              </w:rPr>
            </w:pPr>
            <w:r>
              <w:rPr>
                <w:rFonts w:ascii="Arial" w:cs="Arial" w:eastAsia="Arial" w:hAnsi="Arial"/>
                <w:sz w:val="18"/>
                <w:szCs w:val="18"/>
                <w:color w:val="auto"/>
                <w:w w:val="87"/>
              </w:rPr>
              <w:t>3.3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Amended and Restated Bylaws of Shenandoah Telecommunications Company, effective April 15, 2016, filed as Exhibit 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 the Company’s Current Report on Form 8-K dated April 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gridSpan w:val="5"/>
            <w:shd w:val="clear" w:color="auto" w:fill="CCEEFF"/>
          </w:tcPr>
          <w:p>
            <w:pPr>
              <w:jc w:val="center"/>
              <w:ind w:left="1010"/>
              <w:spacing w:after="0" w:line="201" w:lineRule="exact"/>
              <w:rPr>
                <w:sz w:val="20"/>
                <w:szCs w:val="20"/>
                <w:color w:val="auto"/>
              </w:rPr>
            </w:pPr>
            <w:r>
              <w:rPr>
                <w:rFonts w:ascii="Arial" w:cs="Arial" w:eastAsia="Arial" w:hAnsi="Arial"/>
                <w:sz w:val="18"/>
                <w:szCs w:val="18"/>
                <w:color w:val="auto"/>
                <w:w w:val="88"/>
              </w:rPr>
              <w:t>10.50</w:t>
            </w:r>
          </w:p>
        </w:tc>
        <w:tc>
          <w:tcPr>
            <w:tcW w:w="200" w:type="dxa"/>
            <w:vAlign w:val="bottom"/>
            <w:shd w:val="clear" w:color="auto" w:fill="CCEEFF"/>
          </w:tcPr>
          <w:p>
            <w:pPr>
              <w:spacing w:after="0"/>
              <w:rPr>
                <w:sz w:val="17"/>
                <w:szCs w:val="17"/>
                <w:color w:val="auto"/>
              </w:rPr>
            </w:pPr>
          </w:p>
        </w:tc>
        <w:tc>
          <w:tcPr>
            <w:tcW w:w="92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First Amendment to the Credit Agreement with CoBank, ACB, as administrative agent and the various financial institutions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thereto, effective March 29, 2016, filed as Exhibit 10.50 to the Company’s Current Report on Form 8-K dated April 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5"/>
            <w:shd w:val="clear" w:color="auto" w:fill="CCEEFF"/>
          </w:tcPr>
          <w:p>
            <w:pPr>
              <w:jc w:val="center"/>
              <w:ind w:left="1010"/>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00" w:type="dxa"/>
            <w:vAlign w:val="bottom"/>
            <w:shd w:val="clear" w:color="auto" w:fill="CCEEFF"/>
          </w:tcPr>
          <w:p>
            <w:pPr>
              <w:spacing w:after="0"/>
              <w:rPr>
                <w:sz w:val="15"/>
                <w:szCs w:val="15"/>
                <w:color w:val="auto"/>
              </w:rPr>
            </w:pPr>
          </w:p>
        </w:tc>
        <w:tc>
          <w:tcPr>
            <w:tcW w:w="922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President and Chief Executive Officer pursuant to Rule 13a-14(a) under the Securities Exchange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2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5"/>
            <w:shd w:val="clear" w:color="auto" w:fill="CCEEFF"/>
          </w:tcPr>
          <w:p>
            <w:pPr>
              <w:jc w:val="center"/>
              <w:ind w:left="1010"/>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00" w:type="dxa"/>
            <w:vAlign w:val="bottom"/>
            <w:shd w:val="clear" w:color="auto" w:fill="CCEEFF"/>
          </w:tcPr>
          <w:p>
            <w:pPr>
              <w:spacing w:after="0"/>
              <w:rPr>
                <w:sz w:val="15"/>
                <w:szCs w:val="15"/>
                <w:color w:val="auto"/>
              </w:rPr>
            </w:pPr>
          </w:p>
        </w:tc>
        <w:tc>
          <w:tcPr>
            <w:tcW w:w="922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Vice President - Finance and Chief Financial Officer pursuant to Rule 13a-14(a) under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22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20" w:hanging="956"/>
        <w:spacing w:after="0"/>
        <w:tabs>
          <w:tab w:leader="none" w:pos="2420" w:val="left"/>
        </w:tabs>
        <w:numPr>
          <w:ilvl w:val="0"/>
          <w:numId w:val="16"/>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420" w:hanging="1061"/>
        <w:spacing w:after="0"/>
        <w:tabs>
          <w:tab w:leader="none" w:pos="2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101.INS</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101.SCH</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101.CAL</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101.DEF</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101.LAB</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101.PRE</w:t>
            </w: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760" w:type="dxa"/>
            <w:vAlign w:val="bottom"/>
          </w:tcPr>
          <w:p>
            <w:pPr>
              <w:ind w:left="3000"/>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8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2620" w:type="dxa"/>
            <w:vAlign w:val="bottom"/>
            <w:tcBorders>
              <w:top w:val="single" w:sz="8" w:color="auto"/>
            </w:tcBorders>
            <w:shd w:val="clear" w:color="auto" w:fill="808080"/>
          </w:tcPr>
          <w:p>
            <w:pPr>
              <w:spacing w:after="0" w:line="20" w:lineRule="exact"/>
              <w:rPr>
                <w:sz w:val="1"/>
                <w:szCs w:val="1"/>
                <w:color w:val="auto"/>
              </w:rPr>
            </w:pPr>
          </w:p>
        </w:tc>
        <w:tc>
          <w:tcPr>
            <w:tcW w:w="87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224" w:lineRule="exact"/>
        <w:rPr>
          <w:sz w:val="20"/>
          <w:szCs w:val="20"/>
          <w:color w:val="auto"/>
        </w:rPr>
      </w:pPr>
    </w:p>
    <w:p>
      <w:pPr>
        <w:ind w:right="20" w:firstLine="656"/>
        <w:spacing w:after="0" w:line="342" w:lineRule="auto"/>
        <w:tabs>
          <w:tab w:leader="none" w:pos="13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2016 filed on the date hereof with the Securities and Exchange Commission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left="1400" w:hanging="744"/>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April 29, 2016</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April 29, 2016</w:t>
      </w:r>
    </w:p>
    <w:p>
      <w:pPr>
        <w:spacing w:after="0" w:line="2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5"/>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2019-12-29T13:34:36Z</dcterms:created>
  <dcterms:modified xsi:type="dcterms:W3CDTF">2019-12-29T13:34:36Z</dcterms:modified>
</cp:coreProperties>
</file>