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 C. 20549</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FORM 10-Q/A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Amendment No. 1</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6"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For the quarterly period ended June 30,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 the transition period from__________ to __________</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No.: 000-09881 </w:t>
      </w:r>
    </w:p>
    <w:p>
      <w:pPr>
        <w:pStyle w:val="TextBody"/>
        <w:bidi w:val="0"/>
        <w:spacing w:before="0" w:after="0"/>
        <w:jc w:val="center"/>
        <w:rPr/>
      </w:pPr>
      <w:r>
        <w:rPr/>
      </w:r>
    </w:p>
    <w:p>
      <w:pPr>
        <w:pStyle w:val="TextBody"/>
        <w:bidi w:val="0"/>
        <w:spacing w:before="0" w:after="0"/>
        <w:jc w:val="center"/>
        <w:rPr/>
      </w:pPr>
      <w:r>
        <w:rPr/>
        <w:drawing>
          <wp:inline distT="0" distB="0" distL="0" distR="0">
            <wp:extent cx="204787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3905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 xml:space="preserve">SHENANDOAH TELECOMMUNICATIONS COMPANY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8321" w:type="dxa"/>
        <w:jc w:val="left"/>
        <w:tblInd w:w="0" w:type="dxa"/>
        <w:tblLayout w:type="fixed"/>
        <w:tblCellMar>
          <w:top w:w="28" w:type="dxa"/>
          <w:left w:w="28" w:type="dxa"/>
          <w:bottom w:w="28" w:type="dxa"/>
          <w:right w:w="28" w:type="dxa"/>
        </w:tblCellMar>
      </w:tblPr>
      <w:tblGrid>
        <w:gridCol w:w="1791"/>
        <w:gridCol w:w="1581"/>
        <w:gridCol w:w="1593"/>
        <w:gridCol w:w="109"/>
        <w:gridCol w:w="109"/>
        <w:gridCol w:w="109"/>
        <w:gridCol w:w="884"/>
        <w:gridCol w:w="884"/>
        <w:gridCol w:w="1261"/>
      </w:tblGrid>
      <w:tr>
        <w:trPr/>
        <w:tc>
          <w:tcPr>
            <w:tcW w:w="1791" w:type="dxa"/>
            <w:tcBorders/>
            <w:vAlign w:val="center"/>
          </w:tcPr>
          <w:p>
            <w:pPr>
              <w:pStyle w:val="TableContents"/>
              <w:bidi w:val="0"/>
              <w:spacing w:before="0" w:after="283"/>
              <w:jc w:val="left"/>
              <w:rPr>
                <w:sz w:val="4"/>
                <w:szCs w:val="4"/>
              </w:rPr>
            </w:pPr>
            <w:r>
              <w:rPr>
                <w:sz w:val="4"/>
                <w:szCs w:val="4"/>
              </w:rPr>
            </w:r>
          </w:p>
        </w:tc>
        <w:tc>
          <w:tcPr>
            <w:tcW w:w="1581"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Virginia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54-1162807</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500 Shentel Way, Edinburg, Virginia    22824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(540) 984-4141</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SECURITIES REGISTERED PURSUANT TO SECTION 12(B) OF THE ACT:</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77"/>
        <w:gridCol w:w="596"/>
        <w:gridCol w:w="599"/>
        <w:gridCol w:w="393"/>
        <w:gridCol w:w="393"/>
        <w:gridCol w:w="400"/>
        <w:gridCol w:w="808"/>
        <w:gridCol w:w="800"/>
        <w:gridCol w:w="803"/>
        <w:gridCol w:w="1383"/>
        <w:gridCol w:w="1383"/>
        <w:gridCol w:w="1970"/>
      </w:tblGrid>
      <w:tr>
        <w:trPr/>
        <w:tc>
          <w:tcPr>
            <w:tcW w:w="677"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383" w:type="dxa"/>
            <w:tcBorders/>
            <w:vAlign w:val="center"/>
          </w:tcPr>
          <w:p>
            <w:pPr>
              <w:pStyle w:val="TableContents"/>
              <w:bidi w:val="0"/>
              <w:spacing w:before="0" w:after="283"/>
              <w:jc w:val="left"/>
              <w:rPr>
                <w:sz w:val="4"/>
                <w:szCs w:val="4"/>
              </w:rPr>
            </w:pPr>
            <w:r>
              <w:rPr>
                <w:sz w:val="4"/>
                <w:szCs w:val="4"/>
              </w:rPr>
            </w:r>
          </w:p>
        </w:tc>
        <w:tc>
          <w:tcPr>
            <w:tcW w:w="1970" w:type="dxa"/>
            <w:tcBorders/>
            <w:vAlign w:val="center"/>
          </w:tcPr>
          <w:p>
            <w:pPr>
              <w:pStyle w:val="TableContents"/>
              <w:bidi w:val="0"/>
              <w:spacing w:before="0" w:after="283"/>
              <w:jc w:val="left"/>
              <w:rPr>
                <w:sz w:val="4"/>
                <w:szCs w:val="4"/>
              </w:rPr>
            </w:pPr>
            <w:r>
              <w:rPr>
                <w:sz w:val="4"/>
                <w:szCs w:val="4"/>
              </w:rPr>
            </w:r>
          </w:p>
        </w:tc>
      </w:tr>
      <w:tr>
        <w:trPr/>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(No Par Value)</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SHEN</w:t>
            </w:r>
          </w:p>
        </w:tc>
        <w:tc>
          <w:tcPr>
            <w:tcW w:w="2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c>
          <w:tcPr>
            <w:tcW w:w="4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55,364,680</w:t>
            </w:r>
          </w:p>
        </w:tc>
      </w:tr>
      <w:tr>
        <w:trPr/>
        <w:tc>
          <w:tcPr>
            <w:tcW w:w="18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(Title of Class)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(Trading Symbol)</w:t>
            </w:r>
          </w:p>
        </w:tc>
        <w:tc>
          <w:tcPr>
            <w:tcW w:w="24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 of Exchange on which Registered)</w:t>
            </w:r>
          </w:p>
        </w:tc>
        <w:tc>
          <w:tcPr>
            <w:tcW w:w="4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number of shares of the registrant's common stock outstanding on July 22, 2026)</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No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No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601"/>
        <w:gridCol w:w="528"/>
        <w:gridCol w:w="530"/>
        <w:gridCol w:w="109"/>
        <w:gridCol w:w="109"/>
        <w:gridCol w:w="109"/>
        <w:gridCol w:w="428"/>
        <w:gridCol w:w="428"/>
        <w:gridCol w:w="430"/>
        <w:gridCol w:w="109"/>
        <w:gridCol w:w="109"/>
        <w:gridCol w:w="109"/>
        <w:gridCol w:w="518"/>
        <w:gridCol w:w="518"/>
        <w:gridCol w:w="520"/>
        <w:gridCol w:w="109"/>
        <w:gridCol w:w="109"/>
        <w:gridCol w:w="109"/>
        <w:gridCol w:w="666"/>
        <w:gridCol w:w="666"/>
        <w:gridCol w:w="669"/>
        <w:gridCol w:w="109"/>
        <w:gridCol w:w="109"/>
        <w:gridCol w:w="109"/>
        <w:gridCol w:w="671"/>
        <w:gridCol w:w="671"/>
        <w:gridCol w:w="674"/>
        <w:gridCol w:w="109"/>
        <w:gridCol w:w="109"/>
        <w:gridCol w:w="161"/>
      </w:tblGrid>
      <w:tr>
        <w:trPr/>
        <w:tc>
          <w:tcPr>
            <w:tcW w:w="601"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6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0"/>
        <w:jc w:val="both"/>
        <w:rPr/>
      </w:pP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 xml:space="preserve">No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Shenandoah Telecommunications Company (“Shentel”, “we”, “our”, “us”, or the “Company”) is filing this Amendment No. 1 (this “Amendment”) to our Quarterly Report on Form 10-Q for the quarter ended June 30, 2026, previously filed with the Securities and Exchange Commission on July 29, 2026 (the “Original Filing”), solely for the purpose of correcting a typographical error in the number of shares of Shentel common stock outstanding on July 22, 2026. Specifically, the number of shares outstanding as of July 22, 2026 was 55,364,680.</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Except as described above, this Amendment does not amend, update or change any other items or disclosures contained in the Original Filing. This Amendment does not reflect or purport to reflect any information or events occurring after the date and time of the Original Filing nor does it modify or update the disclosures contained in the Original Filing that may be affected by subsequent events. Accordingly, this Amendment should be read in conjunction with the Original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6. </w:t>
      </w:r>
      <w:r>
        <w:rPr>
          <w:color w:val="000000"/>
        </w:rPr>
        <w:t>    </w:t>
      </w:r>
      <w:r>
        <w:rPr>
          <w:rFonts w:ascii="Times New Roman;serif" w:hAnsi="Times New Roman;serif"/>
          <w:b/>
          <w:color w:val="000000"/>
          <w:sz w:val="20"/>
        </w:rPr>
        <w:t>Exhibits Index</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85"/>
        <w:gridCol w:w="338"/>
        <w:gridCol w:w="339"/>
        <w:gridCol w:w="971"/>
        <w:gridCol w:w="965"/>
        <w:gridCol w:w="965"/>
        <w:gridCol w:w="965"/>
        <w:gridCol w:w="965"/>
        <w:gridCol w:w="965"/>
        <w:gridCol w:w="965"/>
        <w:gridCol w:w="965"/>
        <w:gridCol w:w="1417"/>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r>
      <w:tr>
        <w:trPr/>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91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Description</w:t>
            </w:r>
          </w:p>
        </w:tc>
      </w:tr>
      <w:tr>
        <w:trPr/>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henex3110630202610-qa.htm">
              <w:r>
                <w:rPr>
                  <w:rStyle w:val="InternetLink"/>
                  <w:rFonts w:ascii="Times New Roman;serif" w:hAnsi="Times New Roman;serif"/>
                  <w:b w:val="false"/>
                  <w:color w:val="0000FF"/>
                  <w:sz w:val="20"/>
                  <w:u w:val="single"/>
                </w:rPr>
                <w:t>31.1</w:t>
              </w:r>
            </w:hyperlink>
            <w:r>
              <w:rPr>
                <w:rFonts w:ascii="Times New Roman;serif" w:hAnsi="Times New Roman;serif"/>
                <w:b w:val="false"/>
                <w:color w:val="000000"/>
                <w:sz w:val="20"/>
              </w:rPr>
              <w:t>*</w:t>
            </w:r>
          </w:p>
        </w:tc>
        <w:tc>
          <w:tcPr>
            <w:tcW w:w="91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 pursuant to Rule 13a-14(a) under the Securities Exchange Act of 1934.</w:t>
            </w:r>
          </w:p>
        </w:tc>
      </w:tr>
      <w:tr>
        <w:trPr/>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henex3120630202610-qa.htm">
              <w:r>
                <w:rPr>
                  <w:rStyle w:val="InternetLink"/>
                  <w:rFonts w:ascii="Times New Roman;serif" w:hAnsi="Times New Roman;serif"/>
                  <w:b w:val="false"/>
                  <w:color w:val="0000FF"/>
                  <w:sz w:val="20"/>
                  <w:u w:val="single"/>
                </w:rPr>
                <w:t>31.2</w:t>
              </w:r>
            </w:hyperlink>
            <w:r>
              <w:rPr>
                <w:rFonts w:ascii="Times New Roman;serif" w:hAnsi="Times New Roman;serif"/>
                <w:b w:val="false"/>
                <w:color w:val="000000"/>
                <w:sz w:val="20"/>
              </w:rPr>
              <w:t>*</w:t>
            </w:r>
          </w:p>
        </w:tc>
        <w:tc>
          <w:tcPr>
            <w:tcW w:w="91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 pursuant to Rule 13a-14(a) under the Securities Exchange Act of 1934.</w:t>
            </w:r>
          </w:p>
        </w:tc>
      </w:tr>
      <w:tr>
        <w:trPr/>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henex3130630202610-qa.htm">
              <w:r>
                <w:rPr>
                  <w:rStyle w:val="InternetLink"/>
                  <w:rFonts w:ascii="Times New Roman;serif" w:hAnsi="Times New Roman;serif"/>
                  <w:b w:val="false"/>
                  <w:color w:val="0000FF"/>
                  <w:sz w:val="20"/>
                  <w:u w:val="single"/>
                </w:rPr>
                <w:t>31.3</w:t>
              </w:r>
            </w:hyperlink>
            <w:r>
              <w:rPr>
                <w:rFonts w:ascii="Times New Roman;serif" w:hAnsi="Times New Roman;serif"/>
                <w:b w:val="false"/>
                <w:color w:val="000000"/>
                <w:sz w:val="20"/>
              </w:rPr>
              <w:t>*</w:t>
            </w:r>
          </w:p>
        </w:tc>
        <w:tc>
          <w:tcPr>
            <w:tcW w:w="91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of Principal Accounting Officer pursuant to Rule 13a-14(a) under the Securities Exchange Act of 1934.</w:t>
            </w:r>
          </w:p>
        </w:tc>
      </w:tr>
      <w:tr>
        <w:trPr/>
        <w:tc>
          <w:tcPr>
            <w:tcW w:w="1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shenex320630202610-qa.htm">
              <w:r>
                <w:rPr>
                  <w:rStyle w:val="InternetLink"/>
                  <w:rFonts w:ascii="Times New Roman;serif" w:hAnsi="Times New Roman;serif"/>
                  <w:b w:val="false"/>
                  <w:color w:val="0000FF"/>
                  <w:sz w:val="20"/>
                  <w:u w:val="single"/>
                </w:rPr>
                <w:t>32</w:t>
              </w:r>
            </w:hyperlink>
            <w:r>
              <w:rPr>
                <w:rFonts w:ascii="Times New Roman;serif" w:hAnsi="Times New Roman;serif"/>
                <w:b w:val="false"/>
                <w:color w:val="000000"/>
                <w:sz w:val="20"/>
              </w:rPr>
              <w:t>**</w:t>
            </w:r>
          </w:p>
        </w:tc>
        <w:tc>
          <w:tcPr>
            <w:tcW w:w="91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Certifications pursuant to Rule 13a-14(b) under the Securities Exchange Act of 1934 and 18 U.S.C. § 1350.</w:t>
            </w:r>
          </w:p>
        </w:tc>
      </w:tr>
      <w:tr>
        <w:trPr/>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91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Formatted in Inline XBRL (Extensible Business Reporting Language)</w:t>
            </w:r>
          </w:p>
        </w:tc>
      </w:tr>
      <w:tr>
        <w:trPr/>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9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914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32" w:space="0" w:color="444444"/>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rFonts w:ascii="Times New Roman;serif" w:hAnsi="Times New Roman;serif"/>
          <w:b w:val="false"/>
          <w:color w:val="000000"/>
          <w:sz w:val="20"/>
        </w:rPr>
      </w:pPr>
      <w:r>
        <w:rPr>
          <w:rFonts w:ascii="Times New Roman;serif" w:hAnsi="Times New Roman;serif"/>
          <w:b w:val="false"/>
          <w:color w:val="000000"/>
          <w:sz w:val="20"/>
        </w:rPr>
        <w:t>*    Filed herewith</w:t>
      </w:r>
    </w:p>
    <w:p>
      <w:pPr>
        <w:pStyle w:val="TextBody"/>
        <w:bidi w:val="0"/>
        <w:spacing w:lineRule="auto" w:line="288" w:before="200" w:after="20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    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112" w:type="dxa"/>
        <w:jc w:val="left"/>
        <w:tblInd w:w="0" w:type="dxa"/>
        <w:tblLayout w:type="fixed"/>
        <w:tblCellMar>
          <w:top w:w="28" w:type="dxa"/>
          <w:left w:w="28" w:type="dxa"/>
          <w:bottom w:w="28" w:type="dxa"/>
          <w:right w:w="28" w:type="dxa"/>
        </w:tblCellMar>
      </w:tblPr>
      <w:tblGrid>
        <w:gridCol w:w="124"/>
        <w:gridCol w:w="109"/>
        <w:gridCol w:w="109"/>
        <w:gridCol w:w="1396"/>
        <w:gridCol w:w="1396"/>
        <w:gridCol w:w="19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9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SHENANDOAH TELECOMMUNICATIONS COMPANY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526" w:type="dxa"/>
        <w:jc w:val="left"/>
        <w:tblInd w:w="0" w:type="dxa"/>
        <w:tblLayout w:type="fixed"/>
        <w:tblCellMar>
          <w:top w:w="28" w:type="dxa"/>
          <w:left w:w="28" w:type="dxa"/>
          <w:bottom w:w="28" w:type="dxa"/>
          <w:right w:w="28" w:type="dxa"/>
        </w:tblCellMar>
      </w:tblPr>
      <w:tblGrid>
        <w:gridCol w:w="124"/>
        <w:gridCol w:w="109"/>
        <w:gridCol w:w="109"/>
        <w:gridCol w:w="1218"/>
        <w:gridCol w:w="1218"/>
        <w:gridCol w:w="174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74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James J. Volk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Volk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Senior Vice President and Chief Financial Officer </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July 29, 2026</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Edward H. McKay, certify that:</w:t>
      </w:r>
    </w:p>
    <w:p>
      <w:pPr>
        <w:pStyle w:val="TextBody"/>
        <w:bidi w:val="0"/>
        <w:spacing w:before="0" w:after="0"/>
        <w:ind w:left="0" w:right="0" w:firstLine="720"/>
        <w:jc w:val="both"/>
        <w:rPr/>
      </w:pPr>
      <w:r>
        <w:rPr/>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10-Q/A of Shenandoah Telecommunications Company;</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w:t>
      </w:r>
      <w:r>
        <w:rPr>
          <w:color w:val="000000"/>
        </w:rPr>
        <w:t> </w:t>
      </w:r>
      <w:r>
        <w:rPr>
          <w:rFonts w:ascii="Times New Roman;serif" w:hAnsi="Times New Roman;serif"/>
          <w:b w:val="false"/>
          <w:color w:val="000000"/>
          <w:sz w:val="20"/>
        </w:rPr>
        <w:t>and internal control over financial reporting (as defined in Exchange Act Rules 13a-15(f) and 15d</w:t>
        <w:noBreakHyphen/>
        <w:t>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(2)Any fraud, whether or not material, that involves management or other employees who have a significant role in the registrant’s internal control over financial reporting.</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EDWARD H. MCKAY</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Edward H. McKay, President and Chief Executive Officer</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James J. Volk, certify that:</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10-Q/A of Shenandoah Telecommunications Company;</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noBreakHyphen/>
        <w:t>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63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(2)Any fraud, whether or not material, that involves management or other employees who have a significant role in the registrant’s internal control over financial reporting. </w:t>
      </w:r>
    </w:p>
    <w:p>
      <w:pPr>
        <w:pStyle w:val="TextBody"/>
        <w:bidi w:val="0"/>
        <w:spacing w:lineRule="auto" w:line="288" w:before="0" w:after="0"/>
        <w:jc w:val="both"/>
        <w:rPr>
          <w:color w:val="000000"/>
        </w:rPr>
      </w:pP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/s/JAMES J. VOLK</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James J. Volk, Senior Vice President – Chief Financial Officer</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Date: July 29, 2026</w:t>
      </w:r>
    </w:p>
    <w:p>
      <w:pPr>
        <w:pStyle w:val="TextBody"/>
        <w:bidi w:val="0"/>
        <w:spacing w:lineRule="auto" w:line="288" w:before="0" w:after="0"/>
        <w:jc w:val="left"/>
        <w:rPr>
          <w:color w:val="000000"/>
        </w:rPr>
      </w:pPr>
      <w:r>
        <w:rPr>
          <w:color w:val="000000"/>
        </w:rPr>
        <w:t> </w:t>
      </w: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p>
    <w:p>
      <w:pPr>
        <w:pStyle w:val="TextBody"/>
        <w:bidi w:val="0"/>
        <w:spacing w:lineRule="auto" w:line="288" w:before="0" w:after="0"/>
        <w:jc w:val="righ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before="0" w:after="0"/>
        <w:jc w:val="left"/>
        <w:rPr/>
      </w:pPr>
      <w:r>
        <w:rPr/>
      </w:r>
    </w:p>
    <w:p>
      <w:pPr>
        <w:pStyle w:val="TextBody"/>
        <w:bidi w:val="0"/>
        <w:spacing w:lineRule="auto" w:line="288" w:before="0" w:after="12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I, Tracy Willis, certify that:</w:t>
      </w:r>
    </w:p>
    <w:p>
      <w:pPr>
        <w:pStyle w:val="TextBody"/>
        <w:bidi w:val="0"/>
        <w:spacing w:lineRule="auto" w:line="288" w:before="0" w:after="12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10-Q/A of Shenandoah Telecommunications Company;</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w:t>
        <w:noBreakHyphen/>
        <w:t>15(f)) for the registrant and have: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/S/TRACY WILLIS</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Tracy Willis, Vice President - Chief Accounting Officer</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Date: July 29,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Written Statement of Chief Executive Officer and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Each of the undersigned, the President and Chief Executive Officer and the Senior Vice President - Chief Financial Officer, of Shenandoah Telecommunications Company (the “Company”), hereby certifies that, on the date hereof:</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The quarterly report on Form 10-Q/A of the Company for the three and six months ended June 30, 2026 filed on the date hereof with the Securities and Exchange Commission (the “Report”) fully complies with the requirements of Section 13(a) or 15(d) of the Securities Exchange Act of 1934;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Information contained in the Report fairly presents, in all material respects, the financial condition and result of operations of the Company.</w:t>
      </w:r>
    </w:p>
    <w:p>
      <w:pPr>
        <w:pStyle w:val="TextBody"/>
        <w:bidi w:val="0"/>
        <w:spacing w:before="0" w:after="0"/>
        <w:jc w:val="left"/>
        <w:rPr/>
      </w:pPr>
      <w:r>
        <w:rPr/>
      </w:r>
    </w:p>
    <w:tbl>
      <w:tblPr>
        <w:tblW w:w="4286" w:type="dxa"/>
        <w:jc w:val="left"/>
        <w:tblInd w:w="0" w:type="dxa"/>
        <w:tblLayout w:type="fixed"/>
        <w:tblCellMar>
          <w:top w:w="28" w:type="dxa"/>
          <w:left w:w="28" w:type="dxa"/>
          <w:bottom w:w="28" w:type="dxa"/>
          <w:right w:w="28" w:type="dxa"/>
        </w:tblCellMar>
      </w:tblPr>
      <w:tblGrid>
        <w:gridCol w:w="124"/>
        <w:gridCol w:w="109"/>
        <w:gridCol w:w="109"/>
        <w:gridCol w:w="1154"/>
        <w:gridCol w:w="1154"/>
        <w:gridCol w:w="163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/S/EDWARD H. MCKAY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Edward H. McKay</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/S/JAMES J. VOLK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James J. Volk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 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29, 2026</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2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2490</Words>
  <Characters>14235</Characters>
  <CharactersWithSpaces>16669</CharactersWithSpaces>
  <Paragraphs>190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