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145415</wp:posOffset>
            </wp:positionH>
            <wp:positionV relativeFrom="page">
              <wp:posOffset>108585</wp:posOffset>
            </wp:positionV>
            <wp:extent cx="7270750"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34925"/>
                    </a:xfrm>
                    <a:prstGeom prst="rect">
                      <a:avLst/>
                    </a:prstGeom>
                    <a:noFill/>
                  </pic:spPr>
                </pic:pic>
              </a:graphicData>
            </a:graphic>
          </wp:anchor>
        </w:drawing>
        <w:t>UNITED STATES</w:t>
      </w:r>
    </w:p>
    <w:p>
      <w:pPr>
        <w:spacing w:after="0" w:line="23" w:lineRule="exact"/>
        <w:rPr>
          <w:sz w:val="24"/>
          <w:szCs w:val="24"/>
          <w:color w:val="auto"/>
        </w:rPr>
      </w:pPr>
    </w:p>
    <w:p>
      <w:pPr>
        <w:jc w:val="center"/>
        <w:ind w:right="-186"/>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86"/>
        <w:spacing w:after="0"/>
        <w:rPr>
          <w:sz w:val="20"/>
          <w:szCs w:val="20"/>
          <w:color w:val="auto"/>
        </w:rPr>
      </w:pPr>
      <w:r>
        <w:rPr>
          <w:rFonts w:ascii="Arial" w:cs="Arial" w:eastAsia="Arial" w:hAnsi="Arial"/>
          <w:sz w:val="19"/>
          <w:szCs w:val="19"/>
          <w:b w:val="1"/>
          <w:bCs w:val="1"/>
          <w:color w:val="auto"/>
        </w:rPr>
        <w:t>Washington, D.C. 20549</w:t>
      </w:r>
    </w:p>
    <w:p>
      <w:pPr>
        <w:spacing w:after="0" w:line="167" w:lineRule="exact"/>
        <w:rPr>
          <w:sz w:val="24"/>
          <w:szCs w:val="24"/>
          <w:color w:val="auto"/>
        </w:rPr>
      </w:pPr>
    </w:p>
    <w:p>
      <w:pPr>
        <w:jc w:val="center"/>
        <w:ind w:right="-186"/>
        <w:spacing w:after="0"/>
        <w:rPr>
          <w:sz w:val="20"/>
          <w:szCs w:val="20"/>
          <w:color w:val="auto"/>
        </w:rPr>
      </w:pPr>
      <w:r>
        <w:rPr>
          <w:rFonts w:ascii="Arial" w:cs="Arial" w:eastAsia="Arial" w:hAnsi="Arial"/>
          <w:sz w:val="28"/>
          <w:szCs w:val="28"/>
          <w:b w:val="1"/>
          <w:bCs w:val="1"/>
          <w:color w:val="auto"/>
        </w:rPr>
        <w:t>FORM 8-K</w:t>
      </w:r>
    </w:p>
    <w:p>
      <w:pPr>
        <w:spacing w:after="0" w:line="222" w:lineRule="exact"/>
        <w:rPr>
          <w:sz w:val="24"/>
          <w:szCs w:val="24"/>
          <w:color w:val="auto"/>
        </w:rPr>
      </w:pPr>
    </w:p>
    <w:p>
      <w:pPr>
        <w:jc w:val="center"/>
        <w:ind w:right="-186"/>
        <w:spacing w:after="0"/>
        <w:rPr>
          <w:sz w:val="20"/>
          <w:szCs w:val="20"/>
          <w:color w:val="auto"/>
        </w:rPr>
      </w:pPr>
      <w:r>
        <w:rPr>
          <w:rFonts w:ascii="Arial" w:cs="Arial" w:eastAsia="Arial" w:hAnsi="Arial"/>
          <w:sz w:val="16"/>
          <w:szCs w:val="16"/>
          <w:b w:val="1"/>
          <w:bCs w:val="1"/>
          <w:color w:val="auto"/>
        </w:rPr>
        <w:t>CURRENT REPORT</w:t>
      </w:r>
    </w:p>
    <w:p>
      <w:pPr>
        <w:spacing w:after="0" w:line="18" w:lineRule="exact"/>
        <w:rPr>
          <w:sz w:val="24"/>
          <w:szCs w:val="24"/>
          <w:color w:val="auto"/>
        </w:rPr>
      </w:pPr>
    </w:p>
    <w:p>
      <w:pPr>
        <w:jc w:val="center"/>
        <w:ind w:right="-186"/>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2" w:lineRule="exact"/>
        <w:rPr>
          <w:sz w:val="24"/>
          <w:szCs w:val="24"/>
          <w:color w:val="auto"/>
        </w:rPr>
      </w:pPr>
    </w:p>
    <w:p>
      <w:pPr>
        <w:jc w:val="center"/>
        <w:ind w:right="-186"/>
        <w:spacing w:after="0"/>
        <w:rPr>
          <w:sz w:val="20"/>
          <w:szCs w:val="20"/>
          <w:color w:val="auto"/>
        </w:rPr>
      </w:pPr>
      <w:r>
        <w:rPr>
          <w:rFonts w:ascii="Arial" w:cs="Arial" w:eastAsia="Arial" w:hAnsi="Arial"/>
          <w:sz w:val="16"/>
          <w:szCs w:val="16"/>
          <w:color w:val="auto"/>
        </w:rPr>
        <w:t>Date of Report (Date of earliest event reported): March 23, 2010</w:t>
      </w:r>
    </w:p>
    <w:p>
      <w:pPr>
        <w:spacing w:after="0" w:line="12" w:lineRule="exact"/>
        <w:rPr>
          <w:sz w:val="24"/>
          <w:szCs w:val="24"/>
          <w:color w:val="auto"/>
        </w:rPr>
      </w:pPr>
    </w:p>
    <w:p>
      <w:pPr>
        <w:ind w:left="4987"/>
        <w:spacing w:after="0"/>
        <w:rPr>
          <w:sz w:val="20"/>
          <w:szCs w:val="20"/>
          <w:color w:val="auto"/>
        </w:rPr>
      </w:pPr>
      <w:r>
        <w:rPr>
          <w:rFonts w:ascii="Arial" w:cs="Arial" w:eastAsia="Arial" w:hAnsi="Arial"/>
          <w:sz w:val="16"/>
          <w:szCs w:val="16"/>
          <w:b w:val="1"/>
          <w:bCs w:val="1"/>
          <w:color w:val="auto"/>
        </w:rPr>
        <w:t>___________________</w:t>
      </w:r>
    </w:p>
    <w:p>
      <w:pPr>
        <w:spacing w:after="0" w:line="186" w:lineRule="exact"/>
        <w:rPr>
          <w:sz w:val="24"/>
          <w:szCs w:val="24"/>
          <w:color w:val="auto"/>
        </w:rPr>
      </w:pPr>
    </w:p>
    <w:p>
      <w:pPr>
        <w:jc w:val="center"/>
        <w:ind w:right="-186"/>
        <w:spacing w:after="0"/>
        <w:rPr>
          <w:sz w:val="20"/>
          <w:szCs w:val="20"/>
          <w:color w:val="auto"/>
        </w:rPr>
      </w:pPr>
      <w:r>
        <w:rPr>
          <w:rFonts w:ascii="Arial" w:cs="Arial" w:eastAsia="Arial" w:hAnsi="Arial"/>
          <w:sz w:val="33"/>
          <w:szCs w:val="33"/>
          <w:color w:val="auto"/>
        </w:rPr>
        <w:t>Shenandoah Telecommunications Company</w:t>
      </w:r>
    </w:p>
    <w:p>
      <w:pPr>
        <w:spacing w:after="0" w:line="79" w:lineRule="exact"/>
        <w:rPr>
          <w:sz w:val="24"/>
          <w:szCs w:val="24"/>
          <w:color w:val="auto"/>
        </w:rPr>
      </w:pPr>
    </w:p>
    <w:p>
      <w:pPr>
        <w:ind w:left="3827"/>
        <w:spacing w:after="0"/>
        <w:rPr>
          <w:sz w:val="20"/>
          <w:szCs w:val="20"/>
          <w:color w:val="auto"/>
        </w:rPr>
      </w:pPr>
      <w:r>
        <w:rPr>
          <w:rFonts w:ascii="Arial" w:cs="Arial" w:eastAsia="Arial" w:hAnsi="Arial"/>
          <w:sz w:val="16"/>
          <w:szCs w:val="16"/>
          <w:b w:val="1"/>
          <w:bCs w:val="1"/>
          <w:color w:val="auto"/>
        </w:rPr>
        <w:t>-------------------------------------------------------------------------</w:t>
      </w:r>
    </w:p>
    <w:p>
      <w:pPr>
        <w:jc w:val="center"/>
        <w:ind w:right="-18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 w:lineRule="exact"/>
        <w:rPr>
          <w:sz w:val="24"/>
          <w:szCs w:val="24"/>
          <w:color w:val="auto"/>
        </w:rPr>
      </w:pPr>
    </w:p>
    <w:p>
      <w:pPr>
        <w:ind w:left="5027"/>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267"/>
          </w:cols>
          <w:pgMar w:left="233" w:top="283" w:right="399" w:bottom="1440" w:gutter="0" w:footer="0" w:header="0"/>
        </w:sectPr>
      </w:pPr>
    </w:p>
    <w:p>
      <w:pPr>
        <w:spacing w:after="0" w:line="196" w:lineRule="exact"/>
        <w:rPr>
          <w:sz w:val="24"/>
          <w:szCs w:val="24"/>
          <w:color w:val="auto"/>
        </w:rPr>
      </w:pPr>
    </w:p>
    <w:p>
      <w:pPr>
        <w:jc w:val="center"/>
        <w:ind w:right="493"/>
        <w:spacing w:after="0"/>
        <w:rPr>
          <w:sz w:val="20"/>
          <w:szCs w:val="20"/>
          <w:color w:val="auto"/>
        </w:rPr>
      </w:pPr>
      <w:r>
        <w:rPr>
          <w:rFonts w:ascii="Arial" w:cs="Arial" w:eastAsia="Arial" w:hAnsi="Arial"/>
          <w:sz w:val="16"/>
          <w:szCs w:val="16"/>
          <w:b w:val="1"/>
          <w:bCs w:val="1"/>
          <w:color w:val="auto"/>
        </w:rPr>
        <w:t>Virginia</w:t>
      </w:r>
    </w:p>
    <w:p>
      <w:pPr>
        <w:spacing w:after="0" w:line="18" w:lineRule="exact"/>
        <w:rPr>
          <w:sz w:val="24"/>
          <w:szCs w:val="24"/>
          <w:color w:val="auto"/>
        </w:rPr>
      </w:pPr>
    </w:p>
    <w:p>
      <w:pPr>
        <w:jc w:val="center"/>
        <w:ind w:right="473"/>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0-9881</w:t>
      </w:r>
    </w:p>
    <w:p>
      <w:pPr>
        <w:spacing w:after="0" w:line="18" w:lineRule="exact"/>
        <w:rPr>
          <w:sz w:val="24"/>
          <w:szCs w:val="24"/>
          <w:color w:val="auto"/>
        </w:rPr>
      </w:pPr>
    </w:p>
    <w:p>
      <w:pPr>
        <w:jc w:val="center"/>
        <w:ind w:right="12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580"/>
        <w:spacing w:after="0"/>
        <w:rPr>
          <w:sz w:val="20"/>
          <w:szCs w:val="20"/>
          <w:color w:val="auto"/>
        </w:rPr>
      </w:pPr>
      <w:r>
        <w:rPr>
          <w:rFonts w:ascii="Arial" w:cs="Arial" w:eastAsia="Arial" w:hAnsi="Arial"/>
          <w:sz w:val="16"/>
          <w:szCs w:val="16"/>
          <w:b w:val="1"/>
          <w:bCs w:val="1"/>
          <w:color w:val="auto"/>
        </w:rPr>
        <w:t>54-1162807</w:t>
      </w:r>
    </w:p>
    <w:p>
      <w:pPr>
        <w:spacing w:after="0" w:line="18"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47" w:space="720"/>
            <w:col w:w="2960" w:space="720"/>
            <w:col w:w="2720"/>
          </w:cols>
          <w:pgMar w:left="233" w:top="283" w:right="399" w:bottom="1440" w:gutter="0" w:footer="0" w:header="0"/>
          <w:type w:val="continuous"/>
        </w:sectPr>
      </w:pPr>
    </w:p>
    <w:p>
      <w:pPr>
        <w:spacing w:after="0" w:line="228" w:lineRule="exact"/>
        <w:rPr>
          <w:sz w:val="24"/>
          <w:szCs w:val="24"/>
          <w:color w:val="auto"/>
        </w:rPr>
      </w:pPr>
    </w:p>
    <w:p>
      <w:pPr>
        <w:jc w:val="center"/>
        <w:ind w:right="1993"/>
        <w:spacing w:after="0"/>
        <w:rPr>
          <w:sz w:val="20"/>
          <w:szCs w:val="20"/>
          <w:color w:val="auto"/>
        </w:rPr>
      </w:pPr>
      <w:r>
        <w:rPr>
          <w:rFonts w:ascii="Arial" w:cs="Arial" w:eastAsia="Arial" w:hAnsi="Arial"/>
          <w:sz w:val="16"/>
          <w:szCs w:val="16"/>
          <w:b w:val="1"/>
          <w:bCs w:val="1"/>
          <w:color w:val="auto"/>
        </w:rPr>
        <w:t>500 Shentel Way</w:t>
      </w:r>
    </w:p>
    <w:p>
      <w:pPr>
        <w:spacing w:after="0" w:line="18" w:lineRule="exact"/>
        <w:rPr>
          <w:sz w:val="24"/>
          <w:szCs w:val="24"/>
          <w:color w:val="auto"/>
        </w:rPr>
      </w:pPr>
    </w:p>
    <w:p>
      <w:pPr>
        <w:jc w:val="center"/>
        <w:ind w:right="1993"/>
        <w:spacing w:after="0"/>
        <w:rPr>
          <w:sz w:val="20"/>
          <w:szCs w:val="20"/>
          <w:color w:val="auto"/>
        </w:rPr>
      </w:pPr>
      <w:r>
        <w:rPr>
          <w:rFonts w:ascii="Arial" w:cs="Arial" w:eastAsia="Arial" w:hAnsi="Arial"/>
          <w:sz w:val="16"/>
          <w:szCs w:val="16"/>
          <w:b w:val="1"/>
          <w:bCs w:val="1"/>
          <w:color w:val="auto"/>
        </w:rPr>
        <w:t>P.O. Box 459</w:t>
      </w:r>
    </w:p>
    <w:p>
      <w:pPr>
        <w:spacing w:after="0" w:line="2" w:lineRule="exact"/>
        <w:rPr>
          <w:sz w:val="24"/>
          <w:szCs w:val="24"/>
          <w:color w:val="auto"/>
        </w:rPr>
      </w:pPr>
    </w:p>
    <w:p>
      <w:pPr>
        <w:jc w:val="center"/>
        <w:ind w:right="1993"/>
        <w:spacing w:after="0"/>
        <w:rPr>
          <w:sz w:val="20"/>
          <w:szCs w:val="20"/>
          <w:color w:val="auto"/>
        </w:rPr>
      </w:pPr>
      <w:r>
        <w:rPr>
          <w:rFonts w:ascii="Arial" w:cs="Arial" w:eastAsia="Arial" w:hAnsi="Arial"/>
          <w:sz w:val="16"/>
          <w:szCs w:val="16"/>
          <w:b w:val="1"/>
          <w:bCs w:val="1"/>
          <w:color w:val="auto"/>
        </w:rPr>
        <w:t>Edinburg, VA</w:t>
      </w:r>
    </w:p>
    <w:p>
      <w:pPr>
        <w:spacing w:after="0" w:line="2" w:lineRule="exact"/>
        <w:rPr>
          <w:sz w:val="24"/>
          <w:szCs w:val="24"/>
          <w:color w:val="auto"/>
        </w:rPr>
      </w:pPr>
    </w:p>
    <w:p>
      <w:pPr>
        <w:jc w:val="center"/>
        <w:ind w:right="1993"/>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22824</w:t>
      </w:r>
    </w:p>
    <w:p>
      <w:pPr>
        <w:spacing w:after="0" w:line="18" w:lineRule="exact"/>
        <w:rPr>
          <w:sz w:val="24"/>
          <w:szCs w:val="24"/>
          <w:color w:val="auto"/>
        </w:rPr>
      </w:pPr>
    </w:p>
    <w:p>
      <w:pPr>
        <w:jc w:val="center"/>
        <w:ind w:right="228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87" w:space="720"/>
            <w:col w:w="2960"/>
          </w:cols>
          <w:pgMar w:left="233" w:top="283" w:right="399" w:bottom="1440" w:gutter="0" w:footer="0" w:header="0"/>
          <w:type w:val="continuous"/>
        </w:sectPr>
      </w:pPr>
    </w:p>
    <w:p>
      <w:pPr>
        <w:spacing w:after="0" w:line="19" w:lineRule="exact"/>
        <w:rPr>
          <w:sz w:val="24"/>
          <w:szCs w:val="24"/>
          <w:color w:val="auto"/>
        </w:rPr>
      </w:pPr>
    </w:p>
    <w:p>
      <w:pPr>
        <w:ind w:left="7"/>
        <w:spacing w:after="0"/>
        <w:rPr>
          <w:sz w:val="20"/>
          <w:szCs w:val="20"/>
          <w:color w:val="auto"/>
        </w:rPr>
      </w:pPr>
      <w:r>
        <w:rPr>
          <w:rFonts w:ascii="Arial" w:cs="Arial" w:eastAsia="Arial" w:hAnsi="Arial"/>
          <w:sz w:val="16"/>
          <w:szCs w:val="16"/>
          <w:b w:val="1"/>
          <w:bCs w:val="1"/>
          <w:color w:val="auto"/>
        </w:rPr>
        <w:t>Registrant’s telephone number, including area code: (540) 984-4141</w:t>
      </w:r>
    </w:p>
    <w:p>
      <w:pPr>
        <w:spacing w:after="0" w:line="200" w:lineRule="exact"/>
        <w:rPr>
          <w:sz w:val="24"/>
          <w:szCs w:val="24"/>
          <w:color w:val="auto"/>
        </w:rPr>
      </w:pPr>
    </w:p>
    <w:p>
      <w:pPr>
        <w:spacing w:after="0" w:line="221" w:lineRule="exact"/>
        <w:rPr>
          <w:sz w:val="24"/>
          <w:szCs w:val="24"/>
          <w:color w:val="auto"/>
        </w:rPr>
      </w:pPr>
    </w:p>
    <w:p>
      <w:pPr>
        <w:jc w:val="center"/>
        <w:ind w:right="-166"/>
        <w:spacing w:after="0"/>
        <w:rPr>
          <w:sz w:val="20"/>
          <w:szCs w:val="20"/>
          <w:color w:val="auto"/>
        </w:rPr>
      </w:pPr>
      <w:r>
        <w:rPr>
          <w:rFonts w:ascii="Arial" w:cs="Arial" w:eastAsia="Arial" w:hAnsi="Arial"/>
          <w:sz w:val="16"/>
          <w:szCs w:val="16"/>
          <w:b w:val="1"/>
          <w:bCs w:val="1"/>
          <w:color w:val="auto"/>
        </w:rPr>
        <w:t>Not applicable</w:t>
      </w:r>
    </w:p>
    <w:p>
      <w:pPr>
        <w:spacing w:after="0" w:line="18" w:lineRule="exact"/>
        <w:rPr>
          <w:sz w:val="24"/>
          <w:szCs w:val="24"/>
          <w:color w:val="auto"/>
        </w:rPr>
      </w:pPr>
    </w:p>
    <w:p>
      <w:pPr>
        <w:ind w:left="4447"/>
        <w:spacing w:after="0"/>
        <w:rPr>
          <w:sz w:val="20"/>
          <w:szCs w:val="20"/>
          <w:color w:val="auto"/>
        </w:rPr>
      </w:pPr>
      <w:r>
        <w:rPr>
          <w:rFonts w:ascii="Arial" w:cs="Arial" w:eastAsia="Arial" w:hAnsi="Arial"/>
          <w:sz w:val="16"/>
          <w:szCs w:val="16"/>
          <w:b w:val="1"/>
          <w:bCs w:val="1"/>
          <w:color w:val="auto"/>
        </w:rPr>
        <w:t>-------------------------------------------------</w:t>
      </w:r>
    </w:p>
    <w:p>
      <w:pPr>
        <w:spacing w:after="0" w:line="2" w:lineRule="exact"/>
        <w:rPr>
          <w:sz w:val="24"/>
          <w:szCs w:val="24"/>
          <w:color w:val="auto"/>
        </w:rPr>
      </w:pPr>
    </w:p>
    <w:p>
      <w:pPr>
        <w:jc w:val="center"/>
        <w:ind w:right="-166"/>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2" w:lineRule="exact"/>
        <w:rPr>
          <w:sz w:val="24"/>
          <w:szCs w:val="24"/>
          <w:color w:val="auto"/>
        </w:rPr>
      </w:pPr>
    </w:p>
    <w:p>
      <w:pPr>
        <w:ind w:left="7" w:firstLine="39"/>
        <w:spacing w:after="0" w:line="25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8" w:lineRule="exact"/>
        <w:rPr>
          <w:rFonts w:ascii="Arial" w:cs="Arial" w:eastAsia="Arial" w:hAnsi="Arial"/>
          <w:sz w:val="16"/>
          <w:szCs w:val="16"/>
          <w:color w:val="auto"/>
        </w:rPr>
      </w:pPr>
    </w:p>
    <w:p>
      <w:pPr>
        <w:ind w:left="287" w:hanging="287"/>
        <w:spacing w:after="0"/>
        <w:tabs>
          <w:tab w:leader="none" w:pos="287"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7075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39370"/>
                    </a:xfrm>
                    <a:prstGeom prst="rect">
                      <a:avLst/>
                    </a:prstGeom>
                    <a:noFill/>
                  </pic:spPr>
                </pic:pic>
              </a:graphicData>
            </a:graphic>
          </wp:anchor>
        </w:drawing>
      </w:r>
    </w:p>
    <w:p>
      <w:pPr>
        <w:spacing w:after="0" w:line="349" w:lineRule="exact"/>
        <w:rPr>
          <w:sz w:val="24"/>
          <w:szCs w:val="24"/>
          <w:color w:val="auto"/>
        </w:rPr>
      </w:pPr>
    </w:p>
    <w:p>
      <w:pPr>
        <w:jc w:val="center"/>
        <w:ind w:right="-166"/>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727075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1267"/>
          </w:cols>
          <w:pgMar w:left="233" w:top="28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March 23, 2010, Shenandoah Telecommunications Company presented at the Emerging Growth Institutional Investor Forum hosted by Sidoti &amp; Company, LLC, in New York, New York. The presentation included materials related to the Company’s results of operations through December 31, 2009. The materials attached hereto as Exhibit 99.1 were utilized during the presentation. These materials are also available on the Company’s website.</w:t>
      </w:r>
    </w:p>
    <w:p>
      <w:pPr>
        <w:spacing w:after="0" w:line="193"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These materials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furnished with this Current Report on Form 8-K.</w:t>
      </w:r>
    </w:p>
    <w:p>
      <w:pPr>
        <w:spacing w:after="0" w:line="206"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Sidoti Emerging Growth Institutional Investor Forum Presentation Slides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11" w:lineRule="exact"/>
        <w:rPr>
          <w:sz w:val="20"/>
          <w:szCs w:val="20"/>
          <w:color w:val="auto"/>
        </w:rPr>
      </w:pPr>
    </w:p>
    <w:p>
      <w:pPr>
        <w:spacing w:after="0"/>
        <w:tabs>
          <w:tab w:leader="none" w:pos="3420" w:val="left"/>
        </w:tabs>
        <w:rPr>
          <w:sz w:val="20"/>
          <w:szCs w:val="20"/>
          <w:color w:val="auto"/>
        </w:rPr>
      </w:pPr>
      <w:r>
        <w:rPr>
          <w:rFonts w:ascii="Arial" w:cs="Arial" w:eastAsia="Arial" w:hAnsi="Arial"/>
          <w:sz w:val="16"/>
          <w:szCs w:val="16"/>
          <w:color w:val="auto"/>
        </w:rPr>
        <w:t>March 23, 2010</w:t>
      </w:r>
      <w:r>
        <w:rPr>
          <w:sz w:val="20"/>
          <w:szCs w:val="20"/>
          <w:color w:val="auto"/>
        </w:rPr>
        <w:tab/>
      </w:r>
      <w:r>
        <w:rPr>
          <w:rFonts w:ascii="Arial" w:cs="Arial" w:eastAsia="Arial" w:hAnsi="Arial"/>
          <w:sz w:val="14"/>
          <w:szCs w:val="14"/>
          <w:color w:val="auto"/>
        </w:rPr>
        <w:t>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8255</wp:posOffset>
            </wp:positionV>
            <wp:extent cx="217297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2970" cy="14605"/>
                    </a:xfrm>
                    <a:prstGeom prst="rect">
                      <a:avLst/>
                    </a:prstGeom>
                    <a:noFill/>
                  </pic:spPr>
                </pic:pic>
              </a:graphicData>
            </a:graphic>
          </wp:anchor>
        </w:drawing>
      </w:r>
    </w:p>
    <w:p>
      <w:pPr>
        <w:spacing w:after="0" w:line="6"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Adele M. Skolits</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Vice President - Finance and</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Chief Financial Officer</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60325</wp:posOffset>
            </wp:positionV>
            <wp:extent cx="728535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5355" cy="2032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8535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355" cy="3238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6350</wp:posOffset>
            </wp:positionV>
            <wp:extent cx="7095490" cy="5321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62"/>
          <w:szCs w:val="62"/>
          <w:b w:val="1"/>
          <w:bCs w:val="1"/>
          <w:color w:val="840039"/>
        </w:rPr>
        <w:t>Sidoti</w:t>
      </w:r>
    </w:p>
    <w:p>
      <w:pPr>
        <w:spacing w:after="0" w:line="119"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Emerging Growth Institutional Investor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360"/>
        <w:spacing w:after="0"/>
        <w:rPr>
          <w:sz w:val="20"/>
          <w:szCs w:val="20"/>
          <w:color w:val="auto"/>
        </w:rPr>
      </w:pPr>
      <w:r>
        <w:rPr>
          <w:rFonts w:ascii="Arial" w:cs="Arial" w:eastAsia="Arial" w:hAnsi="Arial"/>
          <w:sz w:val="42"/>
          <w:szCs w:val="42"/>
          <w:b w:val="1"/>
          <w:bCs w:val="1"/>
          <w:color w:val="auto"/>
        </w:rPr>
        <w:t>March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749300</wp:posOffset>
            </wp:positionV>
            <wp:extent cx="727075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740"/>
          </w:cols>
          <w:pgMar w:left="940" w:top="260" w:right="219" w:bottom="1440" w:gutter="0" w:footer="0" w:header="0"/>
        </w:sectPr>
      </w:pPr>
    </w:p>
    <w:bookmarkStart w:id="3" w:name="page4"/>
    <w:bookmarkEnd w:id="3"/>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right="1000"/>
        <w:spacing w:after="0" w:line="224" w:lineRule="auto"/>
        <w:rPr>
          <w:sz w:val="20"/>
          <w:szCs w:val="20"/>
          <w:color w:val="auto"/>
        </w:rPr>
      </w:pPr>
      <w:r>
        <w:rPr>
          <w:rFonts w:ascii="Arial" w:cs="Arial" w:eastAsia="Arial" w:hAnsi="Arial"/>
          <w:sz w:val="22"/>
          <w:szCs w:val="22"/>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138" w:lineRule="exact"/>
        <w:rPr>
          <w:sz w:val="20"/>
          <w:szCs w:val="20"/>
          <w:color w:val="auto"/>
        </w:rPr>
      </w:pPr>
    </w:p>
    <w:p>
      <w:pPr>
        <w:ind w:left="280" w:right="4560"/>
        <w:spacing w:after="0" w:line="415" w:lineRule="auto"/>
        <w:rPr>
          <w:sz w:val="20"/>
          <w:szCs w:val="20"/>
          <w:color w:val="auto"/>
        </w:rPr>
      </w:pPr>
      <w:r>
        <w:rPr>
          <w:rFonts w:ascii="Arial" w:cs="Arial" w:eastAsia="Arial" w:hAnsi="Arial"/>
          <w:sz w:val="21"/>
          <w:szCs w:val="21"/>
          <w:color w:val="840039"/>
        </w:rPr>
        <w:t>n</w:t>
      </w:r>
      <w:r>
        <w:rPr>
          <w:rFonts w:ascii="Arial" w:cs="Arial" w:eastAsia="Arial" w:hAnsi="Arial"/>
          <w:sz w:val="21"/>
          <w:szCs w:val="21"/>
          <w:color w:val="000000"/>
        </w:rPr>
        <w:t>Increasing competition in the communications industry; and</w:t>
      </w:r>
      <w:r>
        <w:rPr>
          <w:rFonts w:ascii="Arial" w:cs="Arial" w:eastAsia="Arial" w:hAnsi="Arial"/>
          <w:sz w:val="21"/>
          <w:szCs w:val="21"/>
          <w:color w:val="840039"/>
        </w:rPr>
        <w:t xml:space="preserve"> n</w:t>
      </w:r>
      <w:r>
        <w:rPr>
          <w:rFonts w:ascii="Arial" w:cs="Arial" w:eastAsia="Arial" w:hAnsi="Arial"/>
          <w:sz w:val="21"/>
          <w:szCs w:val="21"/>
          <w:color w:val="000000"/>
        </w:rPr>
        <w:t>A complex and uncertain regulatory environment.</w:t>
      </w:r>
    </w:p>
    <w:p>
      <w:pPr>
        <w:spacing w:after="0" w:line="96" w:lineRule="exact"/>
        <w:rPr>
          <w:sz w:val="20"/>
          <w:szCs w:val="20"/>
          <w:color w:val="auto"/>
        </w:rPr>
      </w:pPr>
    </w:p>
    <w:p>
      <w:pPr>
        <w:ind w:left="280" w:right="1040"/>
        <w:spacing w:after="0" w:line="254" w:lineRule="auto"/>
        <w:rPr>
          <w:sz w:val="20"/>
          <w:szCs w:val="20"/>
          <w:color w:val="auto"/>
        </w:rPr>
      </w:pPr>
      <w:r>
        <w:rPr>
          <w:rFonts w:ascii="Arial" w:cs="Arial" w:eastAsia="Arial" w:hAnsi="Arial"/>
          <w:sz w:val="20"/>
          <w:szCs w:val="20"/>
          <w:color w:val="auto"/>
        </w:rPr>
        <w:t>A further list and description of these risks, uncertainties and other factors can be found in the Company’s Annual Report on Form 10-K for the fiscal year ended December 31, 2009. Copies of this Form 10-K, as well as subsequent filings, are available online at www.sec.gov, www.shentel.com or on request from the Company. The Company does not undertake to update any forward-looking statements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66" w:right="919" w:bottom="1440" w:gutter="0" w:footer="0" w:header="0"/>
        </w:sectPr>
      </w:pPr>
    </w:p>
    <w:bookmarkStart w:id="4" w:name="page5"/>
    <w:bookmarkEnd w:id="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right="1000"/>
        <w:spacing w:after="0" w:line="234" w:lineRule="auto"/>
        <w:rPr>
          <w:sz w:val="20"/>
          <w:szCs w:val="20"/>
          <w:color w:val="auto"/>
        </w:rPr>
      </w:pPr>
      <w:r>
        <w:rPr>
          <w:rFonts w:ascii="Arial" w:cs="Arial" w:eastAsia="Arial" w:hAnsi="Arial"/>
          <w:sz w:val="21"/>
          <w:szCs w:val="21"/>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effectors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66" w:right="919" w:bottom="1440" w:gutter="0" w:footer="0" w:header="0"/>
        </w:sectPr>
      </w:pPr>
    </w:p>
    <w:bookmarkStart w:id="5" w:name="page6"/>
    <w:bookmarkEnd w:id="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33"/>
          <w:szCs w:val="33"/>
          <w:color w:val="840039"/>
        </w:rPr>
        <w:t>Introduction and Shentel Overview - Earle MacKenzie - EVP/COO</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4"/>
          <w:szCs w:val="34"/>
          <w:color w:val="auto"/>
        </w:rPr>
        <w:t>Overview of Wireless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34"/>
          <w:szCs w:val="34"/>
          <w:color w:val="auto"/>
        </w:rPr>
        <w:t>Financials - Adele Skolits -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66" w:right="919" w:bottom="1440" w:gutter="0" w:footer="0" w:header="0"/>
        </w:sectPr>
      </w:pPr>
    </w:p>
    <w:bookmarkStart w:id="6" w:name="page7"/>
    <w:bookmarkEnd w:id="6"/>
    <w:p>
      <w:pPr>
        <w:spacing w:after="0"/>
        <w:rPr>
          <w:sz w:val="20"/>
          <w:szCs w:val="20"/>
          <w:color w:val="auto"/>
        </w:rPr>
      </w:pPr>
      <w:r>
        <w:rPr>
          <w:rFonts w:ascii="Arial" w:cs="Arial" w:eastAsia="Arial" w:hAnsi="Arial"/>
          <w:sz w:val="48"/>
          <w:szCs w:val="48"/>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Shenandoah Telecommunications Company</w:t>
      </w:r>
    </w:p>
    <w:p>
      <w:pPr>
        <w:spacing w:after="0" w:line="200" w:lineRule="exact"/>
        <w:rPr>
          <w:sz w:val="20"/>
          <w:szCs w:val="20"/>
          <w:color w:val="auto"/>
        </w:rPr>
      </w:pPr>
    </w:p>
    <w:p>
      <w:pPr>
        <w:spacing w:after="0" w:line="246" w:lineRule="exact"/>
        <w:rPr>
          <w:sz w:val="20"/>
          <w:szCs w:val="20"/>
          <w:color w:val="auto"/>
        </w:rPr>
      </w:pPr>
    </w:p>
    <w:tbl>
      <w:tblPr>
        <w:tblLayout w:type="fixed"/>
        <w:tblInd w:w="1080" w:type="dxa"/>
        <w:tblCellMar>
          <w:top w:w="0" w:type="dxa"/>
          <w:left w:w="0" w:type="dxa"/>
          <w:bottom w:w="0" w:type="dxa"/>
          <w:right w:w="0" w:type="dxa"/>
        </w:tblCellMar>
      </w:tblPr>
      <w:tr>
        <w:trPr>
          <w:trHeight w:val="196"/>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jc w:val="center"/>
              <w:ind w:left="122"/>
              <w:spacing w:after="0"/>
              <w:rPr>
                <w:sz w:val="20"/>
                <w:szCs w:val="20"/>
                <w:color w:val="auto"/>
              </w:rPr>
            </w:pPr>
            <w:r>
              <w:rPr>
                <w:rFonts w:ascii="Arial" w:cs="Arial" w:eastAsia="Arial" w:hAnsi="Arial"/>
                <w:sz w:val="16"/>
                <w:szCs w:val="16"/>
                <w:color w:val="FFFFFF"/>
                <w:w w:val="87"/>
              </w:rPr>
              <w:t>Wireless Entities</w:t>
            </w:r>
          </w:p>
        </w:tc>
        <w:tc>
          <w:tcPr>
            <w:tcW w:w="0" w:type="dxa"/>
            <w:vAlign w:val="bottom"/>
          </w:tcPr>
          <w:p>
            <w:pPr>
              <w:spacing w:after="0"/>
              <w:rPr>
                <w:sz w:val="1"/>
                <w:szCs w:val="1"/>
                <w:color w:val="auto"/>
              </w:rPr>
            </w:pPr>
          </w:p>
        </w:tc>
      </w:tr>
      <w:tr>
        <w:trPr>
          <w:trHeight w:val="396"/>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jc w:val="center"/>
              <w:ind w:left="122"/>
              <w:spacing w:after="0"/>
              <w:rPr>
                <w:sz w:val="20"/>
                <w:szCs w:val="20"/>
                <w:color w:val="auto"/>
              </w:rPr>
            </w:pPr>
            <w:r>
              <w:rPr>
                <w:rFonts w:ascii="Arial" w:cs="Arial" w:eastAsia="Arial" w:hAnsi="Arial"/>
                <w:sz w:val="16"/>
                <w:szCs w:val="16"/>
                <w:color w:val="FFFFFF"/>
                <w:w w:val="89"/>
              </w:rPr>
              <w:t>Cable Entities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FFFFFF"/>
                <w:w w:val="83"/>
              </w:rPr>
              <w:t>Shenandoah</w:t>
            </w:r>
          </w:p>
        </w:tc>
        <w:tc>
          <w:tcPr>
            <w:tcW w:w="1720" w:type="dxa"/>
            <w:vAlign w:val="bottom"/>
          </w:tcPr>
          <w:p>
            <w:pPr>
              <w:spacing w:after="0"/>
              <w:rPr>
                <w:sz w:val="20"/>
                <w:szCs w:val="20"/>
                <w:color w:val="auto"/>
              </w:rPr>
            </w:pPr>
          </w:p>
        </w:tc>
        <w:tc>
          <w:tcPr>
            <w:tcW w:w="1560" w:type="dxa"/>
            <w:vAlign w:val="bottom"/>
            <w:vMerge w:val="restart"/>
          </w:tcPr>
          <w:p>
            <w:pPr>
              <w:jc w:val="center"/>
              <w:ind w:left="122"/>
              <w:spacing w:after="0"/>
              <w:rPr>
                <w:sz w:val="20"/>
                <w:szCs w:val="20"/>
                <w:color w:val="auto"/>
              </w:rPr>
            </w:pPr>
            <w:r>
              <w:rPr>
                <w:rFonts w:ascii="Arial" w:cs="Arial" w:eastAsia="Arial" w:hAnsi="Arial"/>
                <w:sz w:val="16"/>
                <w:szCs w:val="16"/>
                <w:color w:val="FFFFFF"/>
                <w:w w:val="90"/>
              </w:rPr>
              <w:t>Wireline Entities</w:t>
            </w:r>
          </w:p>
        </w:tc>
        <w:tc>
          <w:tcPr>
            <w:tcW w:w="0" w:type="dxa"/>
            <w:vAlign w:val="bottom"/>
          </w:tcPr>
          <w:p>
            <w:pPr>
              <w:spacing w:after="0"/>
              <w:rPr>
                <w:sz w:val="1"/>
                <w:szCs w:val="1"/>
                <w:color w:val="auto"/>
              </w:rPr>
            </w:pPr>
          </w:p>
        </w:tc>
      </w:tr>
      <w:tr>
        <w:trPr>
          <w:trHeight w:val="163"/>
        </w:trPr>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8"/>
              </w:rPr>
              <w:t>Telecommunications</w:t>
            </w:r>
          </w:p>
        </w:tc>
        <w:tc>
          <w:tcPr>
            <w:tcW w:w="17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FFFFFF"/>
                <w:w w:val="87"/>
              </w:rPr>
              <w:t>Company</w:t>
            </w: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jc w:val="center"/>
              <w:ind w:left="122"/>
              <w:spacing w:after="0"/>
              <w:rPr>
                <w:sz w:val="20"/>
                <w:szCs w:val="20"/>
                <w:color w:val="auto"/>
              </w:rPr>
            </w:pPr>
            <w:r>
              <w:rPr>
                <w:rFonts w:ascii="Arial" w:cs="Arial" w:eastAsia="Arial" w:hAnsi="Arial"/>
                <w:sz w:val="16"/>
                <w:szCs w:val="16"/>
                <w:color w:val="FFFFFF"/>
                <w:w w:val="91"/>
              </w:rPr>
              <w:t>Allocation Subsidiary</w:t>
            </w:r>
          </w:p>
        </w:tc>
        <w:tc>
          <w:tcPr>
            <w:tcW w:w="0" w:type="dxa"/>
            <w:vAlign w:val="bottom"/>
          </w:tcPr>
          <w:p>
            <w:pPr>
              <w:spacing w:after="0"/>
              <w:rPr>
                <w:sz w:val="1"/>
                <w:szCs w:val="1"/>
                <w:color w:val="auto"/>
              </w:rPr>
            </w:pPr>
          </w:p>
        </w:tc>
      </w:tr>
      <w:tr>
        <w:trPr>
          <w:trHeight w:val="770"/>
        </w:trPr>
        <w:tc>
          <w:tcPr>
            <w:tcW w:w="1360" w:type="dxa"/>
            <w:vAlign w:val="bottom"/>
          </w:tcPr>
          <w:p>
            <w:pPr>
              <w:jc w:val="center"/>
              <w:ind w:right="222"/>
              <w:spacing w:after="0"/>
              <w:rPr>
                <w:sz w:val="20"/>
                <w:szCs w:val="20"/>
                <w:color w:val="auto"/>
              </w:rPr>
            </w:pPr>
            <w:r>
              <w:rPr>
                <w:rFonts w:ascii="Arial" w:cs="Arial" w:eastAsia="Arial" w:hAnsi="Arial"/>
                <w:sz w:val="16"/>
                <w:szCs w:val="16"/>
                <w:color w:val="FFFFFF"/>
                <w:w w:val="81"/>
              </w:rPr>
              <w:t>Shenandoah</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360" w:type="dxa"/>
            <w:vAlign w:val="bottom"/>
          </w:tcPr>
          <w:p>
            <w:pPr>
              <w:jc w:val="center"/>
              <w:ind w:right="222"/>
              <w:spacing w:after="0" w:line="163" w:lineRule="exact"/>
              <w:rPr>
                <w:sz w:val="20"/>
                <w:szCs w:val="20"/>
                <w:color w:val="auto"/>
              </w:rPr>
            </w:pPr>
            <w:r>
              <w:rPr>
                <w:rFonts w:ascii="Arial" w:cs="Arial" w:eastAsia="Arial" w:hAnsi="Arial"/>
                <w:sz w:val="16"/>
                <w:szCs w:val="16"/>
                <w:color w:val="FFFFFF"/>
                <w:w w:val="85"/>
              </w:rPr>
              <w:t>Personal</w:t>
            </w:r>
          </w:p>
        </w:tc>
        <w:tc>
          <w:tcPr>
            <w:tcW w:w="1800" w:type="dxa"/>
            <w:vAlign w:val="bottom"/>
          </w:tcPr>
          <w:p>
            <w:pPr>
              <w:jc w:val="center"/>
              <w:ind w:left="2"/>
              <w:spacing w:after="0" w:line="163" w:lineRule="exact"/>
              <w:rPr>
                <w:sz w:val="20"/>
                <w:szCs w:val="20"/>
                <w:color w:val="auto"/>
              </w:rPr>
            </w:pPr>
            <w:r>
              <w:rPr>
                <w:rFonts w:ascii="Arial" w:cs="Arial" w:eastAsia="Arial" w:hAnsi="Arial"/>
                <w:sz w:val="16"/>
                <w:szCs w:val="16"/>
                <w:color w:val="FFFFFF"/>
                <w:w w:val="87"/>
              </w:rPr>
              <w:t>Shenandoah Mobile</w:t>
            </w: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5"/>
              </w:rPr>
              <w:t>Shentel Management</w:t>
            </w:r>
          </w:p>
        </w:tc>
        <w:tc>
          <w:tcPr>
            <w:tcW w:w="1720" w:type="dxa"/>
            <w:vAlign w:val="bottom"/>
          </w:tcPr>
          <w:p>
            <w:pPr>
              <w:jc w:val="center"/>
              <w:spacing w:after="0" w:line="163" w:lineRule="exact"/>
              <w:rPr>
                <w:sz w:val="20"/>
                <w:szCs w:val="20"/>
                <w:color w:val="auto"/>
              </w:rPr>
            </w:pPr>
            <w:r>
              <w:rPr>
                <w:rFonts w:ascii="Arial" w:cs="Arial" w:eastAsia="Arial" w:hAnsi="Arial"/>
                <w:sz w:val="16"/>
                <w:szCs w:val="16"/>
                <w:color w:val="FFFFFF"/>
                <w:w w:val="84"/>
              </w:rPr>
              <w:t>Shenandoah Cable</w:t>
            </w:r>
          </w:p>
        </w:tc>
        <w:tc>
          <w:tcPr>
            <w:tcW w:w="1560" w:type="dxa"/>
            <w:vAlign w:val="bottom"/>
          </w:tcPr>
          <w:p>
            <w:pPr>
              <w:jc w:val="center"/>
              <w:ind w:left="242"/>
              <w:spacing w:after="0" w:line="163" w:lineRule="exact"/>
              <w:rPr>
                <w:sz w:val="20"/>
                <w:szCs w:val="20"/>
                <w:color w:val="auto"/>
              </w:rPr>
            </w:pPr>
            <w:r>
              <w:rPr>
                <w:rFonts w:ascii="Arial" w:cs="Arial" w:eastAsia="Arial" w:hAnsi="Arial"/>
                <w:sz w:val="16"/>
                <w:szCs w:val="16"/>
                <w:color w:val="FFFFFF"/>
                <w:w w:val="87"/>
              </w:rPr>
              <w:t>Shentel Cable</w:t>
            </w:r>
          </w:p>
        </w:tc>
        <w:tc>
          <w:tcPr>
            <w:tcW w:w="0" w:type="dxa"/>
            <w:vAlign w:val="bottom"/>
          </w:tcPr>
          <w:p>
            <w:pPr>
              <w:spacing w:after="0"/>
              <w:rPr>
                <w:sz w:val="1"/>
                <w:szCs w:val="1"/>
                <w:color w:val="auto"/>
              </w:rPr>
            </w:pPr>
          </w:p>
        </w:tc>
      </w:tr>
      <w:tr>
        <w:trPr>
          <w:trHeight w:val="163"/>
        </w:trPr>
        <w:tc>
          <w:tcPr>
            <w:tcW w:w="1360" w:type="dxa"/>
            <w:vAlign w:val="bottom"/>
          </w:tcPr>
          <w:p>
            <w:pPr>
              <w:jc w:val="center"/>
              <w:ind w:right="222"/>
              <w:spacing w:after="0" w:line="163" w:lineRule="exact"/>
              <w:rPr>
                <w:sz w:val="20"/>
                <w:szCs w:val="20"/>
                <w:color w:val="auto"/>
              </w:rPr>
            </w:pPr>
            <w:r>
              <w:rPr>
                <w:rFonts w:ascii="Arial" w:cs="Arial" w:eastAsia="Arial" w:hAnsi="Arial"/>
                <w:sz w:val="16"/>
                <w:szCs w:val="16"/>
                <w:color w:val="FFFFFF"/>
                <w:w w:val="88"/>
              </w:rPr>
              <w:t>Communications</w:t>
            </w:r>
          </w:p>
        </w:tc>
        <w:tc>
          <w:tcPr>
            <w:tcW w:w="1800" w:type="dxa"/>
            <w:vAlign w:val="bottom"/>
          </w:tcPr>
          <w:p>
            <w:pPr>
              <w:jc w:val="center"/>
              <w:ind w:left="2"/>
              <w:spacing w:after="0" w:line="163" w:lineRule="exact"/>
              <w:rPr>
                <w:sz w:val="20"/>
                <w:szCs w:val="20"/>
                <w:color w:val="auto"/>
              </w:rPr>
            </w:pPr>
            <w:r>
              <w:rPr>
                <w:rFonts w:ascii="Arial" w:cs="Arial" w:eastAsia="Arial" w:hAnsi="Arial"/>
                <w:sz w:val="16"/>
                <w:szCs w:val="16"/>
                <w:color w:val="FFFFFF"/>
                <w:w w:val="87"/>
              </w:rPr>
              <w:t>Company</w:t>
            </w:r>
          </w:p>
        </w:tc>
        <w:tc>
          <w:tcPr>
            <w:tcW w:w="1800" w:type="dxa"/>
            <w:vAlign w:val="bottom"/>
          </w:tcPr>
          <w:p>
            <w:pPr>
              <w:jc w:val="center"/>
              <w:spacing w:after="0" w:line="163" w:lineRule="exact"/>
              <w:rPr>
                <w:sz w:val="20"/>
                <w:szCs w:val="20"/>
                <w:color w:val="auto"/>
              </w:rPr>
            </w:pPr>
            <w:r>
              <w:rPr>
                <w:rFonts w:ascii="Arial" w:cs="Arial" w:eastAsia="Arial" w:hAnsi="Arial"/>
                <w:sz w:val="16"/>
                <w:szCs w:val="16"/>
                <w:color w:val="FFFFFF"/>
                <w:w w:val="87"/>
              </w:rPr>
              <w:t>Company</w:t>
            </w:r>
          </w:p>
        </w:tc>
        <w:tc>
          <w:tcPr>
            <w:tcW w:w="1720" w:type="dxa"/>
            <w:vAlign w:val="bottom"/>
          </w:tcPr>
          <w:p>
            <w:pPr>
              <w:jc w:val="center"/>
              <w:spacing w:after="0" w:line="163" w:lineRule="exact"/>
              <w:rPr>
                <w:sz w:val="20"/>
                <w:szCs w:val="20"/>
                <w:color w:val="auto"/>
              </w:rPr>
            </w:pPr>
            <w:r>
              <w:rPr>
                <w:rFonts w:ascii="Arial" w:cs="Arial" w:eastAsia="Arial" w:hAnsi="Arial"/>
                <w:sz w:val="16"/>
                <w:szCs w:val="16"/>
                <w:color w:val="FFFFFF"/>
                <w:w w:val="88"/>
              </w:rPr>
              <w:t>Television Company</w:t>
            </w:r>
          </w:p>
        </w:tc>
        <w:tc>
          <w:tcPr>
            <w:tcW w:w="1560" w:type="dxa"/>
            <w:vAlign w:val="bottom"/>
          </w:tcPr>
          <w:p>
            <w:pPr>
              <w:jc w:val="center"/>
              <w:ind w:left="242"/>
              <w:spacing w:after="0" w:line="163" w:lineRule="exact"/>
              <w:rPr>
                <w:sz w:val="20"/>
                <w:szCs w:val="20"/>
                <w:color w:val="auto"/>
              </w:rPr>
            </w:pPr>
            <w:r>
              <w:rPr>
                <w:rFonts w:ascii="Arial" w:cs="Arial" w:eastAsia="Arial" w:hAnsi="Arial"/>
                <w:sz w:val="16"/>
                <w:szCs w:val="16"/>
                <w:color w:val="FFFFFF"/>
                <w:w w:val="87"/>
              </w:rPr>
              <w:t>Company</w:t>
            </w:r>
          </w:p>
        </w:tc>
        <w:tc>
          <w:tcPr>
            <w:tcW w:w="0" w:type="dxa"/>
            <w:vAlign w:val="bottom"/>
          </w:tcPr>
          <w:p>
            <w:pPr>
              <w:spacing w:after="0"/>
              <w:rPr>
                <w:sz w:val="1"/>
                <w:szCs w:val="1"/>
                <w:color w:val="auto"/>
              </w:rPr>
            </w:pPr>
          </w:p>
        </w:tc>
      </w:tr>
      <w:tr>
        <w:trPr>
          <w:trHeight w:val="196"/>
        </w:trPr>
        <w:tc>
          <w:tcPr>
            <w:tcW w:w="1360" w:type="dxa"/>
            <w:vAlign w:val="bottom"/>
          </w:tcPr>
          <w:p>
            <w:pPr>
              <w:jc w:val="center"/>
              <w:ind w:right="222"/>
              <w:spacing w:after="0"/>
              <w:rPr>
                <w:sz w:val="20"/>
                <w:szCs w:val="20"/>
                <w:color w:val="auto"/>
              </w:rPr>
            </w:pPr>
            <w:r>
              <w:rPr>
                <w:rFonts w:ascii="Arial" w:cs="Arial" w:eastAsia="Arial" w:hAnsi="Arial"/>
                <w:sz w:val="16"/>
                <w:szCs w:val="16"/>
                <w:color w:val="FFFFFF"/>
                <w:w w:val="90"/>
              </w:rPr>
              <w:t>Company</w:t>
            </w: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1520" w:type="dxa"/>
            <w:vAlign w:val="bottom"/>
            <w:vMerge w:val="restart"/>
          </w:tcPr>
          <w:p>
            <w:pPr>
              <w:jc w:val="center"/>
              <w:ind w:right="262"/>
              <w:spacing w:after="0"/>
              <w:rPr>
                <w:sz w:val="20"/>
                <w:szCs w:val="20"/>
                <w:color w:val="auto"/>
              </w:rPr>
            </w:pPr>
            <w:r>
              <w:rPr>
                <w:rFonts w:ascii="Arial" w:cs="Arial" w:eastAsia="Arial" w:hAnsi="Arial"/>
                <w:sz w:val="16"/>
                <w:szCs w:val="16"/>
                <w:color w:val="FFFFFF"/>
                <w:w w:val="81"/>
              </w:rPr>
              <w:t>Shenandoah</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FFFFFF"/>
                <w:w w:val="85"/>
              </w:rPr>
              <w:t>Shentel Service</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FFFFFF"/>
                <w:w w:val="83"/>
              </w:rPr>
              <w:t>Shenandoah</w:t>
            </w:r>
          </w:p>
        </w:tc>
        <w:tc>
          <w:tcPr>
            <w:tcW w:w="1680" w:type="dxa"/>
            <w:vAlign w:val="bottom"/>
          </w:tcPr>
          <w:p>
            <w:pPr>
              <w:jc w:val="center"/>
              <w:spacing w:after="0"/>
              <w:rPr>
                <w:sz w:val="20"/>
                <w:szCs w:val="20"/>
                <w:color w:val="auto"/>
              </w:rPr>
            </w:pPr>
            <w:r>
              <w:rPr>
                <w:rFonts w:ascii="Arial" w:cs="Arial" w:eastAsia="Arial" w:hAnsi="Arial"/>
                <w:sz w:val="16"/>
                <w:szCs w:val="16"/>
                <w:color w:val="FFFFFF"/>
                <w:w w:val="84"/>
              </w:rPr>
              <w:t>Shentel</w:t>
            </w:r>
          </w:p>
        </w:tc>
        <w:tc>
          <w:tcPr>
            <w:tcW w:w="1520" w:type="dxa"/>
            <w:vAlign w:val="bottom"/>
            <w:vMerge w:val="restart"/>
          </w:tcPr>
          <w:p>
            <w:pPr>
              <w:jc w:val="center"/>
              <w:ind w:left="242"/>
              <w:spacing w:after="0"/>
              <w:rPr>
                <w:sz w:val="20"/>
                <w:szCs w:val="20"/>
                <w:color w:val="auto"/>
              </w:rPr>
            </w:pPr>
            <w:r>
              <w:rPr>
                <w:rFonts w:ascii="Arial" w:cs="Arial" w:eastAsia="Arial" w:hAnsi="Arial"/>
                <w:sz w:val="16"/>
                <w:szCs w:val="16"/>
                <w:color w:val="FFFFFF"/>
                <w:w w:val="85"/>
              </w:rPr>
              <w:t>Shenandoah Long</w:t>
            </w:r>
          </w:p>
        </w:tc>
        <w:tc>
          <w:tcPr>
            <w:tcW w:w="0" w:type="dxa"/>
            <w:vAlign w:val="bottom"/>
          </w:tcPr>
          <w:p>
            <w:pPr>
              <w:spacing w:after="0"/>
              <w:rPr>
                <w:sz w:val="1"/>
                <w:szCs w:val="1"/>
                <w:color w:val="auto"/>
              </w:rPr>
            </w:pPr>
          </w:p>
        </w:tc>
      </w:tr>
      <w:tr>
        <w:trPr>
          <w:trHeight w:val="81"/>
        </w:trPr>
        <w:tc>
          <w:tcPr>
            <w:tcW w:w="15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1680" w:type="dxa"/>
            <w:vAlign w:val="bottom"/>
            <w:vMerge w:val="restart"/>
          </w:tcPr>
          <w:p>
            <w:pPr>
              <w:jc w:val="center"/>
              <w:spacing w:after="0" w:line="163" w:lineRule="exact"/>
              <w:rPr>
                <w:sz w:val="20"/>
                <w:szCs w:val="20"/>
                <w:color w:val="auto"/>
              </w:rPr>
            </w:pPr>
            <w:r>
              <w:rPr>
                <w:rFonts w:ascii="Arial" w:cs="Arial" w:eastAsia="Arial" w:hAnsi="Arial"/>
                <w:sz w:val="16"/>
                <w:szCs w:val="16"/>
                <w:color w:val="FFFFFF"/>
                <w:w w:val="88"/>
              </w:rPr>
              <w:t>Communications</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20" w:type="dxa"/>
            <w:vAlign w:val="bottom"/>
            <w:vMerge w:val="restart"/>
          </w:tcPr>
          <w:p>
            <w:pPr>
              <w:jc w:val="center"/>
              <w:ind w:right="262"/>
              <w:spacing w:after="0"/>
              <w:rPr>
                <w:sz w:val="20"/>
                <w:szCs w:val="20"/>
                <w:color w:val="auto"/>
              </w:rPr>
            </w:pPr>
            <w:r>
              <w:rPr>
                <w:rFonts w:ascii="Arial" w:cs="Arial" w:eastAsia="Arial" w:hAnsi="Arial"/>
                <w:sz w:val="16"/>
                <w:szCs w:val="16"/>
                <w:color w:val="FFFFFF"/>
                <w:w w:val="89"/>
              </w:rPr>
              <w:t>Network Company</w:t>
            </w:r>
          </w:p>
        </w:tc>
        <w:tc>
          <w:tcPr>
            <w:tcW w:w="1660" w:type="dxa"/>
            <w:vAlign w:val="bottom"/>
            <w:vMerge w:val="restart"/>
          </w:tcPr>
          <w:p>
            <w:pPr>
              <w:jc w:val="center"/>
              <w:spacing w:after="0"/>
              <w:rPr>
                <w:sz w:val="20"/>
                <w:szCs w:val="20"/>
                <w:color w:val="auto"/>
              </w:rPr>
            </w:pPr>
            <w:r>
              <w:rPr>
                <w:rFonts w:ascii="Arial" w:cs="Arial" w:eastAsia="Arial" w:hAnsi="Arial"/>
                <w:sz w:val="16"/>
                <w:szCs w:val="16"/>
                <w:color w:val="FFFFFF"/>
                <w:w w:val="87"/>
              </w:rPr>
              <w:t>Company</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FFFFFF"/>
                <w:w w:val="86"/>
              </w:rPr>
              <w:t>Telephone Company</w:t>
            </w:r>
          </w:p>
        </w:tc>
        <w:tc>
          <w:tcPr>
            <w:tcW w:w="1680" w:type="dxa"/>
            <w:vAlign w:val="bottom"/>
            <w:vMerge w:val="continue"/>
          </w:tcPr>
          <w:p>
            <w:pPr>
              <w:spacing w:after="0"/>
              <w:rPr>
                <w:sz w:val="7"/>
                <w:szCs w:val="7"/>
                <w:color w:val="auto"/>
              </w:rPr>
            </w:pPr>
          </w:p>
        </w:tc>
        <w:tc>
          <w:tcPr>
            <w:tcW w:w="1520" w:type="dxa"/>
            <w:vAlign w:val="bottom"/>
            <w:vMerge w:val="restart"/>
          </w:tcPr>
          <w:p>
            <w:pPr>
              <w:jc w:val="center"/>
              <w:ind w:left="242"/>
              <w:spacing w:after="0"/>
              <w:rPr>
                <w:sz w:val="20"/>
                <w:szCs w:val="20"/>
                <w:color w:val="auto"/>
              </w:rPr>
            </w:pPr>
            <w:r>
              <w:rPr>
                <w:rFonts w:ascii="Arial" w:cs="Arial" w:eastAsia="Arial" w:hAnsi="Arial"/>
                <w:sz w:val="16"/>
                <w:szCs w:val="16"/>
                <w:color w:val="FFFFFF"/>
                <w:w w:val="88"/>
              </w:rPr>
              <w:t>Distance Company</w:t>
            </w:r>
          </w:p>
        </w:tc>
        <w:tc>
          <w:tcPr>
            <w:tcW w:w="0" w:type="dxa"/>
            <w:vAlign w:val="bottom"/>
          </w:tcPr>
          <w:p>
            <w:pPr>
              <w:spacing w:after="0"/>
              <w:rPr>
                <w:sz w:val="1"/>
                <w:szCs w:val="1"/>
                <w:color w:val="auto"/>
              </w:rPr>
            </w:pPr>
          </w:p>
        </w:tc>
      </w:tr>
      <w:tr>
        <w:trPr>
          <w:trHeight w:val="126"/>
        </w:trPr>
        <w:tc>
          <w:tcPr>
            <w:tcW w:w="15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color w:val="FFFFFF"/>
                <w:w w:val="90"/>
              </w:rPr>
              <w:t>Company</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20" w:hanging="483"/>
        <w:spacing w:after="0"/>
        <w:tabs>
          <w:tab w:leader="none" w:pos="620" w:val="left"/>
        </w:tabs>
        <w:numPr>
          <w:ilvl w:val="0"/>
          <w:numId w:val="2"/>
        </w:numPr>
        <w:rPr>
          <w:rFonts w:ascii="Arial" w:cs="Arial" w:eastAsia="Arial" w:hAnsi="Arial"/>
          <w:sz w:val="34"/>
          <w:szCs w:val="34"/>
          <w:color w:val="840039"/>
        </w:rPr>
      </w:pPr>
      <w:r>
        <w:rPr>
          <w:rFonts w:ascii="Arial" w:cs="Arial" w:eastAsia="Arial" w:hAnsi="Arial"/>
          <w:sz w:val="34"/>
          <w:szCs w:val="34"/>
          <w:color w:val="auto"/>
        </w:rPr>
        <w:t>Reporting Segments: Wireless, Wireline and Cable</w:t>
      </w:r>
    </w:p>
    <w:p>
      <w:pPr>
        <w:spacing w:after="0" w:line="284" w:lineRule="exact"/>
        <w:rPr>
          <w:rFonts w:ascii="Arial" w:cs="Arial" w:eastAsia="Arial" w:hAnsi="Arial"/>
          <w:sz w:val="34"/>
          <w:szCs w:val="34"/>
          <w:color w:val="840039"/>
        </w:rPr>
      </w:pPr>
    </w:p>
    <w:p>
      <w:pPr>
        <w:ind w:left="700" w:right="1240" w:hanging="563"/>
        <w:spacing w:after="0" w:line="249" w:lineRule="auto"/>
        <w:tabs>
          <w:tab w:leader="none" w:pos="615" w:val="left"/>
        </w:tabs>
        <w:numPr>
          <w:ilvl w:val="0"/>
          <w:numId w:val="2"/>
        </w:numPr>
        <w:rPr>
          <w:rFonts w:ascii="Arial" w:cs="Arial" w:eastAsia="Arial" w:hAnsi="Arial"/>
          <w:sz w:val="34"/>
          <w:szCs w:val="34"/>
          <w:color w:val="840039"/>
        </w:rPr>
      </w:pPr>
      <w:r>
        <w:rPr>
          <w:rFonts w:ascii="Arial" w:cs="Arial" w:eastAsia="Arial" w:hAnsi="Arial"/>
          <w:sz w:val="34"/>
          <w:szCs w:val="34"/>
          <w:color w:val="auto"/>
        </w:rPr>
        <w:t>Shentel Management Company: Allocation subsidiary for all employees and shared expenses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82" w:right="919" w:bottom="1440" w:gutter="0" w:footer="0" w:header="0"/>
        </w:sectPr>
      </w:pPr>
    </w:p>
    <w:bookmarkStart w:id="7" w:name="page8"/>
    <w:bookmarkEnd w:id="7"/>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 xml:space="preserve">Business </w:t>
      </w:r>
      <w:r>
        <w:rPr>
          <w:rFonts w:ascii="Arial" w:cs="Arial" w:eastAsia="Arial" w:hAnsi="Arial"/>
          <w:sz w:val="49"/>
          <w:szCs w:val="49"/>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40" w:right="3560" w:hanging="551"/>
        <w:spacing w:after="0" w:line="403" w:lineRule="auto"/>
        <w:tabs>
          <w:tab w:leader="none" w:pos="754" w:val="left"/>
        </w:tabs>
        <w:numPr>
          <w:ilvl w:val="0"/>
          <w:numId w:val="3"/>
        </w:numPr>
        <w:rPr>
          <w:rFonts w:ascii="Arial" w:cs="Arial" w:eastAsia="Arial" w:hAnsi="Arial"/>
          <w:sz w:val="31"/>
          <w:szCs w:val="31"/>
          <w:color w:val="840039"/>
        </w:rPr>
      </w:pPr>
      <w:r>
        <w:rPr>
          <w:rFonts w:ascii="Arial" w:cs="Arial" w:eastAsia="Arial" w:hAnsi="Arial"/>
          <w:sz w:val="31"/>
          <w:szCs w:val="31"/>
          <w:color w:val="auto"/>
        </w:rPr>
        <w:t xml:space="preserve">Public company with 4,400+ shareholders </w:t>
      </w:r>
      <w:r>
        <w:rPr>
          <w:rFonts w:ascii="Arial" w:cs="Arial" w:eastAsia="Arial" w:hAnsi="Arial"/>
          <w:sz w:val="25"/>
          <w:szCs w:val="25"/>
          <w:color w:val="C0C0C0"/>
        </w:rPr>
        <w:t xml:space="preserve">u </w:t>
      </w:r>
      <w:r>
        <w:rPr>
          <w:rFonts w:ascii="Arial" w:cs="Arial" w:eastAsia="Arial" w:hAnsi="Arial"/>
          <w:sz w:val="31"/>
          <w:szCs w:val="31"/>
          <w:color w:val="000000"/>
        </w:rPr>
        <w:t>≈ 70% individual / 30% institutional</w:t>
      </w:r>
    </w:p>
    <w:p>
      <w:pPr>
        <w:spacing w:after="0" w:line="1" w:lineRule="exact"/>
        <w:rPr>
          <w:rFonts w:ascii="Arial" w:cs="Arial" w:eastAsia="Arial" w:hAnsi="Arial"/>
          <w:sz w:val="31"/>
          <w:szCs w:val="31"/>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Sprint PCS Affiliate of Sprint Nextel</w:t>
      </w:r>
    </w:p>
    <w:p>
      <w:pPr>
        <w:spacing w:after="0" w:line="284" w:lineRule="exact"/>
        <w:rPr>
          <w:rFonts w:ascii="Arial" w:cs="Arial" w:eastAsia="Arial" w:hAnsi="Arial"/>
          <w:sz w:val="34"/>
          <w:szCs w:val="34"/>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Profitable</w:t>
      </w:r>
    </w:p>
    <w:p>
      <w:pPr>
        <w:spacing w:after="0" w:line="284" w:lineRule="exact"/>
        <w:rPr>
          <w:rFonts w:ascii="Arial" w:cs="Arial" w:eastAsia="Arial" w:hAnsi="Arial"/>
          <w:sz w:val="34"/>
          <w:szCs w:val="34"/>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Strong growth</w:t>
      </w:r>
    </w:p>
    <w:p>
      <w:pPr>
        <w:spacing w:after="0" w:line="295" w:lineRule="exact"/>
        <w:rPr>
          <w:rFonts w:ascii="Arial" w:cs="Arial" w:eastAsia="Arial" w:hAnsi="Arial"/>
          <w:sz w:val="34"/>
          <w:szCs w:val="34"/>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Healthy balance sheet</w:t>
      </w:r>
    </w:p>
    <w:p>
      <w:pPr>
        <w:spacing w:after="0" w:line="284" w:lineRule="exact"/>
        <w:rPr>
          <w:rFonts w:ascii="Arial" w:cs="Arial" w:eastAsia="Arial" w:hAnsi="Arial"/>
          <w:sz w:val="34"/>
          <w:szCs w:val="34"/>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Continuity of ownership &amp; management</w:t>
      </w:r>
    </w:p>
    <w:p>
      <w:pPr>
        <w:spacing w:after="0" w:line="284" w:lineRule="exact"/>
        <w:rPr>
          <w:rFonts w:ascii="Arial" w:cs="Arial" w:eastAsia="Arial" w:hAnsi="Arial"/>
          <w:sz w:val="34"/>
          <w:szCs w:val="34"/>
          <w:color w:val="840039"/>
        </w:rPr>
      </w:pPr>
    </w:p>
    <w:p>
      <w:pPr>
        <w:ind w:left="760" w:hanging="471"/>
        <w:spacing w:after="0"/>
        <w:tabs>
          <w:tab w:leader="none" w:pos="760" w:val="left"/>
        </w:tabs>
        <w:numPr>
          <w:ilvl w:val="0"/>
          <w:numId w:val="3"/>
        </w:numPr>
        <w:rPr>
          <w:rFonts w:ascii="Arial" w:cs="Arial" w:eastAsia="Arial" w:hAnsi="Arial"/>
          <w:sz w:val="34"/>
          <w:szCs w:val="34"/>
          <w:color w:val="840039"/>
        </w:rPr>
      </w:pPr>
      <w:r>
        <w:rPr>
          <w:rFonts w:ascii="Arial" w:cs="Arial" w:eastAsia="Arial" w:hAnsi="Arial"/>
          <w:sz w:val="34"/>
          <w:szCs w:val="34"/>
          <w:color w:val="auto"/>
        </w:rPr>
        <w:t>Focused business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66" w:right="919" w:bottom="1440" w:gutter="0" w:footer="0" w:header="0"/>
        </w:sectPr>
      </w:pPr>
    </w:p>
    <w:bookmarkStart w:id="8" w:name="page9"/>
    <w:bookmarkEnd w:id="8"/>
    <w:p>
      <w:pPr>
        <w:spacing w:after="0"/>
        <w:rPr>
          <w:sz w:val="20"/>
          <w:szCs w:val="20"/>
          <w:color w:val="auto"/>
        </w:rPr>
      </w:pPr>
      <w:r>
        <w:rPr>
          <w:rFonts w:ascii="Arial" w:cs="Arial" w:eastAsia="Arial" w:hAnsi="Arial"/>
          <w:sz w:val="41"/>
          <w:szCs w:val="41"/>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Growth Strategy - Capitalize on Core Competencies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40" w:hanging="471"/>
        <w:spacing w:after="0"/>
        <w:tabs>
          <w:tab w:leader="none" w:pos="740" w:val="left"/>
        </w:tabs>
        <w:numPr>
          <w:ilvl w:val="0"/>
          <w:numId w:val="4"/>
        </w:numPr>
        <w:rPr>
          <w:rFonts w:ascii="Arial" w:cs="Arial" w:eastAsia="Arial" w:hAnsi="Arial"/>
          <w:sz w:val="34"/>
          <w:szCs w:val="34"/>
          <w:color w:val="840039"/>
        </w:rPr>
      </w:pPr>
      <w:r>
        <w:rPr>
          <w:rFonts w:ascii="Arial" w:cs="Arial" w:eastAsia="Arial" w:hAnsi="Arial"/>
          <w:sz w:val="34"/>
          <w:szCs w:val="34"/>
          <w:color w:val="auto"/>
        </w:rPr>
        <w:t>Wireless</w:t>
      </w:r>
    </w:p>
    <w:p>
      <w:pPr>
        <w:spacing w:after="0" w:line="133" w:lineRule="exact"/>
        <w:rPr>
          <w:sz w:val="20"/>
          <w:szCs w:val="20"/>
          <w:color w:val="auto"/>
        </w:rPr>
      </w:pPr>
    </w:p>
    <w:p>
      <w:pPr>
        <w:ind w:left="1200" w:hanging="373"/>
        <w:spacing w:after="0"/>
        <w:tabs>
          <w:tab w:leader="none" w:pos="1200" w:val="left"/>
        </w:tabs>
        <w:numPr>
          <w:ilvl w:val="0"/>
          <w:numId w:val="5"/>
        </w:numPr>
        <w:rPr>
          <w:rFonts w:ascii="Arial" w:cs="Arial" w:eastAsia="Arial" w:hAnsi="Arial"/>
          <w:sz w:val="27"/>
          <w:szCs w:val="27"/>
          <w:color w:val="C0C0C0"/>
        </w:rPr>
      </w:pPr>
      <w:r>
        <w:rPr>
          <w:rFonts w:ascii="Arial" w:cs="Arial" w:eastAsia="Arial" w:hAnsi="Arial"/>
          <w:sz w:val="34"/>
          <w:szCs w:val="34"/>
          <w:color w:val="auto"/>
        </w:rPr>
        <w:t>Increase penetration in existing PCS footprint</w:t>
      </w:r>
    </w:p>
    <w:p>
      <w:pPr>
        <w:spacing w:after="0" w:line="132" w:lineRule="exact"/>
        <w:rPr>
          <w:rFonts w:ascii="Arial" w:cs="Arial" w:eastAsia="Arial" w:hAnsi="Arial"/>
          <w:sz w:val="27"/>
          <w:szCs w:val="27"/>
          <w:color w:val="C0C0C0"/>
        </w:rPr>
      </w:pPr>
    </w:p>
    <w:p>
      <w:pPr>
        <w:ind w:left="1320" w:right="1920" w:hanging="493"/>
        <w:spacing w:after="0" w:line="249" w:lineRule="auto"/>
        <w:tabs>
          <w:tab w:leader="none" w:pos="1212" w:val="left"/>
        </w:tabs>
        <w:numPr>
          <w:ilvl w:val="0"/>
          <w:numId w:val="5"/>
        </w:numPr>
        <w:rPr>
          <w:rFonts w:ascii="Arial" w:cs="Arial" w:eastAsia="Arial" w:hAnsi="Arial"/>
          <w:sz w:val="27"/>
          <w:szCs w:val="27"/>
          <w:color w:val="C0C0C0"/>
        </w:rPr>
      </w:pPr>
      <w:r>
        <w:rPr>
          <w:rFonts w:ascii="Arial" w:cs="Arial" w:eastAsia="Arial" w:hAnsi="Arial"/>
          <w:sz w:val="34"/>
          <w:szCs w:val="34"/>
          <w:color w:val="auto"/>
        </w:rPr>
        <w:t>Look for new wireless opportunities in surrounding geographic areas</w:t>
      </w:r>
    </w:p>
    <w:p>
      <w:pPr>
        <w:spacing w:after="0" w:line="225" w:lineRule="exact"/>
        <w:rPr>
          <w:sz w:val="20"/>
          <w:szCs w:val="20"/>
          <w:color w:val="auto"/>
        </w:rPr>
      </w:pPr>
    </w:p>
    <w:p>
      <w:pPr>
        <w:ind w:left="740" w:hanging="471"/>
        <w:spacing w:after="0"/>
        <w:tabs>
          <w:tab w:leader="none" w:pos="740" w:val="left"/>
        </w:tabs>
        <w:numPr>
          <w:ilvl w:val="0"/>
          <w:numId w:val="6"/>
        </w:numPr>
        <w:rPr>
          <w:rFonts w:ascii="Arial" w:cs="Arial" w:eastAsia="Arial" w:hAnsi="Arial"/>
          <w:sz w:val="34"/>
          <w:szCs w:val="34"/>
          <w:color w:val="840039"/>
        </w:rPr>
      </w:pPr>
      <w:r>
        <w:rPr>
          <w:rFonts w:ascii="Arial" w:cs="Arial" w:eastAsia="Arial" w:hAnsi="Arial"/>
          <w:sz w:val="34"/>
          <w:szCs w:val="34"/>
          <w:color w:val="auto"/>
        </w:rPr>
        <w:t>Cable</w:t>
      </w:r>
    </w:p>
    <w:p>
      <w:pPr>
        <w:spacing w:after="0" w:line="144" w:lineRule="exact"/>
        <w:rPr>
          <w:sz w:val="20"/>
          <w:szCs w:val="20"/>
          <w:color w:val="auto"/>
        </w:rPr>
      </w:pPr>
    </w:p>
    <w:p>
      <w:pPr>
        <w:ind w:left="1200" w:hanging="373"/>
        <w:spacing w:after="0"/>
        <w:tabs>
          <w:tab w:leader="none" w:pos="1200" w:val="left"/>
        </w:tabs>
        <w:numPr>
          <w:ilvl w:val="0"/>
          <w:numId w:val="7"/>
        </w:numPr>
        <w:rPr>
          <w:rFonts w:ascii="Arial" w:cs="Arial" w:eastAsia="Arial" w:hAnsi="Arial"/>
          <w:sz w:val="27"/>
          <w:szCs w:val="27"/>
          <w:color w:val="C0C0C0"/>
        </w:rPr>
      </w:pPr>
      <w:r>
        <w:rPr>
          <w:rFonts w:ascii="Arial" w:cs="Arial" w:eastAsia="Arial" w:hAnsi="Arial"/>
          <w:sz w:val="34"/>
          <w:szCs w:val="34"/>
          <w:color w:val="auto"/>
        </w:rPr>
        <w:t>Focus on smaller less competitive markets</w:t>
      </w:r>
    </w:p>
    <w:p>
      <w:pPr>
        <w:spacing w:after="0" w:line="132" w:lineRule="exact"/>
        <w:rPr>
          <w:rFonts w:ascii="Arial" w:cs="Arial" w:eastAsia="Arial" w:hAnsi="Arial"/>
          <w:sz w:val="27"/>
          <w:szCs w:val="27"/>
          <w:color w:val="C0C0C0"/>
        </w:rPr>
      </w:pPr>
    </w:p>
    <w:p>
      <w:pPr>
        <w:ind w:left="1200" w:hanging="373"/>
        <w:spacing w:after="0"/>
        <w:tabs>
          <w:tab w:leader="none" w:pos="1200" w:val="left"/>
        </w:tabs>
        <w:numPr>
          <w:ilvl w:val="0"/>
          <w:numId w:val="7"/>
        </w:numPr>
        <w:rPr>
          <w:rFonts w:ascii="Arial" w:cs="Arial" w:eastAsia="Arial" w:hAnsi="Arial"/>
          <w:sz w:val="27"/>
          <w:szCs w:val="27"/>
          <w:color w:val="C0C0C0"/>
        </w:rPr>
      </w:pPr>
      <w:r>
        <w:rPr>
          <w:rFonts w:ascii="Arial" w:cs="Arial" w:eastAsia="Arial" w:hAnsi="Arial"/>
          <w:sz w:val="34"/>
          <w:szCs w:val="34"/>
          <w:color w:val="auto"/>
        </w:rPr>
        <w:t>Build clusters to gain operating efficiencies</w:t>
      </w:r>
    </w:p>
    <w:p>
      <w:pPr>
        <w:spacing w:after="0" w:line="132" w:lineRule="exact"/>
        <w:rPr>
          <w:rFonts w:ascii="Arial" w:cs="Arial" w:eastAsia="Arial" w:hAnsi="Arial"/>
          <w:sz w:val="27"/>
          <w:szCs w:val="27"/>
          <w:color w:val="C0C0C0"/>
        </w:rPr>
      </w:pPr>
    </w:p>
    <w:p>
      <w:pPr>
        <w:ind w:left="1200" w:hanging="373"/>
        <w:spacing w:after="0"/>
        <w:tabs>
          <w:tab w:leader="none" w:pos="1200" w:val="left"/>
        </w:tabs>
        <w:numPr>
          <w:ilvl w:val="0"/>
          <w:numId w:val="7"/>
        </w:numPr>
        <w:rPr>
          <w:rFonts w:ascii="Arial" w:cs="Arial" w:eastAsia="Arial" w:hAnsi="Arial"/>
          <w:sz w:val="27"/>
          <w:szCs w:val="27"/>
          <w:color w:val="C0C0C0"/>
        </w:rPr>
      </w:pPr>
      <w:r>
        <w:rPr>
          <w:rFonts w:ascii="Arial" w:cs="Arial" w:eastAsia="Arial" w:hAnsi="Arial"/>
          <w:sz w:val="34"/>
          <w:szCs w:val="34"/>
          <w:color w:val="auto"/>
        </w:rPr>
        <w:t>Upgrade networks to offer “Triple Play”</w:t>
      </w:r>
    </w:p>
    <w:p>
      <w:pPr>
        <w:spacing w:after="0" w:line="284" w:lineRule="exact"/>
        <w:rPr>
          <w:sz w:val="20"/>
          <w:szCs w:val="20"/>
          <w:color w:val="auto"/>
        </w:rPr>
      </w:pPr>
    </w:p>
    <w:p>
      <w:pPr>
        <w:ind w:left="740" w:hanging="471"/>
        <w:spacing w:after="0"/>
        <w:tabs>
          <w:tab w:leader="none" w:pos="740" w:val="left"/>
        </w:tabs>
        <w:numPr>
          <w:ilvl w:val="0"/>
          <w:numId w:val="8"/>
        </w:numPr>
        <w:rPr>
          <w:rFonts w:ascii="Arial" w:cs="Arial" w:eastAsia="Arial" w:hAnsi="Arial"/>
          <w:sz w:val="34"/>
          <w:szCs w:val="34"/>
          <w:color w:val="840039"/>
        </w:rPr>
      </w:pPr>
      <w:r>
        <w:rPr>
          <w:rFonts w:ascii="Arial" w:cs="Arial" w:eastAsia="Arial" w:hAnsi="Arial"/>
          <w:sz w:val="34"/>
          <w:szCs w:val="34"/>
          <w:color w:val="auto"/>
        </w:rPr>
        <w:t>Wireline</w:t>
      </w:r>
    </w:p>
    <w:p>
      <w:pPr>
        <w:spacing w:after="0" w:line="133" w:lineRule="exact"/>
        <w:rPr>
          <w:sz w:val="20"/>
          <w:szCs w:val="20"/>
          <w:color w:val="auto"/>
        </w:rPr>
      </w:pPr>
    </w:p>
    <w:p>
      <w:pPr>
        <w:ind w:left="1200" w:hanging="373"/>
        <w:spacing w:after="0"/>
        <w:tabs>
          <w:tab w:leader="none" w:pos="1200" w:val="left"/>
        </w:tabs>
        <w:numPr>
          <w:ilvl w:val="0"/>
          <w:numId w:val="9"/>
        </w:numPr>
        <w:rPr>
          <w:rFonts w:ascii="Arial" w:cs="Arial" w:eastAsia="Arial" w:hAnsi="Arial"/>
          <w:sz w:val="27"/>
          <w:szCs w:val="27"/>
          <w:color w:val="C0C0C0"/>
        </w:rPr>
      </w:pPr>
      <w:r>
        <w:rPr>
          <w:rFonts w:ascii="Arial" w:cs="Arial" w:eastAsia="Arial" w:hAnsi="Arial"/>
          <w:sz w:val="34"/>
          <w:szCs w:val="34"/>
          <w:color w:val="auto"/>
        </w:rPr>
        <w:t>Attractive markets at reasonable prices</w:t>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380365</wp:posOffset>
            </wp:positionV>
            <wp:extent cx="727075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60"/>
          </w:cols>
          <w:pgMar w:left="820" w:top="1006" w:right="919" w:bottom="1440" w:gutter="0" w:footer="0" w:header="0"/>
        </w:sectPr>
      </w:pPr>
    </w:p>
    <w:bookmarkStart w:id="9" w:name="page10"/>
    <w:bookmarkEnd w:id="9"/>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Segment Overview</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Year Ending December 31, 2009</w:t>
      </w:r>
    </w:p>
    <w:p>
      <w:pPr>
        <w:spacing w:after="0" w:line="156" w:lineRule="exact"/>
        <w:rPr>
          <w:sz w:val="20"/>
          <w:szCs w:val="20"/>
          <w:color w:val="auto"/>
        </w:rPr>
      </w:pPr>
    </w:p>
    <w:tbl>
      <w:tblPr>
        <w:tblLayout w:type="fixed"/>
        <w:tblInd w:w="1520" w:type="dxa"/>
        <w:tblCellMar>
          <w:top w:w="0" w:type="dxa"/>
          <w:left w:w="0" w:type="dxa"/>
          <w:bottom w:w="0" w:type="dxa"/>
          <w:right w:w="0" w:type="dxa"/>
        </w:tblCellMar>
      </w:tblPr>
      <w:tr>
        <w:trPr>
          <w:trHeight w:val="279"/>
        </w:trPr>
        <w:tc>
          <w:tcPr>
            <w:tcW w:w="3140" w:type="dxa"/>
            <w:vAlign w:val="bottom"/>
            <w:vMerge w:val="restart"/>
          </w:tcPr>
          <w:p>
            <w:pPr>
              <w:spacing w:after="0"/>
              <w:rPr>
                <w:sz w:val="20"/>
                <w:szCs w:val="20"/>
                <w:color w:val="auto"/>
              </w:rPr>
            </w:pPr>
            <w:r>
              <w:rPr>
                <w:rFonts w:ascii="Arial" w:cs="Arial" w:eastAsia="Arial" w:hAnsi="Arial"/>
                <w:sz w:val="23"/>
                <w:szCs w:val="23"/>
                <w:b w:val="1"/>
                <w:bCs w:val="1"/>
                <w:color w:val="FFFFFF"/>
              </w:rPr>
              <w:t>Revenue by Segment</w:t>
            </w:r>
          </w:p>
        </w:tc>
        <w:tc>
          <w:tcPr>
            <w:tcW w:w="5180" w:type="dxa"/>
            <w:vAlign w:val="bottom"/>
          </w:tcPr>
          <w:p>
            <w:pPr>
              <w:jc w:val="center"/>
              <w:ind w:left="944"/>
              <w:spacing w:after="0"/>
              <w:rPr>
                <w:sz w:val="20"/>
                <w:szCs w:val="20"/>
                <w:color w:val="auto"/>
              </w:rPr>
            </w:pPr>
            <w:r>
              <w:rPr>
                <w:rFonts w:ascii="Arial" w:cs="Arial" w:eastAsia="Arial" w:hAnsi="Arial"/>
                <w:sz w:val="23"/>
                <w:szCs w:val="23"/>
                <w:b w:val="1"/>
                <w:bCs w:val="1"/>
                <w:color w:val="FFFFFF"/>
                <w:w w:val="92"/>
              </w:rPr>
              <w:t>Operating Income Before Depreciation &amp;</w:t>
            </w:r>
          </w:p>
        </w:tc>
        <w:tc>
          <w:tcPr>
            <w:tcW w:w="0" w:type="dxa"/>
            <w:vAlign w:val="bottom"/>
          </w:tcPr>
          <w:p>
            <w:pPr>
              <w:spacing w:after="0"/>
              <w:rPr>
                <w:sz w:val="1"/>
                <w:szCs w:val="1"/>
                <w:color w:val="auto"/>
              </w:rPr>
            </w:pPr>
          </w:p>
        </w:tc>
      </w:tr>
      <w:tr>
        <w:trPr>
          <w:trHeight w:val="187"/>
        </w:trPr>
        <w:tc>
          <w:tcPr>
            <w:tcW w:w="3140" w:type="dxa"/>
            <w:vAlign w:val="bottom"/>
            <w:vMerge w:val="continue"/>
          </w:tcPr>
          <w:p>
            <w:pPr>
              <w:spacing w:after="0"/>
              <w:rPr>
                <w:sz w:val="16"/>
                <w:szCs w:val="16"/>
                <w:color w:val="auto"/>
              </w:rPr>
            </w:pPr>
          </w:p>
        </w:tc>
        <w:tc>
          <w:tcPr>
            <w:tcW w:w="5180" w:type="dxa"/>
            <w:vAlign w:val="bottom"/>
            <w:vMerge w:val="restart"/>
          </w:tcPr>
          <w:p>
            <w:pPr>
              <w:jc w:val="center"/>
              <w:ind w:left="944"/>
              <w:spacing w:after="0"/>
              <w:rPr>
                <w:sz w:val="20"/>
                <w:szCs w:val="20"/>
                <w:color w:val="auto"/>
              </w:rPr>
            </w:pPr>
            <w:r>
              <w:rPr>
                <w:rFonts w:ascii="Arial" w:cs="Arial" w:eastAsia="Arial" w:hAnsi="Arial"/>
                <w:sz w:val="23"/>
                <w:szCs w:val="23"/>
                <w:b w:val="1"/>
                <w:bCs w:val="1"/>
                <w:color w:val="FFFFFF"/>
                <w:w w:val="94"/>
              </w:rPr>
              <w:t>Amortization (OIBDA) by Segment</w:t>
            </w:r>
          </w:p>
        </w:tc>
        <w:tc>
          <w:tcPr>
            <w:tcW w:w="0" w:type="dxa"/>
            <w:vAlign w:val="bottom"/>
          </w:tcPr>
          <w:p>
            <w:pPr>
              <w:spacing w:after="0"/>
              <w:rPr>
                <w:sz w:val="1"/>
                <w:szCs w:val="1"/>
                <w:color w:val="auto"/>
              </w:rPr>
            </w:pPr>
          </w:p>
        </w:tc>
      </w:tr>
      <w:tr>
        <w:trPr>
          <w:trHeight w:val="116"/>
        </w:trPr>
        <w:tc>
          <w:tcPr>
            <w:tcW w:w="3140" w:type="dxa"/>
            <w:vAlign w:val="bottom"/>
          </w:tcPr>
          <w:p>
            <w:pPr>
              <w:spacing w:after="0"/>
              <w:rPr>
                <w:sz w:val="10"/>
                <w:szCs w:val="10"/>
                <w:color w:val="auto"/>
              </w:rPr>
            </w:pPr>
          </w:p>
        </w:tc>
        <w:tc>
          <w:tcPr>
            <w:tcW w:w="5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Total External Revenues = $160.6 million</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54" w:right="919" w:bottom="1440" w:gutter="0" w:footer="0" w:header="0"/>
        </w:sectPr>
      </w:pPr>
    </w:p>
    <w:bookmarkStart w:id="10" w:name="page11"/>
    <w:bookmarkEnd w:id="10"/>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34"/>
          <w:szCs w:val="34"/>
          <w:color w:val="840039"/>
        </w:rPr>
        <w:t>Overview of Wireless</w:t>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80"/>
          </w:cols>
          <w:pgMar w:left="800" w:top="966" w:right="919" w:bottom="1440" w:gutter="0" w:footer="0" w:header="0"/>
        </w:sectPr>
      </w:pPr>
    </w:p>
    <w:bookmarkStart w:id="11" w:name="page12"/>
    <w:bookmarkEnd w:id="11"/>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PCS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Only remaining public Sprint</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26"/>
          <w:szCs w:val="26"/>
          <w:color w:val="auto"/>
        </w:rPr>
        <w:t>Nextel affiliate</w:t>
      </w:r>
    </w:p>
    <w:p>
      <w:pPr>
        <w:spacing w:after="0" w:line="1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2.3 million licensed POPs</w:t>
      </w:r>
    </w:p>
    <w:p>
      <w:pPr>
        <w:spacing w:after="0" w:line="143"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2.0 million covered POPs</w:t>
      </w:r>
    </w:p>
    <w:p>
      <w:pPr>
        <w:spacing w:after="0" w:line="15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223k total subscribers</w:t>
      </w:r>
    </w:p>
    <w:p>
      <w:pPr>
        <w:spacing w:after="0" w:line="76" w:lineRule="exact"/>
        <w:rPr>
          <w:sz w:val="20"/>
          <w:szCs w:val="20"/>
          <w:color w:val="auto"/>
        </w:rPr>
      </w:pPr>
    </w:p>
    <w:p>
      <w:pPr>
        <w:ind w:left="6280"/>
        <w:spacing w:after="0"/>
        <w:tabs>
          <w:tab w:leader="none" w:pos="6680" w:val="left"/>
        </w:tabs>
        <w:rPr>
          <w:sz w:val="20"/>
          <w:szCs w:val="20"/>
          <w:color w:val="auto"/>
        </w:rPr>
      </w:pPr>
      <w:r>
        <w:rPr>
          <w:rFonts w:ascii="Arial" w:cs="Arial" w:eastAsia="Arial" w:hAnsi="Arial"/>
          <w:sz w:val="20"/>
          <w:szCs w:val="20"/>
          <w:color w:val="C0C0C0"/>
        </w:rPr>
        <w:t>u</w:t>
      </w:r>
      <w:r>
        <w:rPr>
          <w:sz w:val="20"/>
          <w:szCs w:val="20"/>
          <w:color w:val="auto"/>
        </w:rPr>
        <w:tab/>
      </w:r>
      <w:r>
        <w:rPr>
          <w:rFonts w:ascii="Arial" w:cs="Arial" w:eastAsia="Arial" w:hAnsi="Arial"/>
          <w:sz w:val="25"/>
          <w:szCs w:val="25"/>
          <w:color w:val="auto"/>
        </w:rPr>
        <w:t>11.0% penetration of covered</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25"/>
          <w:szCs w:val="25"/>
          <w:color w:val="auto"/>
        </w:rPr>
        <w:t>POPs</w:t>
      </w:r>
    </w:p>
    <w:p>
      <w:pPr>
        <w:spacing w:after="0" w:line="11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476 CDMA base stations</w:t>
      </w:r>
    </w:p>
    <w:p>
      <w:pPr>
        <w:spacing w:after="0" w:line="143"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334 EVDO enabled cell sites</w:t>
      </w:r>
    </w:p>
    <w:p>
      <w:pPr>
        <w:spacing w:after="0" w:line="85" w:lineRule="exact"/>
        <w:rPr>
          <w:sz w:val="20"/>
          <w:szCs w:val="20"/>
          <w:color w:val="auto"/>
        </w:rPr>
      </w:pPr>
    </w:p>
    <w:p>
      <w:pPr>
        <w:ind w:left="6280"/>
        <w:spacing w:after="0"/>
        <w:tabs>
          <w:tab w:leader="none" w:pos="6660" w:val="left"/>
        </w:tabs>
        <w:rPr>
          <w:sz w:val="20"/>
          <w:szCs w:val="20"/>
          <w:color w:val="auto"/>
        </w:rPr>
      </w:pPr>
      <w:r>
        <w:rPr>
          <w:rFonts w:ascii="Arial" w:cs="Arial" w:eastAsia="Arial" w:hAnsi="Arial"/>
          <w:sz w:val="21"/>
          <w:szCs w:val="21"/>
          <w:color w:val="C0C0C0"/>
        </w:rPr>
        <w:t>u</w:t>
      </w:r>
      <w:r>
        <w:rPr>
          <w:sz w:val="20"/>
          <w:szCs w:val="20"/>
          <w:color w:val="auto"/>
        </w:rPr>
        <w:tab/>
      </w:r>
      <w:r>
        <w:rPr>
          <w:rFonts w:ascii="Arial" w:cs="Arial" w:eastAsia="Arial" w:hAnsi="Arial"/>
          <w:sz w:val="26"/>
          <w:szCs w:val="26"/>
          <w:color w:val="auto"/>
        </w:rPr>
        <w:t>95% EVDO covered POPs</w:t>
      </w:r>
    </w:p>
    <w:p>
      <w:pPr>
        <w:spacing w:after="0" w:line="143"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$41,000 Estimated Average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26"/>
          <w:szCs w:val="26"/>
          <w:color w:val="auto"/>
        </w:rPr>
        <w:t>household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380365</wp:posOffset>
            </wp:positionV>
            <wp:extent cx="727075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140"/>
          </w:cols>
          <w:pgMar w:left="840" w:top="966" w:right="919" w:bottom="1440" w:gutter="0" w:footer="0" w:header="0"/>
        </w:sectPr>
      </w:pPr>
    </w:p>
    <w:bookmarkStart w:id="12" w:name="page13"/>
    <w:bookmarkEnd w:id="12"/>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Profile of the Sprint Nextel Relationship</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hanging="321"/>
        <w:spacing w:after="0"/>
        <w:tabs>
          <w:tab w:leader="none" w:pos="540" w:val="left"/>
        </w:tabs>
        <w:numPr>
          <w:ilvl w:val="0"/>
          <w:numId w:val="10"/>
        </w:numPr>
        <w:rPr>
          <w:rFonts w:ascii="Arial" w:cs="Arial" w:eastAsia="Arial" w:hAnsi="Arial"/>
          <w:sz w:val="34"/>
          <w:szCs w:val="34"/>
          <w:color w:val="auto"/>
        </w:rPr>
      </w:pPr>
      <w:r>
        <w:rPr>
          <w:rFonts w:ascii="Arial" w:cs="Arial" w:eastAsia="Arial" w:hAnsi="Arial"/>
          <w:sz w:val="34"/>
          <w:szCs w:val="34"/>
          <w:color w:val="auto"/>
        </w:rPr>
        <w:t>Current contract through 2019 with two 10 year extensions</w:t>
      </w:r>
    </w:p>
    <w:p>
      <w:pPr>
        <w:ind w:left="1340" w:right="1480" w:hanging="1121"/>
        <w:spacing w:after="0" w:line="228" w:lineRule="auto"/>
        <w:tabs>
          <w:tab w:leader="none" w:pos="552" w:val="left"/>
        </w:tabs>
        <w:numPr>
          <w:ilvl w:val="0"/>
          <w:numId w:val="10"/>
        </w:numPr>
        <w:rPr>
          <w:rFonts w:ascii="Arial" w:cs="Arial" w:eastAsia="Arial" w:hAnsi="Arial"/>
          <w:sz w:val="34"/>
          <w:szCs w:val="34"/>
          <w:color w:val="auto"/>
        </w:rPr>
      </w:pPr>
      <w:r>
        <w:rPr>
          <w:rFonts w:ascii="Arial" w:cs="Arial" w:eastAsia="Arial" w:hAnsi="Arial"/>
          <w:sz w:val="34"/>
          <w:szCs w:val="34"/>
          <w:color w:val="auto"/>
        </w:rPr>
        <w:t>Upon expiration of contract - Shentel compensated based on enterprise value</w:t>
      </w:r>
    </w:p>
    <w:p>
      <w:pPr>
        <w:spacing w:after="0" w:line="2" w:lineRule="exact"/>
        <w:rPr>
          <w:rFonts w:ascii="Arial" w:cs="Arial" w:eastAsia="Arial" w:hAnsi="Arial"/>
          <w:sz w:val="34"/>
          <w:szCs w:val="34"/>
          <w:color w:val="auto"/>
        </w:rPr>
      </w:pPr>
    </w:p>
    <w:p>
      <w:pPr>
        <w:ind w:left="1340" w:right="1860" w:hanging="1121"/>
        <w:spacing w:after="0" w:line="221" w:lineRule="auto"/>
        <w:tabs>
          <w:tab w:leader="none" w:pos="552" w:val="left"/>
        </w:tabs>
        <w:numPr>
          <w:ilvl w:val="0"/>
          <w:numId w:val="10"/>
        </w:numPr>
        <w:rPr>
          <w:rFonts w:ascii="Arial" w:cs="Arial" w:eastAsia="Arial" w:hAnsi="Arial"/>
          <w:sz w:val="34"/>
          <w:szCs w:val="34"/>
          <w:color w:val="auto"/>
        </w:rPr>
      </w:pPr>
      <w:r>
        <w:rPr>
          <w:rFonts w:ascii="Arial" w:cs="Arial" w:eastAsia="Arial" w:hAnsi="Arial"/>
          <w:sz w:val="34"/>
          <w:szCs w:val="34"/>
          <w:color w:val="auto"/>
        </w:rPr>
        <w:t>Settlement simplification in place through contract unless amended by both parties</w:t>
      </w:r>
    </w:p>
    <w:p>
      <w:pPr>
        <w:spacing w:after="0" w:line="1" w:lineRule="exact"/>
        <w:rPr>
          <w:rFonts w:ascii="Arial" w:cs="Arial" w:eastAsia="Arial" w:hAnsi="Arial"/>
          <w:sz w:val="34"/>
          <w:szCs w:val="34"/>
          <w:color w:val="auto"/>
        </w:rPr>
      </w:pPr>
    </w:p>
    <w:p>
      <w:pPr>
        <w:ind w:left="1340"/>
        <w:spacing w:after="0" w:line="228" w:lineRule="auto"/>
        <w:rPr>
          <w:rFonts w:ascii="Arial" w:cs="Arial" w:eastAsia="Arial" w:hAnsi="Arial"/>
          <w:sz w:val="34"/>
          <w:szCs w:val="34"/>
          <w:color w:val="auto"/>
        </w:rPr>
      </w:pPr>
      <w:r>
        <w:rPr>
          <w:rFonts w:ascii="Arial" w:cs="Arial" w:eastAsia="Arial" w:hAnsi="Arial"/>
          <w:sz w:val="34"/>
          <w:szCs w:val="34"/>
          <w:color w:val="auto"/>
        </w:rPr>
        <w:t>Ø8% of Revenue - Spectrum, Brand, National Platform</w:t>
      </w:r>
    </w:p>
    <w:p>
      <w:pPr>
        <w:spacing w:after="0" w:line="1" w:lineRule="exact"/>
        <w:rPr>
          <w:rFonts w:ascii="Arial" w:cs="Arial" w:eastAsia="Arial" w:hAnsi="Arial"/>
          <w:sz w:val="34"/>
          <w:szCs w:val="34"/>
          <w:color w:val="auto"/>
        </w:rPr>
      </w:pPr>
    </w:p>
    <w:p>
      <w:pPr>
        <w:ind w:left="2100" w:hanging="205"/>
        <w:spacing w:after="0" w:line="228" w:lineRule="auto"/>
        <w:tabs>
          <w:tab w:leader="none" w:pos="2100" w:val="left"/>
        </w:tabs>
        <w:numPr>
          <w:ilvl w:val="1"/>
          <w:numId w:val="10"/>
        </w:numPr>
        <w:rPr>
          <w:rFonts w:ascii="Arial" w:cs="Arial" w:eastAsia="Arial" w:hAnsi="Arial"/>
          <w:sz w:val="34"/>
          <w:szCs w:val="34"/>
          <w:color w:val="auto"/>
        </w:rPr>
      </w:pPr>
      <w:r>
        <w:rPr>
          <w:rFonts w:ascii="Arial" w:cs="Arial" w:eastAsia="Arial" w:hAnsi="Arial"/>
          <w:sz w:val="34"/>
          <w:szCs w:val="34"/>
          <w:color w:val="auto"/>
        </w:rPr>
        <w:t>Fixed for life of contract</w:t>
      </w:r>
    </w:p>
    <w:p>
      <w:pPr>
        <w:spacing w:after="0" w:line="1" w:lineRule="exact"/>
        <w:rPr>
          <w:sz w:val="20"/>
          <w:szCs w:val="20"/>
          <w:color w:val="auto"/>
        </w:rPr>
      </w:pPr>
    </w:p>
    <w:p>
      <w:pPr>
        <w:ind w:left="2460" w:right="1540" w:hanging="1116"/>
        <w:spacing w:after="0" w:line="239" w:lineRule="auto"/>
        <w:rPr>
          <w:sz w:val="20"/>
          <w:szCs w:val="20"/>
          <w:color w:val="auto"/>
        </w:rPr>
      </w:pPr>
      <w:r>
        <w:rPr>
          <w:rFonts w:ascii="Arial" w:cs="Arial" w:eastAsia="Arial" w:hAnsi="Arial"/>
          <w:sz w:val="32"/>
          <w:szCs w:val="32"/>
          <w:color w:val="auto"/>
        </w:rPr>
        <w:t>Ø8.8% of revenue - all other settlement items (billing, customer care, long distance, travel)</w:t>
      </w:r>
    </w:p>
    <w:p>
      <w:pPr>
        <w:ind w:left="2100" w:hanging="205"/>
        <w:spacing w:after="0" w:line="236" w:lineRule="auto"/>
        <w:tabs>
          <w:tab w:leader="none" w:pos="2100" w:val="left"/>
        </w:tabs>
        <w:numPr>
          <w:ilvl w:val="1"/>
          <w:numId w:val="11"/>
        </w:numPr>
        <w:rPr>
          <w:rFonts w:ascii="Arial" w:cs="Arial" w:eastAsia="Arial" w:hAnsi="Arial"/>
          <w:sz w:val="34"/>
          <w:szCs w:val="34"/>
          <w:color w:val="auto"/>
        </w:rPr>
      </w:pPr>
      <w:r>
        <w:rPr>
          <w:rFonts w:ascii="Arial" w:cs="Arial" w:eastAsia="Arial" w:hAnsi="Arial"/>
          <w:sz w:val="34"/>
          <w:szCs w:val="34"/>
          <w:color w:val="auto"/>
        </w:rPr>
        <w:t>Can change annually with maximum of 12%</w:t>
      </w:r>
    </w:p>
    <w:p>
      <w:pPr>
        <w:ind w:left="540" w:hanging="321"/>
        <w:spacing w:after="0" w:line="214" w:lineRule="auto"/>
        <w:tabs>
          <w:tab w:leader="none" w:pos="540" w:val="left"/>
        </w:tabs>
        <w:numPr>
          <w:ilvl w:val="0"/>
          <w:numId w:val="11"/>
        </w:numPr>
        <w:rPr>
          <w:rFonts w:ascii="Arial" w:cs="Arial" w:eastAsia="Arial" w:hAnsi="Arial"/>
          <w:sz w:val="34"/>
          <w:szCs w:val="34"/>
          <w:color w:val="auto"/>
        </w:rPr>
      </w:pPr>
      <w:r>
        <w:rPr>
          <w:rFonts w:ascii="Arial" w:cs="Arial" w:eastAsia="Arial" w:hAnsi="Arial"/>
          <w:sz w:val="34"/>
          <w:szCs w:val="34"/>
          <w:color w:val="auto"/>
        </w:rPr>
        <w:t>Plan to be able to offer:</w:t>
      </w:r>
    </w:p>
    <w:p>
      <w:pPr>
        <w:spacing w:after="0" w:line="1" w:lineRule="exact"/>
        <w:rPr>
          <w:sz w:val="20"/>
          <w:szCs w:val="20"/>
          <w:color w:val="auto"/>
        </w:rPr>
      </w:pPr>
    </w:p>
    <w:p>
      <w:pPr>
        <w:ind w:left="1340" w:right="2080"/>
        <w:spacing w:after="0" w:line="267" w:lineRule="auto"/>
        <w:rPr>
          <w:sz w:val="20"/>
          <w:szCs w:val="20"/>
          <w:color w:val="auto"/>
        </w:rPr>
      </w:pPr>
      <w:r>
        <w:rPr>
          <w:rFonts w:ascii="Arial" w:cs="Arial" w:eastAsia="Arial" w:hAnsi="Arial"/>
          <w:sz w:val="32"/>
          <w:szCs w:val="32"/>
          <w:color w:val="auto"/>
        </w:rPr>
        <w:t>ØAll CDMA prepaid offerings by end of Q2 2010 Ø4G - York and Harrisonburg, PA - Q2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13" w:name="page14"/>
    <w:bookmarkEnd w:id="13"/>
    <w:p>
      <w:pPr>
        <w:spacing w:after="0"/>
        <w:rPr>
          <w:sz w:val="20"/>
          <w:szCs w:val="20"/>
          <w:color w:val="auto"/>
        </w:rPr>
      </w:pPr>
      <w:r>
        <w:rPr>
          <w:rFonts w:ascii="Arial" w:cs="Arial" w:eastAsia="Arial" w:hAnsi="Arial"/>
          <w:sz w:val="46"/>
          <w:szCs w:val="46"/>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Key Operational Metrics - PCS</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Periods Ending December 31</w:t>
      </w:r>
    </w:p>
    <w:p>
      <w:pPr>
        <w:sectPr>
          <w:pgSz w:w="11900" w:h="16838" w:orient="portrait"/>
          <w:cols w:equalWidth="0" w:num="1">
            <w:col w:w="10260"/>
          </w:cols>
          <w:pgMar w:left="800" w:top="954" w:right="839" w:bottom="1440" w:gutter="0" w:footer="0" w:header="0"/>
        </w:sectPr>
      </w:pPr>
    </w:p>
    <w:p>
      <w:pPr>
        <w:spacing w:after="0" w:line="245" w:lineRule="exact"/>
        <w:rPr>
          <w:sz w:val="20"/>
          <w:szCs w:val="20"/>
          <w:color w:val="auto"/>
        </w:rPr>
      </w:pPr>
    </w:p>
    <w:p>
      <w:pPr>
        <w:ind w:left="1280"/>
        <w:spacing w:after="0"/>
        <w:rPr>
          <w:sz w:val="20"/>
          <w:szCs w:val="20"/>
          <w:color w:val="auto"/>
        </w:rPr>
      </w:pPr>
      <w:r>
        <w:rPr>
          <w:rFonts w:ascii="Arial" w:cs="Arial" w:eastAsia="Arial" w:hAnsi="Arial"/>
          <w:sz w:val="22"/>
          <w:szCs w:val="22"/>
          <w:b w:val="1"/>
          <w:bCs w:val="1"/>
          <w:color w:val="FFFFFF"/>
        </w:rPr>
        <w:t>Retail Subscribers (000s)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Number of Cell Sites</w:t>
      </w:r>
    </w:p>
    <w:p>
      <w:pPr>
        <w:spacing w:after="0" w:line="180" w:lineRule="exact"/>
        <w:rPr>
          <w:sz w:val="20"/>
          <w:szCs w:val="20"/>
          <w:color w:val="auto"/>
        </w:rPr>
      </w:pPr>
    </w:p>
    <w:p>
      <w:pPr>
        <w:sectPr>
          <w:pgSz w:w="11900" w:h="16838" w:orient="portrait"/>
          <w:cols w:equalWidth="0" w:num="2">
            <w:col w:w="5880" w:space="720"/>
            <w:col w:w="3660"/>
          </w:cols>
          <w:pgMar w:left="800" w:top="954" w:right="839" w:bottom="1440" w:gutter="0" w:footer="0" w:header="0"/>
          <w:type w:val="continuous"/>
        </w:sectPr>
      </w:pPr>
    </w:p>
    <w:p>
      <w:pPr>
        <w:ind w:left="5740"/>
        <w:spacing w:after="0"/>
        <w:rPr>
          <w:sz w:val="20"/>
          <w:szCs w:val="20"/>
          <w:color w:val="auto"/>
        </w:rPr>
      </w:pPr>
      <w:r>
        <w:rPr>
          <w:rFonts w:ascii="Arial" w:cs="Arial" w:eastAsia="Arial" w:hAnsi="Arial"/>
          <w:sz w:val="20"/>
          <w:szCs w:val="20"/>
          <w:color w:val="auto"/>
        </w:rPr>
        <w:t>EVDO 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Non-EVDO Sites</w:t>
      </w:r>
    </w:p>
    <w:p>
      <w:pPr>
        <w:spacing w:after="0" w:line="200" w:lineRule="exact"/>
        <w:rPr>
          <w:sz w:val="20"/>
          <w:szCs w:val="20"/>
          <w:color w:val="auto"/>
        </w:rPr>
      </w:pPr>
    </w:p>
    <w:p>
      <w:pPr>
        <w:sectPr>
          <w:pgSz w:w="11900" w:h="16838" w:orient="portrait"/>
          <w:cols w:equalWidth="0" w:num="2">
            <w:col w:w="6820" w:space="600"/>
            <w:col w:w="2840"/>
          </w:cols>
          <w:pgMar w:left="800" w:top="954"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FFFFFF"/>
        </w:rPr>
        <w:t>Churn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60"/>
          </w:cols>
          <w:pgMar w:left="800" w:top="954" w:right="8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Attractive Service Revenue Growth - PCS</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FFFFFF"/>
        </w:rPr>
        <w:t>Gross Billed PCS Revenue ($ millions)</w:t>
      </w:r>
      <w:r>
        <w:rPr>
          <w:rFonts w:ascii="Arial" w:cs="Arial" w:eastAsia="Arial" w:hAnsi="Arial"/>
          <w:sz w:val="34"/>
          <w:szCs w:val="34"/>
          <w:b w:val="1"/>
          <w:bCs w:val="1"/>
          <w:color w:val="FFFFFF"/>
          <w:vertAlign w:val="superscript"/>
        </w:rPr>
        <w:t>1</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31"/>
          <w:szCs w:val="31"/>
          <w:color w:val="auto"/>
        </w:rPr>
        <w:t>13 %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hanging="94"/>
        <w:spacing w:after="0"/>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Before credits and fees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380365</wp:posOffset>
            </wp:positionV>
            <wp:extent cx="727075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40"/>
          </w:cols>
          <w:pgMar w:left="840" w:top="966" w:right="819" w:bottom="1440" w:gutter="0" w:footer="0" w:header="0"/>
        </w:sectPr>
      </w:pPr>
    </w:p>
    <w:bookmarkStart w:id="15" w:name="page16"/>
    <w:bookmarkEnd w:id="1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PCS Revenues</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71" w:lineRule="exact"/>
        <w:rPr>
          <w:sz w:val="20"/>
          <w:szCs w:val="20"/>
          <w:color w:val="auto"/>
        </w:rPr>
      </w:pPr>
    </w:p>
    <w:p>
      <w:pPr>
        <w:ind w:left="3720"/>
        <w:spacing w:after="0"/>
        <w:rPr>
          <w:sz w:val="20"/>
          <w:szCs w:val="20"/>
          <w:color w:val="auto"/>
        </w:rPr>
      </w:pPr>
      <w:r>
        <w:rPr>
          <w:rFonts w:ascii="Arial" w:cs="Arial" w:eastAsia="Arial" w:hAnsi="Arial"/>
          <w:sz w:val="25"/>
          <w:szCs w:val="25"/>
          <w:b w:val="1"/>
          <w:bCs w:val="1"/>
          <w:color w:val="FFFFFF"/>
        </w:rPr>
        <w:t>Billed Revenue ($ millions)</w:t>
      </w:r>
    </w:p>
    <w:p>
      <w:pPr>
        <w:spacing w:after="0" w:line="335" w:lineRule="exact"/>
        <w:rPr>
          <w:sz w:val="20"/>
          <w:szCs w:val="20"/>
          <w:color w:val="auto"/>
        </w:rPr>
      </w:pPr>
    </w:p>
    <w:p>
      <w:pPr>
        <w:ind w:left="3780"/>
        <w:spacing w:after="0"/>
        <w:rPr>
          <w:sz w:val="20"/>
          <w:szCs w:val="20"/>
          <w:color w:val="auto"/>
        </w:rPr>
      </w:pPr>
      <w:r>
        <w:rPr>
          <w:rFonts w:ascii="Arial" w:cs="Arial" w:eastAsia="Arial" w:hAnsi="Arial"/>
          <w:sz w:val="25"/>
          <w:szCs w:val="25"/>
          <w:color w:val="auto"/>
        </w:rPr>
        <w:t>Up 8%</w:t>
      </w:r>
    </w:p>
    <w:p>
      <w:pPr>
        <w:spacing w:after="0" w:line="346"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Bad Debt</w:t>
      </w:r>
    </w:p>
    <w:p>
      <w:pPr>
        <w:spacing w:after="0" w:line="35"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Management Fee</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Service Fee</w:t>
      </w:r>
    </w:p>
    <w:p>
      <w:pPr>
        <w:spacing w:after="0" w:line="11"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Service Credits</w:t>
      </w:r>
    </w:p>
    <w:p>
      <w:pPr>
        <w:spacing w:after="0" w:line="16" w:lineRule="exact"/>
        <w:rPr>
          <w:sz w:val="20"/>
          <w:szCs w:val="20"/>
          <w:color w:val="auto"/>
        </w:rPr>
      </w:pPr>
    </w:p>
    <w:p>
      <w:pPr>
        <w:ind w:left="7800"/>
        <w:spacing w:after="0"/>
        <w:rPr>
          <w:sz w:val="20"/>
          <w:szCs w:val="20"/>
          <w:color w:val="auto"/>
        </w:rPr>
      </w:pPr>
      <w:r>
        <w:rPr>
          <w:rFonts w:ascii="Arial" w:cs="Arial" w:eastAsia="Arial" w:hAnsi="Arial"/>
          <w:sz w:val="28"/>
          <w:szCs w:val="28"/>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16" w:name="page17"/>
    <w:bookmarkEnd w:id="16"/>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PCS Revenue per Subscriber</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 Ending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Gross Billed Revenue per Subscriber</w:t>
      </w:r>
      <w:r>
        <w:rPr>
          <w:rFonts w:ascii="Arial" w:cs="Arial" w:eastAsia="Arial" w:hAnsi="Arial"/>
          <w:sz w:val="34"/>
          <w:szCs w:val="34"/>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17" w:name="page18"/>
    <w:bookmarkEnd w:id="17"/>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Wireless Segment</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233" w:lineRule="exact"/>
        <w:rPr>
          <w:sz w:val="20"/>
          <w:szCs w:val="20"/>
          <w:color w:val="auto"/>
        </w:rPr>
      </w:pPr>
    </w:p>
    <w:p>
      <w:pPr>
        <w:ind w:left="960"/>
        <w:spacing w:after="0"/>
        <w:tabs>
          <w:tab w:leader="none" w:pos="6680" w:val="left"/>
        </w:tabs>
        <w:rPr>
          <w:sz w:val="20"/>
          <w:szCs w:val="20"/>
          <w:color w:val="auto"/>
        </w:rPr>
      </w:pPr>
      <w:r>
        <w:rPr>
          <w:rFonts w:ascii="Arial" w:cs="Arial" w:eastAsia="Arial" w:hAnsi="Arial"/>
          <w:sz w:val="25"/>
          <w:szCs w:val="25"/>
          <w:b w:val="1"/>
          <w:bCs w:val="1"/>
          <w:color w:val="FFFFFF"/>
        </w:rPr>
        <w:t>Reported Revenue ($ millions)</w:t>
      </w:r>
      <w:r>
        <w:rPr>
          <w:sz w:val="20"/>
          <w:szCs w:val="20"/>
          <w:color w:val="auto"/>
        </w:rPr>
        <w:tab/>
      </w:r>
      <w:r>
        <w:rPr>
          <w:rFonts w:ascii="Arial" w:cs="Arial" w:eastAsia="Arial" w:hAnsi="Arial"/>
          <w:sz w:val="23"/>
          <w:szCs w:val="23"/>
          <w:b w:val="1"/>
          <w:bCs w:val="1"/>
          <w:color w:val="FFFFFF"/>
        </w:rPr>
        <w:t>OIBDA ($ millions)</w:t>
      </w:r>
    </w:p>
    <w:p>
      <w:pPr>
        <w:spacing w:after="0" w:line="224" w:lineRule="exact"/>
        <w:rPr>
          <w:sz w:val="20"/>
          <w:szCs w:val="20"/>
          <w:color w:val="auto"/>
        </w:rPr>
      </w:pPr>
    </w:p>
    <w:p>
      <w:pPr>
        <w:ind w:left="6900"/>
        <w:spacing w:after="0"/>
        <w:rPr>
          <w:sz w:val="20"/>
          <w:szCs w:val="20"/>
          <w:color w:val="auto"/>
        </w:rPr>
      </w:pPr>
      <w:r>
        <w:rPr>
          <w:rFonts w:ascii="Arial" w:cs="Arial" w:eastAsia="Arial" w:hAnsi="Arial"/>
          <w:sz w:val="28"/>
          <w:szCs w:val="28"/>
          <w:color w:val="auto"/>
        </w:rPr>
        <w:t>13%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18" w:name="page19"/>
    <w:bookmarkEnd w:id="18"/>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Capital Expenditures - Wireless</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52"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FFFFFF"/>
        </w:rPr>
        <w:t>Capital Expenditures by Category ($ millions)</w:t>
      </w:r>
    </w:p>
    <w:p>
      <w:pPr>
        <w:spacing w:after="0" w:line="231" w:lineRule="exact"/>
        <w:rPr>
          <w:sz w:val="20"/>
          <w:szCs w:val="20"/>
          <w:color w:val="auto"/>
        </w:rPr>
      </w:pPr>
    </w:p>
    <w:p>
      <w:pPr>
        <w:ind w:left="2380"/>
        <w:spacing w:after="0"/>
        <w:tabs>
          <w:tab w:leader="none" w:pos="4020" w:val="left"/>
          <w:tab w:leader="none" w:pos="5260" w:val="left"/>
          <w:tab w:leader="none" w:pos="6720" w:val="left"/>
          <w:tab w:leader="none" w:pos="7960" w:val="left"/>
        </w:tabs>
        <w:rPr>
          <w:sz w:val="20"/>
          <w:szCs w:val="20"/>
          <w:color w:val="auto"/>
        </w:rPr>
      </w:pPr>
      <w:r>
        <w:rPr>
          <w:rFonts w:ascii="Arial" w:cs="Arial" w:eastAsia="Arial" w:hAnsi="Arial"/>
          <w:sz w:val="25"/>
          <w:szCs w:val="25"/>
          <w:color w:val="auto"/>
        </w:rPr>
        <w:t>Coverage</w:t>
      </w:r>
      <w:r>
        <w:rPr>
          <w:sz w:val="20"/>
          <w:szCs w:val="20"/>
          <w:color w:val="auto"/>
        </w:rPr>
        <w:tab/>
      </w:r>
      <w:r>
        <w:rPr>
          <w:rFonts w:ascii="Arial" w:cs="Arial" w:eastAsia="Arial" w:hAnsi="Arial"/>
          <w:sz w:val="25"/>
          <w:szCs w:val="25"/>
          <w:color w:val="auto"/>
        </w:rPr>
        <w:t>Other</w:t>
      </w:r>
      <w:r>
        <w:rPr>
          <w:sz w:val="20"/>
          <w:szCs w:val="20"/>
          <w:color w:val="auto"/>
        </w:rPr>
        <w:tab/>
      </w:r>
      <w:r>
        <w:rPr>
          <w:rFonts w:ascii="Arial" w:cs="Arial" w:eastAsia="Arial" w:hAnsi="Arial"/>
          <w:sz w:val="25"/>
          <w:szCs w:val="25"/>
          <w:color w:val="auto"/>
        </w:rPr>
        <w:t>Capacity</w:t>
      </w:r>
      <w:r>
        <w:rPr>
          <w:sz w:val="20"/>
          <w:szCs w:val="20"/>
          <w:color w:val="auto"/>
        </w:rPr>
        <w:tab/>
      </w:r>
      <w:r>
        <w:rPr>
          <w:rFonts w:ascii="Arial" w:cs="Arial" w:eastAsia="Arial" w:hAnsi="Arial"/>
          <w:sz w:val="25"/>
          <w:szCs w:val="25"/>
          <w:color w:val="auto"/>
        </w:rPr>
        <w:t>EVDO</w:t>
      </w:r>
      <w:r>
        <w:rPr>
          <w:sz w:val="20"/>
          <w:szCs w:val="20"/>
          <w:color w:val="auto"/>
        </w:rPr>
        <w:tab/>
      </w:r>
      <w:r>
        <w:rPr>
          <w:rFonts w:ascii="Arial" w:cs="Arial" w:eastAsia="Arial" w:hAnsi="Arial"/>
          <w:sz w:val="21"/>
          <w:szCs w:val="21"/>
          <w:color w:val="auto"/>
        </w:rPr>
        <w:t>Towers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317"/>
        </w:trPr>
        <w:tc>
          <w:tcPr>
            <w:tcW w:w="2100" w:type="dxa"/>
            <w:vAlign w:val="bottom"/>
          </w:tcPr>
          <w:p>
            <w:pPr>
              <w:spacing w:after="0"/>
              <w:rPr>
                <w:sz w:val="20"/>
                <w:szCs w:val="20"/>
                <w:color w:val="auto"/>
              </w:rPr>
            </w:pPr>
            <w:r>
              <w:rPr>
                <w:rFonts w:ascii="Arial" w:cs="Arial" w:eastAsia="Arial" w:hAnsi="Arial"/>
                <w:sz w:val="25"/>
                <w:szCs w:val="25"/>
                <w:color w:val="auto"/>
              </w:rPr>
              <w:t># Cell Sites</w:t>
            </w:r>
          </w:p>
        </w:tc>
        <w:tc>
          <w:tcPr>
            <w:tcW w:w="1580" w:type="dxa"/>
            <w:vAlign w:val="bottom"/>
          </w:tcPr>
          <w:p>
            <w:pPr>
              <w:jc w:val="right"/>
              <w:ind w:right="556"/>
              <w:spacing w:after="0"/>
              <w:rPr>
                <w:sz w:val="20"/>
                <w:szCs w:val="20"/>
                <w:color w:val="auto"/>
              </w:rPr>
            </w:pPr>
            <w:r>
              <w:rPr>
                <w:rFonts w:ascii="Arial" w:cs="Arial" w:eastAsia="Arial" w:hAnsi="Arial"/>
                <w:sz w:val="25"/>
                <w:szCs w:val="25"/>
                <w:color w:val="auto"/>
              </w:rPr>
              <w:t>346</w:t>
            </w:r>
          </w:p>
        </w:tc>
        <w:tc>
          <w:tcPr>
            <w:tcW w:w="1880" w:type="dxa"/>
            <w:vAlign w:val="bottom"/>
          </w:tcPr>
          <w:p>
            <w:pPr>
              <w:jc w:val="right"/>
              <w:ind w:right="536"/>
              <w:spacing w:after="0"/>
              <w:rPr>
                <w:sz w:val="20"/>
                <w:szCs w:val="20"/>
                <w:color w:val="auto"/>
              </w:rPr>
            </w:pPr>
            <w:r>
              <w:rPr>
                <w:rFonts w:ascii="Arial" w:cs="Arial" w:eastAsia="Arial" w:hAnsi="Arial"/>
                <w:sz w:val="25"/>
                <w:szCs w:val="25"/>
                <w:color w:val="auto"/>
              </w:rPr>
              <w:t>411</w:t>
            </w:r>
          </w:p>
        </w:tc>
        <w:tc>
          <w:tcPr>
            <w:tcW w:w="1840" w:type="dxa"/>
            <w:vAlign w:val="bottom"/>
          </w:tcPr>
          <w:p>
            <w:pPr>
              <w:jc w:val="right"/>
              <w:ind w:right="536"/>
              <w:spacing w:after="0"/>
              <w:rPr>
                <w:sz w:val="20"/>
                <w:szCs w:val="20"/>
                <w:color w:val="auto"/>
              </w:rPr>
            </w:pPr>
            <w:r>
              <w:rPr>
                <w:rFonts w:ascii="Arial" w:cs="Arial" w:eastAsia="Arial" w:hAnsi="Arial"/>
                <w:sz w:val="25"/>
                <w:szCs w:val="25"/>
                <w:color w:val="auto"/>
              </w:rPr>
              <w:t>476</w:t>
            </w:r>
          </w:p>
        </w:tc>
        <w:tc>
          <w:tcPr>
            <w:tcW w:w="1200" w:type="dxa"/>
            <w:vAlign w:val="bottom"/>
          </w:tcPr>
          <w:p>
            <w:pPr>
              <w:jc w:val="right"/>
              <w:spacing w:after="0"/>
              <w:rPr>
                <w:sz w:val="20"/>
                <w:szCs w:val="20"/>
                <w:color w:val="auto"/>
              </w:rPr>
            </w:pPr>
            <w:r>
              <w:rPr>
                <w:rFonts w:ascii="Arial" w:cs="Arial" w:eastAsia="Arial" w:hAnsi="Arial"/>
                <w:sz w:val="25"/>
                <w:szCs w:val="25"/>
                <w:color w:val="auto"/>
              </w:rPr>
              <w:t>503</w:t>
            </w:r>
          </w:p>
        </w:tc>
      </w:tr>
      <w:tr>
        <w:trPr>
          <w:trHeight w:val="361"/>
        </w:trPr>
        <w:tc>
          <w:tcPr>
            <w:tcW w:w="2100" w:type="dxa"/>
            <w:vAlign w:val="bottom"/>
          </w:tcPr>
          <w:p>
            <w:pPr>
              <w:spacing w:after="0"/>
              <w:rPr>
                <w:sz w:val="20"/>
                <w:szCs w:val="20"/>
                <w:color w:val="auto"/>
              </w:rPr>
            </w:pPr>
            <w:r>
              <w:rPr>
                <w:rFonts w:ascii="Arial" w:cs="Arial" w:eastAsia="Arial" w:hAnsi="Arial"/>
                <w:sz w:val="25"/>
                <w:szCs w:val="25"/>
                <w:color w:val="auto"/>
              </w:rPr>
              <w:t>% Covered POPs</w:t>
            </w:r>
          </w:p>
        </w:tc>
        <w:tc>
          <w:tcPr>
            <w:tcW w:w="1580" w:type="dxa"/>
            <w:vAlign w:val="bottom"/>
          </w:tcPr>
          <w:p>
            <w:pPr>
              <w:jc w:val="right"/>
              <w:ind w:right="636"/>
              <w:spacing w:after="0"/>
              <w:rPr>
                <w:sz w:val="20"/>
                <w:szCs w:val="20"/>
                <w:color w:val="auto"/>
              </w:rPr>
            </w:pPr>
            <w:r>
              <w:rPr>
                <w:rFonts w:ascii="Arial" w:cs="Arial" w:eastAsia="Arial" w:hAnsi="Arial"/>
                <w:sz w:val="25"/>
                <w:szCs w:val="25"/>
                <w:color w:val="auto"/>
              </w:rPr>
              <w:t>79%</w:t>
            </w:r>
          </w:p>
        </w:tc>
        <w:tc>
          <w:tcPr>
            <w:tcW w:w="1880" w:type="dxa"/>
            <w:vAlign w:val="bottom"/>
          </w:tcPr>
          <w:p>
            <w:pPr>
              <w:jc w:val="right"/>
              <w:ind w:right="596"/>
              <w:spacing w:after="0"/>
              <w:rPr>
                <w:sz w:val="20"/>
                <w:szCs w:val="20"/>
                <w:color w:val="auto"/>
              </w:rPr>
            </w:pPr>
            <w:r>
              <w:rPr>
                <w:rFonts w:ascii="Arial" w:cs="Arial" w:eastAsia="Arial" w:hAnsi="Arial"/>
                <w:sz w:val="25"/>
                <w:szCs w:val="25"/>
                <w:color w:val="auto"/>
              </w:rPr>
              <w:t>85%</w:t>
            </w:r>
          </w:p>
        </w:tc>
        <w:tc>
          <w:tcPr>
            <w:tcW w:w="1840" w:type="dxa"/>
            <w:vAlign w:val="bottom"/>
          </w:tcPr>
          <w:p>
            <w:pPr>
              <w:jc w:val="right"/>
              <w:ind w:right="616"/>
              <w:spacing w:after="0"/>
              <w:rPr>
                <w:sz w:val="20"/>
                <w:szCs w:val="20"/>
                <w:color w:val="auto"/>
              </w:rPr>
            </w:pPr>
            <w:r>
              <w:rPr>
                <w:rFonts w:ascii="Arial" w:cs="Arial" w:eastAsia="Arial" w:hAnsi="Arial"/>
                <w:sz w:val="25"/>
                <w:szCs w:val="25"/>
                <w:color w:val="auto"/>
              </w:rPr>
              <w:t>87%</w:t>
            </w:r>
          </w:p>
        </w:tc>
        <w:tc>
          <w:tcPr>
            <w:tcW w:w="1200" w:type="dxa"/>
            <w:vAlign w:val="bottom"/>
          </w:tcPr>
          <w:p>
            <w:pPr>
              <w:jc w:val="right"/>
              <w:spacing w:after="0"/>
              <w:rPr>
                <w:sz w:val="20"/>
                <w:szCs w:val="20"/>
                <w:color w:val="auto"/>
              </w:rPr>
            </w:pPr>
            <w:r>
              <w:rPr>
                <w:rFonts w:ascii="Arial" w:cs="Arial" w:eastAsia="Arial" w:hAnsi="Arial"/>
                <w:sz w:val="25"/>
                <w:szCs w:val="25"/>
                <w:color w:val="auto"/>
              </w:rPr>
              <w:t>88%</w:t>
            </w:r>
          </w:p>
        </w:tc>
      </w:tr>
      <w:tr>
        <w:trPr>
          <w:trHeight w:val="361"/>
        </w:trPr>
        <w:tc>
          <w:tcPr>
            <w:tcW w:w="2100" w:type="dxa"/>
            <w:vAlign w:val="bottom"/>
          </w:tcPr>
          <w:p>
            <w:pPr>
              <w:spacing w:after="0"/>
              <w:rPr>
                <w:sz w:val="20"/>
                <w:szCs w:val="20"/>
                <w:color w:val="auto"/>
              </w:rPr>
            </w:pPr>
            <w:r>
              <w:rPr>
                <w:rFonts w:ascii="Arial" w:cs="Arial" w:eastAsia="Arial" w:hAnsi="Arial"/>
                <w:sz w:val="25"/>
                <w:szCs w:val="25"/>
                <w:color w:val="auto"/>
              </w:rPr>
              <w:t># EVDO Sites</w:t>
            </w:r>
          </w:p>
        </w:tc>
        <w:tc>
          <w:tcPr>
            <w:tcW w:w="1580" w:type="dxa"/>
            <w:vAlign w:val="bottom"/>
          </w:tcPr>
          <w:p>
            <w:pPr>
              <w:jc w:val="right"/>
              <w:ind w:right="616"/>
              <w:spacing w:after="0"/>
              <w:rPr>
                <w:sz w:val="20"/>
                <w:szCs w:val="20"/>
                <w:color w:val="auto"/>
              </w:rPr>
            </w:pPr>
            <w:r>
              <w:rPr>
                <w:rFonts w:ascii="Arial" w:cs="Arial" w:eastAsia="Arial" w:hAnsi="Arial"/>
                <w:sz w:val="25"/>
                <w:szCs w:val="25"/>
                <w:color w:val="auto"/>
              </w:rPr>
              <w:t>52</w:t>
            </w:r>
          </w:p>
        </w:tc>
        <w:tc>
          <w:tcPr>
            <w:tcW w:w="1880" w:type="dxa"/>
            <w:vAlign w:val="bottom"/>
          </w:tcPr>
          <w:p>
            <w:pPr>
              <w:jc w:val="right"/>
              <w:ind w:right="536"/>
              <w:spacing w:after="0"/>
              <w:rPr>
                <w:sz w:val="20"/>
                <w:szCs w:val="20"/>
                <w:color w:val="auto"/>
              </w:rPr>
            </w:pPr>
            <w:r>
              <w:rPr>
                <w:rFonts w:ascii="Arial" w:cs="Arial" w:eastAsia="Arial" w:hAnsi="Arial"/>
                <w:sz w:val="25"/>
                <w:szCs w:val="25"/>
                <w:color w:val="auto"/>
              </w:rPr>
              <w:t>211</w:t>
            </w:r>
          </w:p>
        </w:tc>
        <w:tc>
          <w:tcPr>
            <w:tcW w:w="1840" w:type="dxa"/>
            <w:vAlign w:val="bottom"/>
          </w:tcPr>
          <w:p>
            <w:pPr>
              <w:jc w:val="right"/>
              <w:ind w:right="536"/>
              <w:spacing w:after="0"/>
              <w:rPr>
                <w:sz w:val="20"/>
                <w:szCs w:val="20"/>
                <w:color w:val="auto"/>
              </w:rPr>
            </w:pPr>
            <w:r>
              <w:rPr>
                <w:rFonts w:ascii="Arial" w:cs="Arial" w:eastAsia="Arial" w:hAnsi="Arial"/>
                <w:sz w:val="25"/>
                <w:szCs w:val="25"/>
                <w:color w:val="auto"/>
              </w:rPr>
              <w:t>334</w:t>
            </w:r>
          </w:p>
        </w:tc>
        <w:tc>
          <w:tcPr>
            <w:tcW w:w="1200" w:type="dxa"/>
            <w:vAlign w:val="bottom"/>
          </w:tcPr>
          <w:p>
            <w:pPr>
              <w:jc w:val="right"/>
              <w:spacing w:after="0"/>
              <w:rPr>
                <w:sz w:val="20"/>
                <w:szCs w:val="20"/>
                <w:color w:val="auto"/>
              </w:rPr>
            </w:pPr>
            <w:r>
              <w:rPr>
                <w:rFonts w:ascii="Arial" w:cs="Arial" w:eastAsia="Arial" w:hAnsi="Arial"/>
                <w:sz w:val="25"/>
                <w:szCs w:val="25"/>
                <w:color w:val="auto"/>
              </w:rPr>
              <w:t>365</w:t>
            </w:r>
          </w:p>
        </w:tc>
      </w:tr>
      <w:tr>
        <w:trPr>
          <w:trHeight w:val="361"/>
        </w:trPr>
        <w:tc>
          <w:tcPr>
            <w:tcW w:w="2100" w:type="dxa"/>
            <w:vAlign w:val="bottom"/>
          </w:tcPr>
          <w:p>
            <w:pPr>
              <w:spacing w:after="0"/>
              <w:rPr>
                <w:sz w:val="20"/>
                <w:szCs w:val="20"/>
                <w:color w:val="auto"/>
              </w:rPr>
            </w:pPr>
            <w:r>
              <w:rPr>
                <w:rFonts w:ascii="Arial" w:cs="Arial" w:eastAsia="Arial" w:hAnsi="Arial"/>
                <w:sz w:val="25"/>
                <w:szCs w:val="25"/>
                <w:color w:val="auto"/>
              </w:rPr>
              <w:t>% POPs Covered</w:t>
            </w:r>
          </w:p>
        </w:tc>
        <w:tc>
          <w:tcPr>
            <w:tcW w:w="1580" w:type="dxa"/>
            <w:vAlign w:val="bottom"/>
          </w:tcPr>
          <w:p>
            <w:pPr>
              <w:jc w:val="right"/>
              <w:ind w:right="636"/>
              <w:spacing w:after="0"/>
              <w:rPr>
                <w:sz w:val="20"/>
                <w:szCs w:val="20"/>
                <w:color w:val="auto"/>
              </w:rPr>
            </w:pPr>
            <w:r>
              <w:rPr>
                <w:rFonts w:ascii="Arial" w:cs="Arial" w:eastAsia="Arial" w:hAnsi="Arial"/>
                <w:sz w:val="25"/>
                <w:szCs w:val="25"/>
                <w:color w:val="auto"/>
              </w:rPr>
              <w:t>27%</w:t>
            </w:r>
          </w:p>
        </w:tc>
        <w:tc>
          <w:tcPr>
            <w:tcW w:w="1880" w:type="dxa"/>
            <w:vAlign w:val="bottom"/>
          </w:tcPr>
          <w:p>
            <w:pPr>
              <w:jc w:val="right"/>
              <w:ind w:right="596"/>
              <w:spacing w:after="0"/>
              <w:rPr>
                <w:sz w:val="20"/>
                <w:szCs w:val="20"/>
                <w:color w:val="auto"/>
              </w:rPr>
            </w:pPr>
            <w:r>
              <w:rPr>
                <w:rFonts w:ascii="Arial" w:cs="Arial" w:eastAsia="Arial" w:hAnsi="Arial"/>
                <w:sz w:val="25"/>
                <w:szCs w:val="25"/>
                <w:color w:val="auto"/>
              </w:rPr>
              <w:t>86%</w:t>
            </w:r>
          </w:p>
        </w:tc>
        <w:tc>
          <w:tcPr>
            <w:tcW w:w="1840" w:type="dxa"/>
            <w:vAlign w:val="bottom"/>
          </w:tcPr>
          <w:p>
            <w:pPr>
              <w:jc w:val="right"/>
              <w:ind w:right="616"/>
              <w:spacing w:after="0"/>
              <w:rPr>
                <w:sz w:val="20"/>
                <w:szCs w:val="20"/>
                <w:color w:val="auto"/>
              </w:rPr>
            </w:pPr>
            <w:r>
              <w:rPr>
                <w:rFonts w:ascii="Arial" w:cs="Arial" w:eastAsia="Arial" w:hAnsi="Arial"/>
                <w:sz w:val="25"/>
                <w:szCs w:val="25"/>
                <w:color w:val="auto"/>
              </w:rPr>
              <w:t>94%</w:t>
            </w:r>
          </w:p>
        </w:tc>
        <w:tc>
          <w:tcPr>
            <w:tcW w:w="1200" w:type="dxa"/>
            <w:vAlign w:val="bottom"/>
          </w:tcPr>
          <w:p>
            <w:pPr>
              <w:jc w:val="right"/>
              <w:spacing w:after="0"/>
              <w:rPr>
                <w:sz w:val="20"/>
                <w:szCs w:val="20"/>
                <w:color w:val="auto"/>
              </w:rPr>
            </w:pPr>
            <w:r>
              <w:rPr>
                <w:rFonts w:ascii="Arial" w:cs="Arial" w:eastAsia="Arial" w:hAnsi="Arial"/>
                <w:sz w:val="25"/>
                <w:szCs w:val="25"/>
                <w:color w:val="auto"/>
              </w:rPr>
              <w:t>95%</w:t>
            </w:r>
          </w:p>
        </w:tc>
      </w:tr>
    </w:tbl>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19" w:name="page20"/>
    <w:bookmarkEnd w:id="19"/>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34"/>
          <w:szCs w:val="34"/>
          <w:color w:val="auto"/>
        </w:rPr>
        <w:t>Overview of Wireless</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34"/>
          <w:szCs w:val="34"/>
          <w:color w:val="840039"/>
        </w:rPr>
        <w:t>Overview of Cable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20" w:name="page21"/>
    <w:bookmarkEnd w:id="20"/>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Cable TV Overview</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80" w:right="4180" w:hanging="491"/>
        <w:spacing w:after="0" w:line="357" w:lineRule="auto"/>
        <w:tabs>
          <w:tab w:leader="none" w:pos="617" w:val="left"/>
        </w:tabs>
        <w:numPr>
          <w:ilvl w:val="0"/>
          <w:numId w:val="13"/>
        </w:numPr>
        <w:rPr>
          <w:rFonts w:ascii="Arial" w:cs="Arial" w:eastAsia="Arial" w:hAnsi="Arial"/>
          <w:sz w:val="37"/>
          <w:szCs w:val="37"/>
          <w:color w:val="840039"/>
        </w:rPr>
      </w:pPr>
      <w:r>
        <w:rPr>
          <w:rFonts w:ascii="Arial" w:cs="Arial" w:eastAsia="Arial" w:hAnsi="Arial"/>
          <w:sz w:val="37"/>
          <w:szCs w:val="37"/>
          <w:color w:val="auto"/>
        </w:rPr>
        <w:t xml:space="preserve">Complimentary (with LEC business) </w:t>
      </w:r>
      <w:r>
        <w:rPr>
          <w:rFonts w:ascii="Arial" w:cs="Arial" w:eastAsia="Arial" w:hAnsi="Arial"/>
          <w:sz w:val="29"/>
          <w:szCs w:val="29"/>
          <w:color w:val="C0C0C0"/>
        </w:rPr>
        <w:t xml:space="preserve">u </w:t>
      </w:r>
      <w:r>
        <w:rPr>
          <w:rFonts w:ascii="Arial" w:cs="Arial" w:eastAsia="Arial" w:hAnsi="Arial"/>
          <w:sz w:val="37"/>
          <w:szCs w:val="37"/>
          <w:color w:val="000000"/>
        </w:rPr>
        <w:t>15k Homes Passed</w:t>
      </w:r>
    </w:p>
    <w:p>
      <w:pPr>
        <w:spacing w:after="0" w:line="2" w:lineRule="exact"/>
        <w:rPr>
          <w:rFonts w:ascii="Arial" w:cs="Arial" w:eastAsia="Arial" w:hAnsi="Arial"/>
          <w:sz w:val="37"/>
          <w:szCs w:val="37"/>
          <w:color w:val="840039"/>
        </w:rPr>
      </w:pPr>
    </w:p>
    <w:p>
      <w:pPr>
        <w:ind w:left="780"/>
        <w:spacing w:after="0"/>
        <w:rPr>
          <w:rFonts w:ascii="Arial" w:cs="Arial" w:eastAsia="Arial" w:hAnsi="Arial"/>
          <w:sz w:val="37"/>
          <w:szCs w:val="37"/>
          <w:color w:val="840039"/>
        </w:rPr>
      </w:pPr>
      <w:r>
        <w:rPr>
          <w:rFonts w:ascii="Arial" w:cs="Arial" w:eastAsia="Arial" w:hAnsi="Arial"/>
          <w:sz w:val="30"/>
          <w:szCs w:val="30"/>
          <w:color w:val="C0C0C0"/>
        </w:rPr>
        <w:t xml:space="preserve">u </w:t>
      </w:r>
      <w:r>
        <w:rPr>
          <w:rFonts w:ascii="Arial" w:cs="Arial" w:eastAsia="Arial" w:hAnsi="Arial"/>
          <w:sz w:val="37"/>
          <w:szCs w:val="37"/>
          <w:color w:val="000000"/>
        </w:rPr>
        <w:t>8k Video Subscribers</w:t>
      </w:r>
    </w:p>
    <w:p>
      <w:pPr>
        <w:spacing w:after="0" w:line="214" w:lineRule="exact"/>
        <w:rPr>
          <w:rFonts w:ascii="Arial" w:cs="Arial" w:eastAsia="Arial" w:hAnsi="Arial"/>
          <w:sz w:val="37"/>
          <w:szCs w:val="37"/>
          <w:color w:val="840039"/>
        </w:rPr>
      </w:pPr>
    </w:p>
    <w:p>
      <w:pPr>
        <w:ind w:left="780" w:right="4020" w:hanging="491"/>
        <w:spacing w:after="0" w:line="357" w:lineRule="auto"/>
        <w:tabs>
          <w:tab w:leader="none" w:pos="617" w:val="left"/>
        </w:tabs>
        <w:numPr>
          <w:ilvl w:val="0"/>
          <w:numId w:val="13"/>
        </w:numPr>
        <w:rPr>
          <w:rFonts w:ascii="Arial" w:cs="Arial" w:eastAsia="Arial" w:hAnsi="Arial"/>
          <w:sz w:val="37"/>
          <w:szCs w:val="37"/>
          <w:color w:val="840039"/>
        </w:rPr>
      </w:pPr>
      <w:r>
        <w:rPr>
          <w:rFonts w:ascii="Arial" w:cs="Arial" w:eastAsia="Arial" w:hAnsi="Arial"/>
          <w:sz w:val="37"/>
          <w:szCs w:val="37"/>
          <w:color w:val="auto"/>
        </w:rPr>
        <w:t xml:space="preserve">Offensive positioning (Outside ILEC) </w:t>
      </w:r>
      <w:r>
        <w:rPr>
          <w:rFonts w:ascii="Arial" w:cs="Arial" w:eastAsia="Arial" w:hAnsi="Arial"/>
          <w:sz w:val="29"/>
          <w:szCs w:val="29"/>
          <w:color w:val="C0C0C0"/>
        </w:rPr>
        <w:t xml:space="preserve">u </w:t>
      </w:r>
      <w:r>
        <w:rPr>
          <w:rFonts w:ascii="Arial" w:cs="Arial" w:eastAsia="Arial" w:hAnsi="Arial"/>
          <w:sz w:val="37"/>
          <w:szCs w:val="37"/>
          <w:color w:val="000000"/>
        </w:rPr>
        <w:t>36k Homes Passed</w:t>
      </w:r>
    </w:p>
    <w:p>
      <w:pPr>
        <w:spacing w:after="0" w:line="2" w:lineRule="exact"/>
        <w:rPr>
          <w:rFonts w:ascii="Arial" w:cs="Arial" w:eastAsia="Arial" w:hAnsi="Arial"/>
          <w:sz w:val="37"/>
          <w:szCs w:val="37"/>
          <w:color w:val="840039"/>
        </w:rPr>
      </w:pPr>
    </w:p>
    <w:p>
      <w:pPr>
        <w:ind w:left="780"/>
        <w:spacing w:after="0"/>
        <w:rPr>
          <w:rFonts w:ascii="Arial" w:cs="Arial" w:eastAsia="Arial" w:hAnsi="Arial"/>
          <w:sz w:val="37"/>
          <w:szCs w:val="37"/>
          <w:color w:val="840039"/>
        </w:rPr>
      </w:pPr>
      <w:r>
        <w:rPr>
          <w:rFonts w:ascii="Arial" w:cs="Arial" w:eastAsia="Arial" w:hAnsi="Arial"/>
          <w:sz w:val="30"/>
          <w:szCs w:val="30"/>
          <w:color w:val="C0C0C0"/>
        </w:rPr>
        <w:t xml:space="preserve">u </w:t>
      </w:r>
      <w:r>
        <w:rPr>
          <w:rFonts w:ascii="Arial" w:cs="Arial" w:eastAsia="Arial" w:hAnsi="Arial"/>
          <w:sz w:val="37"/>
          <w:szCs w:val="37"/>
          <w:color w:val="000000"/>
        </w:rPr>
        <w:t>15k Video and 2k Internet Subscribers</w:t>
      </w:r>
    </w:p>
    <w:p>
      <w:pPr>
        <w:spacing w:after="0" w:line="203" w:lineRule="exact"/>
        <w:rPr>
          <w:rFonts w:ascii="Arial" w:cs="Arial" w:eastAsia="Arial" w:hAnsi="Arial"/>
          <w:sz w:val="37"/>
          <w:szCs w:val="37"/>
          <w:color w:val="840039"/>
        </w:rPr>
      </w:pPr>
    </w:p>
    <w:p>
      <w:pPr>
        <w:ind w:left="620" w:hanging="331"/>
        <w:spacing w:after="0"/>
        <w:tabs>
          <w:tab w:leader="none" w:pos="620" w:val="left"/>
        </w:tabs>
        <w:numPr>
          <w:ilvl w:val="0"/>
          <w:numId w:val="13"/>
        </w:numPr>
        <w:rPr>
          <w:rFonts w:ascii="Arial" w:cs="Arial" w:eastAsia="Arial" w:hAnsi="Arial"/>
          <w:sz w:val="37"/>
          <w:szCs w:val="37"/>
          <w:color w:val="840039"/>
        </w:rPr>
      </w:pPr>
      <w:r>
        <w:rPr>
          <w:rFonts w:ascii="Arial" w:cs="Arial" w:eastAsia="Arial" w:hAnsi="Arial"/>
          <w:sz w:val="37"/>
          <w:szCs w:val="37"/>
          <w:color w:val="auto"/>
        </w:rPr>
        <w:t>All two-way by Q3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FFFFFF"/>
        </w:rPr>
        <w:t>RGUs (000s)</w:t>
      </w:r>
    </w:p>
    <w:p>
      <w:pPr>
        <w:spacing w:after="0" w:line="266" w:lineRule="exact"/>
        <w:rPr>
          <w:sz w:val="20"/>
          <w:szCs w:val="20"/>
          <w:color w:val="auto"/>
        </w:rPr>
      </w:pPr>
    </w:p>
    <w:p>
      <w:pPr>
        <w:ind w:left="480"/>
        <w:spacing w:after="0"/>
        <w:rPr>
          <w:sz w:val="20"/>
          <w:szCs w:val="20"/>
          <w:color w:val="auto"/>
        </w:rPr>
      </w:pPr>
      <w:r>
        <w:rPr>
          <w:rFonts w:ascii="Arial" w:cs="Arial" w:eastAsia="Arial" w:hAnsi="Arial"/>
          <w:sz w:val="25"/>
          <w:szCs w:val="25"/>
          <w:color w:val="auto"/>
        </w:rPr>
        <w:t>Internet</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25"/>
          <w:szCs w:val="25"/>
          <w:color w:val="auto"/>
        </w:rPr>
        <w:t>Basic</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5"/>
          <w:szCs w:val="25"/>
          <w:color w:val="auto"/>
        </w:rPr>
        <w:t>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Excludes markets sold in November 2009 for all periods shown and only includes internet for areas outside ILEC service area</w:t>
      </w: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370205</wp:posOffset>
            </wp:positionV>
            <wp:extent cx="727075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080"/>
          </w:cols>
          <w:pgMar w:left="1000" w:top="1440" w:right="819" w:bottom="1440" w:gutter="0" w:footer="0" w:header="0"/>
        </w:sectPr>
      </w:pPr>
    </w:p>
    <w:bookmarkStart w:id="22" w:name="page23"/>
    <w:bookmarkEnd w:id="22"/>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Cable TV</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75" w:lineRule="exact"/>
        <w:rPr>
          <w:sz w:val="20"/>
          <w:szCs w:val="20"/>
          <w:color w:val="auto"/>
        </w:rPr>
      </w:pPr>
    </w:p>
    <w:p>
      <w:pPr>
        <w:ind w:left="1380"/>
        <w:spacing w:after="0"/>
        <w:tabs>
          <w:tab w:leader="none" w:pos="6600" w:val="left"/>
        </w:tabs>
        <w:rPr>
          <w:sz w:val="20"/>
          <w:szCs w:val="20"/>
          <w:color w:val="auto"/>
        </w:rPr>
      </w:pPr>
      <w:r>
        <w:rPr>
          <w:rFonts w:ascii="Arial" w:cs="Arial" w:eastAsia="Arial" w:hAnsi="Arial"/>
          <w:sz w:val="25"/>
          <w:szCs w:val="25"/>
          <w:b w:val="1"/>
          <w:bCs w:val="1"/>
          <w:color w:val="FFFFFF"/>
        </w:rPr>
        <w:t>Revenue ($ millions)</w:t>
      </w:r>
      <w:r>
        <w:rPr>
          <w:sz w:val="20"/>
          <w:szCs w:val="20"/>
          <w:color w:val="auto"/>
        </w:rPr>
        <w:tab/>
      </w:r>
      <w:r>
        <w:rPr>
          <w:rFonts w:ascii="Arial" w:cs="Arial" w:eastAsia="Arial" w:hAnsi="Arial"/>
          <w:sz w:val="23"/>
          <w:szCs w:val="23"/>
          <w:b w:val="1"/>
          <w:bCs w:val="1"/>
          <w:color w:val="FFFFFF"/>
        </w:rPr>
        <w:t>OIBDA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Includes Rapid Communications acquisition December 1, 2008</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23" w:name="page24"/>
    <w:bookmarkEnd w:id="23"/>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PCS</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34"/>
          <w:szCs w:val="34"/>
          <w:color w:val="840039"/>
        </w:rPr>
        <w:t>Overview of Wireline</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Financials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24" w:name="page25"/>
    <w:bookmarkEnd w:id="24"/>
    <w:p>
      <w:pPr>
        <w:spacing w:after="0"/>
        <w:rPr>
          <w:sz w:val="20"/>
          <w:szCs w:val="20"/>
          <w:color w:val="auto"/>
        </w:rPr>
      </w:pPr>
      <w:r>
        <w:rPr>
          <w:rFonts w:ascii="Arial" w:cs="Arial" w:eastAsia="Arial" w:hAnsi="Arial"/>
          <w:sz w:val="47"/>
          <w:szCs w:val="47"/>
          <w:b w:val="1"/>
          <w:bCs w:val="1"/>
          <w:color w:val="auto"/>
        </w:rPr>
        <w:t>Wireline Customers</w:t>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December 31, 2009</w:t>
      </w:r>
    </w:p>
    <w:p>
      <w:pPr>
        <w:spacing w:after="0" w:line="200" w:lineRule="exact"/>
        <w:rPr>
          <w:sz w:val="20"/>
          <w:szCs w:val="20"/>
          <w:color w:val="auto"/>
        </w:rPr>
      </w:pPr>
    </w:p>
    <w:p>
      <w:pPr>
        <w:spacing w:after="0" w:line="225" w:lineRule="exact"/>
        <w:rPr>
          <w:sz w:val="20"/>
          <w:szCs w:val="20"/>
          <w:color w:val="auto"/>
        </w:rPr>
      </w:pPr>
    </w:p>
    <w:p>
      <w:pPr>
        <w:ind w:left="640" w:hanging="351"/>
        <w:spacing w:after="0"/>
        <w:tabs>
          <w:tab w:leader="none" w:pos="640" w:val="left"/>
        </w:tabs>
        <w:numPr>
          <w:ilvl w:val="0"/>
          <w:numId w:val="14"/>
        </w:numPr>
        <w:rPr>
          <w:rFonts w:ascii="Arial" w:cs="Arial" w:eastAsia="Arial" w:hAnsi="Arial"/>
          <w:sz w:val="31"/>
          <w:szCs w:val="31"/>
          <w:color w:val="840039"/>
        </w:rPr>
      </w:pPr>
      <w:r>
        <w:rPr>
          <w:rFonts w:ascii="Arial" w:cs="Arial" w:eastAsia="Arial" w:hAnsi="Arial"/>
          <w:sz w:val="31"/>
          <w:szCs w:val="31"/>
          <w:color w:val="auto"/>
        </w:rPr>
        <w:t>24.4k LEC access lines</w:t>
      </w:r>
    </w:p>
    <w:p>
      <w:pPr>
        <w:spacing w:after="0" w:line="283" w:lineRule="exact"/>
        <w:rPr>
          <w:rFonts w:ascii="Arial" w:cs="Arial" w:eastAsia="Arial" w:hAnsi="Arial"/>
          <w:sz w:val="31"/>
          <w:szCs w:val="31"/>
          <w:color w:val="840039"/>
        </w:rPr>
      </w:pPr>
    </w:p>
    <w:p>
      <w:pPr>
        <w:ind w:left="700" w:right="360" w:hanging="411"/>
        <w:spacing w:after="0" w:line="262" w:lineRule="auto"/>
        <w:tabs>
          <w:tab w:leader="none" w:pos="622" w:val="left"/>
        </w:tabs>
        <w:numPr>
          <w:ilvl w:val="0"/>
          <w:numId w:val="14"/>
        </w:numPr>
        <w:rPr>
          <w:rFonts w:ascii="Arial" w:cs="Arial" w:eastAsia="Arial" w:hAnsi="Arial"/>
          <w:sz w:val="27"/>
          <w:szCs w:val="27"/>
          <w:color w:val="840039"/>
        </w:rPr>
      </w:pPr>
      <w:r>
        <w:rPr>
          <w:rFonts w:ascii="Arial" w:cs="Arial" w:eastAsia="Arial" w:hAnsi="Arial"/>
          <w:sz w:val="27"/>
          <w:szCs w:val="27"/>
          <w:color w:val="auto"/>
        </w:rPr>
        <w:t>Acquisition of North River Telephone closed November</w:t>
      </w:r>
    </w:p>
    <w:p>
      <w:pPr>
        <w:spacing w:after="0" w:line="1" w:lineRule="exact"/>
        <w:rPr>
          <w:rFonts w:ascii="Arial" w:cs="Arial" w:eastAsia="Arial" w:hAnsi="Arial"/>
          <w:sz w:val="27"/>
          <w:szCs w:val="27"/>
          <w:color w:val="840039"/>
        </w:rPr>
      </w:pPr>
    </w:p>
    <w:p>
      <w:pPr>
        <w:ind w:left="700"/>
        <w:spacing w:after="0" w:line="183" w:lineRule="auto"/>
        <w:rPr>
          <w:rFonts w:ascii="Arial" w:cs="Arial" w:eastAsia="Arial" w:hAnsi="Arial"/>
          <w:sz w:val="27"/>
          <w:szCs w:val="27"/>
          <w:color w:val="840039"/>
        </w:rPr>
      </w:pPr>
      <w:r>
        <w:rPr>
          <w:rFonts w:ascii="Arial" w:cs="Arial" w:eastAsia="Arial" w:hAnsi="Arial"/>
          <w:sz w:val="43"/>
          <w:szCs w:val="43"/>
          <w:color w:val="auto"/>
          <w:vertAlign w:val="subscript"/>
        </w:rPr>
        <w:t>2</w:t>
      </w:r>
      <w:r>
        <w:rPr>
          <w:rFonts w:ascii="Arial" w:cs="Arial" w:eastAsia="Arial" w:hAnsi="Arial"/>
          <w:sz w:val="18"/>
          <w:szCs w:val="18"/>
          <w:color w:val="auto"/>
        </w:rPr>
        <w:t>nd</w:t>
      </w:r>
    </w:p>
    <w:p>
      <w:pPr>
        <w:spacing w:after="0" w:line="108" w:lineRule="exact"/>
        <w:rPr>
          <w:sz w:val="20"/>
          <w:szCs w:val="20"/>
          <w:color w:val="auto"/>
        </w:rPr>
      </w:pPr>
    </w:p>
    <w:p>
      <w:pPr>
        <w:ind w:left="1100" w:hanging="323"/>
        <w:spacing w:after="0"/>
        <w:tabs>
          <w:tab w:leader="none" w:pos="1100" w:val="left"/>
        </w:tabs>
        <w:numPr>
          <w:ilvl w:val="0"/>
          <w:numId w:val="15"/>
        </w:numPr>
        <w:rPr>
          <w:rFonts w:ascii="Arial" w:cs="Arial" w:eastAsia="Arial" w:hAnsi="Arial"/>
          <w:sz w:val="25"/>
          <w:szCs w:val="25"/>
          <w:color w:val="C0C0C0"/>
        </w:rPr>
      </w:pPr>
      <w:r>
        <w:rPr>
          <w:rFonts w:ascii="Arial" w:cs="Arial" w:eastAsia="Arial" w:hAnsi="Arial"/>
          <w:sz w:val="31"/>
          <w:szCs w:val="31"/>
          <w:color w:val="auto"/>
        </w:rPr>
        <w:t>0.9k access lines</w:t>
      </w:r>
    </w:p>
    <w:p>
      <w:pPr>
        <w:spacing w:after="0" w:line="284" w:lineRule="exact"/>
        <w:rPr>
          <w:sz w:val="20"/>
          <w:szCs w:val="20"/>
          <w:color w:val="auto"/>
        </w:rPr>
      </w:pPr>
    </w:p>
    <w:p>
      <w:pPr>
        <w:ind w:left="640" w:hanging="351"/>
        <w:spacing w:after="0"/>
        <w:tabs>
          <w:tab w:leader="none" w:pos="640" w:val="left"/>
        </w:tabs>
        <w:numPr>
          <w:ilvl w:val="0"/>
          <w:numId w:val="16"/>
        </w:numPr>
        <w:rPr>
          <w:rFonts w:ascii="Arial" w:cs="Arial" w:eastAsia="Arial" w:hAnsi="Arial"/>
          <w:sz w:val="31"/>
          <w:szCs w:val="31"/>
          <w:color w:val="840039"/>
        </w:rPr>
      </w:pPr>
      <w:r>
        <w:rPr>
          <w:rFonts w:ascii="Arial" w:cs="Arial" w:eastAsia="Arial" w:hAnsi="Arial"/>
          <w:sz w:val="31"/>
          <w:szCs w:val="31"/>
          <w:color w:val="auto"/>
        </w:rPr>
        <w:t>11.0k DSL subscribers</w:t>
      </w:r>
    </w:p>
    <w:p>
      <w:pPr>
        <w:spacing w:after="0" w:line="144" w:lineRule="exact"/>
        <w:rPr>
          <w:sz w:val="20"/>
          <w:szCs w:val="20"/>
          <w:color w:val="auto"/>
        </w:rPr>
      </w:pPr>
    </w:p>
    <w:p>
      <w:pPr>
        <w:ind w:left="1200" w:right="160" w:hanging="423"/>
        <w:spacing w:after="0" w:line="245" w:lineRule="auto"/>
        <w:tabs>
          <w:tab w:leader="none" w:pos="1103" w:val="left"/>
        </w:tabs>
        <w:numPr>
          <w:ilvl w:val="0"/>
          <w:numId w:val="17"/>
        </w:numPr>
        <w:rPr>
          <w:rFonts w:ascii="Arial" w:cs="Arial" w:eastAsia="Arial" w:hAnsi="Arial"/>
          <w:sz w:val="25"/>
          <w:szCs w:val="25"/>
          <w:color w:val="C0C0C0"/>
        </w:rPr>
      </w:pPr>
      <w:r>
        <w:rPr>
          <w:rFonts w:ascii="Arial" w:cs="Arial" w:eastAsia="Arial" w:hAnsi="Arial"/>
          <w:sz w:val="31"/>
          <w:szCs w:val="31"/>
          <w:color w:val="auto"/>
        </w:rPr>
        <w:t>45% Penetration of Access Lines</w:t>
      </w:r>
    </w:p>
    <w:p>
      <w:pPr>
        <w:spacing w:after="0" w:line="250" w:lineRule="exact"/>
        <w:rPr>
          <w:sz w:val="20"/>
          <w:szCs w:val="20"/>
          <w:color w:val="auto"/>
        </w:rPr>
      </w:pPr>
    </w:p>
    <w:p>
      <w:pPr>
        <w:ind w:left="700" w:right="1440" w:hanging="411"/>
        <w:spacing w:after="0" w:line="296" w:lineRule="auto"/>
        <w:tabs>
          <w:tab w:leader="none" w:pos="622" w:val="left"/>
        </w:tabs>
        <w:numPr>
          <w:ilvl w:val="0"/>
          <w:numId w:val="18"/>
        </w:numPr>
        <w:rPr>
          <w:rFonts w:ascii="Arial" w:cs="Arial" w:eastAsia="Arial" w:hAnsi="Arial"/>
          <w:sz w:val="28"/>
          <w:szCs w:val="28"/>
          <w:color w:val="840039"/>
        </w:rPr>
      </w:pPr>
      <w:r>
        <w:rPr>
          <w:rFonts w:ascii="Arial" w:cs="Arial" w:eastAsia="Arial" w:hAnsi="Arial"/>
          <w:sz w:val="28"/>
          <w:szCs w:val="28"/>
          <w:color w:val="auto"/>
        </w:rPr>
        <w:t>3.4k dial-up Internet subscribers</w:t>
      </w:r>
    </w:p>
    <w:p>
      <w:pPr>
        <w:spacing w:after="0" w:line="183" w:lineRule="exact"/>
        <w:rPr>
          <w:rFonts w:ascii="Arial" w:cs="Arial" w:eastAsia="Arial" w:hAnsi="Arial"/>
          <w:sz w:val="28"/>
          <w:szCs w:val="28"/>
          <w:color w:val="840039"/>
        </w:rPr>
      </w:pPr>
    </w:p>
    <w:p>
      <w:pPr>
        <w:ind w:left="700" w:right="1560" w:hanging="411"/>
        <w:spacing w:after="0" w:line="296" w:lineRule="auto"/>
        <w:tabs>
          <w:tab w:leader="none" w:pos="622" w:val="left"/>
        </w:tabs>
        <w:numPr>
          <w:ilvl w:val="0"/>
          <w:numId w:val="18"/>
        </w:numPr>
        <w:rPr>
          <w:rFonts w:ascii="Arial" w:cs="Arial" w:eastAsia="Arial" w:hAnsi="Arial"/>
          <w:sz w:val="28"/>
          <w:szCs w:val="28"/>
          <w:color w:val="840039"/>
        </w:rPr>
      </w:pPr>
      <w:r>
        <w:rPr>
          <w:rFonts w:ascii="Arial" w:cs="Arial" w:eastAsia="Arial" w:hAnsi="Arial"/>
          <w:sz w:val="28"/>
          <w:szCs w:val="28"/>
          <w:color w:val="auto"/>
        </w:rPr>
        <w:t>10.9k long distance subscribers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right="1080" w:hanging="420"/>
        <w:spacing w:after="0" w:line="296" w:lineRule="auto"/>
        <w:tabs>
          <w:tab w:leader="none" w:pos="342" w:val="left"/>
        </w:tabs>
        <w:numPr>
          <w:ilvl w:val="0"/>
          <w:numId w:val="19"/>
        </w:numPr>
        <w:rPr>
          <w:rFonts w:ascii="Arial" w:cs="Arial" w:eastAsia="Arial" w:hAnsi="Arial"/>
          <w:sz w:val="28"/>
          <w:szCs w:val="28"/>
          <w:color w:val="840039"/>
        </w:rPr>
      </w:pPr>
      <w:r>
        <w:rPr>
          <w:rFonts w:ascii="Arial" w:cs="Arial" w:eastAsia="Arial" w:hAnsi="Arial"/>
          <w:sz w:val="28"/>
          <w:szCs w:val="28"/>
          <w:color w:val="auto"/>
        </w:rPr>
        <w:t>One FTTH community in service outside of LEC area</w:t>
      </w:r>
    </w:p>
    <w:p>
      <w:pPr>
        <w:spacing w:after="0" w:line="171" w:lineRule="exact"/>
        <w:rPr>
          <w:rFonts w:ascii="Arial" w:cs="Arial" w:eastAsia="Arial" w:hAnsi="Arial"/>
          <w:sz w:val="28"/>
          <w:szCs w:val="28"/>
          <w:color w:val="840039"/>
        </w:rPr>
      </w:pPr>
    </w:p>
    <w:p>
      <w:pPr>
        <w:ind w:left="340" w:hanging="340"/>
        <w:spacing w:after="0"/>
        <w:tabs>
          <w:tab w:leader="none" w:pos="340" w:val="left"/>
        </w:tabs>
        <w:numPr>
          <w:ilvl w:val="0"/>
          <w:numId w:val="19"/>
        </w:numPr>
        <w:rPr>
          <w:rFonts w:ascii="Arial" w:cs="Arial" w:eastAsia="Arial" w:hAnsi="Arial"/>
          <w:sz w:val="31"/>
          <w:szCs w:val="31"/>
          <w:color w:val="840039"/>
        </w:rPr>
      </w:pPr>
      <w:r>
        <w:rPr>
          <w:rFonts w:ascii="Arial" w:cs="Arial" w:eastAsia="Arial" w:hAnsi="Arial"/>
          <w:sz w:val="31"/>
          <w:szCs w:val="31"/>
          <w:color w:val="auto"/>
        </w:rPr>
        <w:t>Fiber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-2236470</wp:posOffset>
            </wp:positionV>
            <wp:extent cx="7095490" cy="53219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124" w:lineRule="exact"/>
        <w:rPr>
          <w:sz w:val="20"/>
          <w:szCs w:val="20"/>
          <w:color w:val="auto"/>
        </w:rPr>
      </w:pPr>
    </w:p>
    <w:p>
      <w:pPr>
        <w:ind w:left="820" w:hanging="261"/>
        <w:spacing w:after="0"/>
        <w:tabs>
          <w:tab w:leader="none" w:pos="820" w:val="left"/>
        </w:tabs>
        <w:numPr>
          <w:ilvl w:val="0"/>
          <w:numId w:val="20"/>
        </w:numPr>
        <w:rPr>
          <w:rFonts w:ascii="Arial" w:cs="Arial" w:eastAsia="Arial" w:hAnsi="Arial"/>
          <w:sz w:val="25"/>
          <w:szCs w:val="25"/>
          <w:color w:val="C0C0C0"/>
        </w:rPr>
      </w:pPr>
      <w:r>
        <w:rPr>
          <w:rFonts w:ascii="Arial" w:cs="Arial" w:eastAsia="Arial" w:hAnsi="Arial"/>
          <w:sz w:val="31"/>
          <w:szCs w:val="31"/>
          <w:color w:val="auto"/>
        </w:rPr>
        <w:t>Route miles: 1,558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380365</wp:posOffset>
            </wp:positionV>
            <wp:extent cx="727075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2">
            <w:col w:w="4620" w:space="720"/>
            <w:col w:w="4940"/>
          </w:cols>
          <w:pgMar w:left="800" w:top="954" w:right="819" w:bottom="1440" w:gutter="0" w:footer="0" w:header="0"/>
        </w:sectPr>
      </w:pPr>
    </w:p>
    <w:bookmarkStart w:id="25" w:name="page26"/>
    <w:bookmarkEnd w:id="25"/>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Wireline Customers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540" w:type="dxa"/>
        <w:tblCellMar>
          <w:top w:w="0" w:type="dxa"/>
          <w:left w:w="0" w:type="dxa"/>
          <w:bottom w:w="0" w:type="dxa"/>
          <w:right w:w="0" w:type="dxa"/>
        </w:tblCellMar>
      </w:tblPr>
      <w:tr>
        <w:trPr>
          <w:trHeight w:val="335"/>
        </w:trPr>
        <w:tc>
          <w:tcPr>
            <w:tcW w:w="3360" w:type="dxa"/>
            <w:vAlign w:val="bottom"/>
          </w:tcPr>
          <w:p>
            <w:pPr>
              <w:spacing w:after="0"/>
              <w:rPr>
                <w:sz w:val="20"/>
                <w:szCs w:val="20"/>
                <w:color w:val="auto"/>
              </w:rPr>
            </w:pPr>
            <w:r>
              <w:rPr>
                <w:rFonts w:ascii="Arial" w:cs="Arial" w:eastAsia="Arial" w:hAnsi="Arial"/>
                <w:sz w:val="25"/>
                <w:szCs w:val="25"/>
                <w:b w:val="1"/>
                <w:bCs w:val="1"/>
                <w:color w:val="FFFFFF"/>
              </w:rPr>
              <w:t>Access lines (000s)</w:t>
            </w:r>
          </w:p>
        </w:tc>
        <w:tc>
          <w:tcPr>
            <w:tcW w:w="4180" w:type="dxa"/>
            <w:vAlign w:val="bottom"/>
            <w:gridSpan w:val="2"/>
          </w:tcPr>
          <w:p>
            <w:pPr>
              <w:jc w:val="right"/>
              <w:spacing w:after="0"/>
              <w:rPr>
                <w:sz w:val="20"/>
                <w:szCs w:val="20"/>
                <w:color w:val="auto"/>
              </w:rPr>
            </w:pPr>
            <w:r>
              <w:rPr>
                <w:rFonts w:ascii="Arial" w:cs="Arial" w:eastAsia="Arial" w:hAnsi="Arial"/>
                <w:sz w:val="25"/>
                <w:szCs w:val="25"/>
                <w:b w:val="1"/>
                <w:bCs w:val="1"/>
                <w:color w:val="FFFFFF"/>
              </w:rPr>
              <w:t>Internet Customers (000s)</w:t>
            </w:r>
          </w:p>
        </w:tc>
        <w:tc>
          <w:tcPr>
            <w:tcW w:w="0" w:type="dxa"/>
            <w:vAlign w:val="bottom"/>
          </w:tcPr>
          <w:p>
            <w:pPr>
              <w:spacing w:after="0"/>
              <w:rPr>
                <w:sz w:val="1"/>
                <w:szCs w:val="1"/>
                <w:color w:val="auto"/>
              </w:rPr>
            </w:pPr>
          </w:p>
        </w:tc>
      </w:tr>
      <w:tr>
        <w:trPr>
          <w:trHeight w:val="412"/>
        </w:trPr>
        <w:tc>
          <w:tcPr>
            <w:tcW w:w="3360" w:type="dxa"/>
            <w:vAlign w:val="bottom"/>
            <w:vMerge w:val="restart"/>
          </w:tcPr>
          <w:p>
            <w:pPr>
              <w:ind w:left="240"/>
              <w:spacing w:after="0"/>
              <w:rPr>
                <w:sz w:val="20"/>
                <w:szCs w:val="20"/>
                <w:color w:val="auto"/>
              </w:rPr>
            </w:pPr>
            <w:r>
              <w:rPr>
                <w:rFonts w:ascii="Arial" w:cs="Arial" w:eastAsia="Arial" w:hAnsi="Arial"/>
                <w:sz w:val="25"/>
                <w:szCs w:val="25"/>
                <w:color w:val="auto"/>
              </w:rPr>
              <w:t>-0.2% CAGR</w:t>
            </w:r>
          </w:p>
        </w:tc>
        <w:tc>
          <w:tcPr>
            <w:tcW w:w="3200" w:type="dxa"/>
            <w:vAlign w:val="bottom"/>
          </w:tcPr>
          <w:p>
            <w:pPr>
              <w:jc w:val="right"/>
              <w:ind w:right="660"/>
              <w:spacing w:after="0"/>
              <w:rPr>
                <w:sz w:val="20"/>
                <w:szCs w:val="20"/>
                <w:color w:val="auto"/>
              </w:rPr>
            </w:pPr>
            <w:r>
              <w:rPr>
                <w:rFonts w:ascii="Arial" w:cs="Arial" w:eastAsia="Arial" w:hAnsi="Arial"/>
                <w:sz w:val="15"/>
                <w:szCs w:val="15"/>
                <w:color w:val="auto"/>
              </w:rPr>
              <w:t>1</w:t>
            </w:r>
          </w:p>
        </w:tc>
        <w:tc>
          <w:tcPr>
            <w:tcW w:w="980" w:type="dxa"/>
            <w:vAlign w:val="bottom"/>
          </w:tcPr>
          <w:p>
            <w:pPr>
              <w:jc w:val="right"/>
              <w:ind w:right="10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3"/>
        </w:trPr>
        <w:tc>
          <w:tcPr>
            <w:tcW w:w="3360" w:type="dxa"/>
            <w:vAlign w:val="bottom"/>
            <w:vMerge w:val="continue"/>
          </w:tcPr>
          <w:p>
            <w:pPr>
              <w:spacing w:after="0"/>
              <w:rPr>
                <w:sz w:val="16"/>
                <w:szCs w:val="16"/>
                <w:color w:val="auto"/>
              </w:rPr>
            </w:pPr>
          </w:p>
        </w:tc>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3800" w:type="dxa"/>
            <w:vAlign w:val="bottom"/>
          </w:tcPr>
          <w:p>
            <w:pPr>
              <w:spacing w:after="0"/>
              <w:rPr>
                <w:sz w:val="20"/>
                <w:szCs w:val="20"/>
                <w:color w:val="auto"/>
              </w:rPr>
            </w:pPr>
            <w:r>
              <w:rPr>
                <w:rFonts w:ascii="Arial" w:cs="Arial" w:eastAsia="Arial" w:hAnsi="Arial"/>
                <w:sz w:val="16"/>
                <w:szCs w:val="16"/>
                <w:color w:val="auto"/>
              </w:rPr>
              <w:t>NRTC 0.9K access lines acquired 11/2/2009</w:t>
            </w:r>
          </w:p>
        </w:tc>
        <w:tc>
          <w:tcPr>
            <w:tcW w:w="1140" w:type="dxa"/>
            <w:vAlign w:val="bottom"/>
          </w:tcPr>
          <w:p>
            <w:pPr>
              <w:jc w:val="right"/>
              <w:spacing w:after="0"/>
              <w:rPr>
                <w:sz w:val="20"/>
                <w:szCs w:val="20"/>
                <w:color w:val="auto"/>
              </w:rPr>
            </w:pPr>
            <w:r>
              <w:rPr>
                <w:rFonts w:ascii="Arial" w:cs="Arial" w:eastAsia="Arial" w:hAnsi="Arial"/>
                <w:sz w:val="11"/>
                <w:szCs w:val="11"/>
                <w:color w:val="auto"/>
              </w:rPr>
              <w:t>1</w:t>
            </w:r>
          </w:p>
        </w:tc>
        <w:tc>
          <w:tcPr>
            <w:tcW w:w="3000" w:type="dxa"/>
            <w:vAlign w:val="bottom"/>
          </w:tcPr>
          <w:p>
            <w:pPr>
              <w:ind w:left="20"/>
              <w:spacing w:after="0"/>
              <w:rPr>
                <w:sz w:val="20"/>
                <w:szCs w:val="20"/>
                <w:color w:val="auto"/>
              </w:rPr>
            </w:pPr>
            <w:r>
              <w:rPr>
                <w:rFonts w:ascii="Arial" w:cs="Arial" w:eastAsia="Arial" w:hAnsi="Arial"/>
                <w:sz w:val="16"/>
                <w:szCs w:val="16"/>
                <w:color w:val="auto"/>
              </w:rPr>
              <w:t>DSL only available within LEC area</w:t>
            </w:r>
          </w:p>
        </w:tc>
      </w:tr>
      <w:tr>
        <w:trPr>
          <w:trHeight w:val="197"/>
        </w:trPr>
        <w:tc>
          <w:tcPr>
            <w:tcW w:w="38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w:t>
            </w:r>
          </w:p>
        </w:tc>
        <w:tc>
          <w:tcPr>
            <w:tcW w:w="3000" w:type="dxa"/>
            <w:vAlign w:val="bottom"/>
          </w:tcPr>
          <w:p>
            <w:pPr>
              <w:ind w:left="20"/>
              <w:spacing w:after="0"/>
              <w:rPr>
                <w:sz w:val="20"/>
                <w:szCs w:val="20"/>
                <w:color w:val="auto"/>
              </w:rPr>
            </w:pPr>
            <w:r>
              <w:rPr>
                <w:rFonts w:ascii="Arial" w:cs="Arial" w:eastAsia="Arial" w:hAnsi="Arial"/>
                <w:sz w:val="16"/>
                <w:szCs w:val="16"/>
                <w:color w:val="auto"/>
                <w:w w:val="87"/>
              </w:rPr>
              <w:t>Dial-up offered inside and outside the LEC area</w:t>
            </w:r>
          </w:p>
        </w:tc>
      </w:tr>
    </w:tbl>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26" w:name="page27"/>
    <w:bookmarkEnd w:id="26"/>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Wireline Overview</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338" w:lineRule="exact"/>
        <w:rPr>
          <w:sz w:val="20"/>
          <w:szCs w:val="20"/>
          <w:color w:val="auto"/>
        </w:rPr>
      </w:pPr>
    </w:p>
    <w:p>
      <w:pPr>
        <w:ind w:left="1500"/>
        <w:spacing w:after="0"/>
        <w:tabs>
          <w:tab w:leader="none" w:pos="6680" w:val="left"/>
        </w:tabs>
        <w:rPr>
          <w:sz w:val="20"/>
          <w:szCs w:val="20"/>
          <w:color w:val="auto"/>
        </w:rPr>
      </w:pPr>
      <w:r>
        <w:rPr>
          <w:rFonts w:ascii="Arial" w:cs="Arial" w:eastAsia="Arial" w:hAnsi="Arial"/>
          <w:sz w:val="25"/>
          <w:szCs w:val="25"/>
          <w:b w:val="1"/>
          <w:bCs w:val="1"/>
          <w:color w:val="FFFFFF"/>
        </w:rPr>
        <w:t>Revenue ($ millions)</w:t>
      </w:r>
      <w:r>
        <w:rPr>
          <w:sz w:val="20"/>
          <w:szCs w:val="20"/>
          <w:color w:val="auto"/>
        </w:rPr>
        <w:tab/>
      </w:r>
      <w:r>
        <w:rPr>
          <w:rFonts w:ascii="Arial" w:cs="Arial" w:eastAsia="Arial" w:hAnsi="Arial"/>
          <w:sz w:val="23"/>
          <w:szCs w:val="23"/>
          <w:b w:val="1"/>
          <w:bCs w:val="1"/>
          <w:color w:val="FFFFFF"/>
        </w:rPr>
        <w:t>OIBDA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27" w:name="page28"/>
    <w:bookmarkEnd w:id="27"/>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34"/>
          <w:szCs w:val="34"/>
          <w:color w:val="auto"/>
        </w:rPr>
        <w:t>Introduction and Shentel Overview</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PCS</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Wireline</w:t>
      </w: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34"/>
          <w:szCs w:val="34"/>
          <w:color w:val="auto"/>
        </w:rPr>
        <w:t>Overview of Cable</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34"/>
          <w:szCs w:val="34"/>
          <w:color w:val="840039"/>
        </w:rPr>
        <w:t>Financials - Adele Skolits -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926" w:type="dxa"/>
        <w:tblCellMar>
          <w:top w:w="0" w:type="dxa"/>
          <w:left w:w="0" w:type="dxa"/>
          <w:bottom w:w="0" w:type="dxa"/>
          <w:right w:w="0" w:type="dxa"/>
        </w:tblCellMar>
      </w:tblPr>
      <w:tr>
        <w:trPr>
          <w:trHeight w:val="291"/>
        </w:trPr>
        <w:tc>
          <w:tcPr>
            <w:tcW w:w="2480" w:type="dxa"/>
            <w:vAlign w:val="bottom"/>
            <w:gridSpan w:val="2"/>
            <w:vMerge w:val="restart"/>
          </w:tcPr>
          <w:p>
            <w:pPr>
              <w:ind w:left="200"/>
              <w:spacing w:after="0"/>
              <w:rPr>
                <w:sz w:val="20"/>
                <w:szCs w:val="20"/>
                <w:color w:val="auto"/>
              </w:rPr>
            </w:pPr>
            <w:r>
              <w:rPr>
                <w:rFonts w:ascii="Arial" w:cs="Arial" w:eastAsia="Arial" w:hAnsi="Arial"/>
                <w:sz w:val="25"/>
                <w:szCs w:val="25"/>
                <w:b w:val="1"/>
                <w:bCs w:val="1"/>
                <w:color w:val="FFFFFF"/>
                <w:w w:val="92"/>
              </w:rPr>
              <w:t>Revenue ($ millions)</w:t>
            </w:r>
          </w:p>
        </w:tc>
        <w:tc>
          <w:tcPr>
            <w:tcW w:w="6200" w:type="dxa"/>
            <w:vAlign w:val="bottom"/>
          </w:tcPr>
          <w:p>
            <w:pPr>
              <w:jc w:val="center"/>
              <w:ind w:left="1756"/>
              <w:spacing w:after="0"/>
              <w:rPr>
                <w:sz w:val="20"/>
                <w:szCs w:val="20"/>
                <w:color w:val="auto"/>
              </w:rPr>
            </w:pPr>
            <w:r>
              <w:rPr>
                <w:rFonts w:ascii="Arial" w:cs="Arial" w:eastAsia="Arial" w:hAnsi="Arial"/>
                <w:sz w:val="25"/>
                <w:szCs w:val="25"/>
                <w:b w:val="1"/>
                <w:bCs w:val="1"/>
                <w:color w:val="FFFFFF"/>
                <w:w w:val="90"/>
              </w:rPr>
              <w:t>Net Income from Continuing Operations</w:t>
            </w:r>
          </w:p>
        </w:tc>
        <w:tc>
          <w:tcPr>
            <w:tcW w:w="0" w:type="dxa"/>
            <w:vAlign w:val="bottom"/>
          </w:tcPr>
          <w:p>
            <w:pPr>
              <w:spacing w:after="0"/>
              <w:rPr>
                <w:sz w:val="1"/>
                <w:szCs w:val="1"/>
                <w:color w:val="auto"/>
              </w:rPr>
            </w:pPr>
          </w:p>
        </w:tc>
      </w:tr>
      <w:tr>
        <w:trPr>
          <w:trHeight w:val="172"/>
        </w:trPr>
        <w:tc>
          <w:tcPr>
            <w:tcW w:w="2480" w:type="dxa"/>
            <w:vAlign w:val="bottom"/>
            <w:gridSpan w:val="2"/>
            <w:vMerge w:val="continue"/>
          </w:tcPr>
          <w:p>
            <w:pPr>
              <w:spacing w:after="0"/>
              <w:rPr>
                <w:sz w:val="14"/>
                <w:szCs w:val="14"/>
                <w:color w:val="auto"/>
              </w:rPr>
            </w:pPr>
          </w:p>
        </w:tc>
        <w:tc>
          <w:tcPr>
            <w:tcW w:w="6200" w:type="dxa"/>
            <w:vAlign w:val="bottom"/>
            <w:vMerge w:val="restart"/>
          </w:tcPr>
          <w:p>
            <w:pPr>
              <w:jc w:val="center"/>
              <w:ind w:left="1756"/>
              <w:spacing w:after="0"/>
              <w:rPr>
                <w:sz w:val="20"/>
                <w:szCs w:val="20"/>
                <w:color w:val="auto"/>
              </w:rPr>
            </w:pPr>
            <w:r>
              <w:rPr>
                <w:rFonts w:ascii="Arial" w:cs="Arial" w:eastAsia="Arial" w:hAnsi="Arial"/>
                <w:sz w:val="25"/>
                <w:szCs w:val="25"/>
                <w:b w:val="1"/>
                <w:bCs w:val="1"/>
                <w:color w:val="FFFFFF"/>
                <w:w w:val="90"/>
              </w:rPr>
              <w:t>($ millions)</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9"/>
        </w:trPr>
        <w:tc>
          <w:tcPr>
            <w:tcW w:w="1160" w:type="dxa"/>
            <w:vAlign w:val="bottom"/>
          </w:tcPr>
          <w:p>
            <w:pPr>
              <w:spacing w:after="0"/>
              <w:rPr>
                <w:sz w:val="20"/>
                <w:szCs w:val="20"/>
                <w:color w:val="auto"/>
              </w:rPr>
            </w:pPr>
            <w:r>
              <w:rPr>
                <w:rFonts w:ascii="Arial" w:cs="Arial" w:eastAsia="Arial" w:hAnsi="Arial"/>
                <w:sz w:val="25"/>
                <w:szCs w:val="25"/>
                <w:color w:val="auto"/>
              </w:rPr>
              <w:t>Wireless</w:t>
            </w:r>
          </w:p>
        </w:tc>
        <w:tc>
          <w:tcPr>
            <w:tcW w:w="1320" w:type="dxa"/>
            <w:vAlign w:val="bottom"/>
          </w:tcPr>
          <w:p>
            <w:pPr>
              <w:ind w:left="300"/>
              <w:spacing w:after="0"/>
              <w:rPr>
                <w:sz w:val="20"/>
                <w:szCs w:val="20"/>
                <w:color w:val="auto"/>
              </w:rPr>
            </w:pPr>
            <w:r>
              <w:rPr>
                <w:rFonts w:ascii="Arial" w:cs="Arial" w:eastAsia="Arial" w:hAnsi="Arial"/>
                <w:sz w:val="25"/>
                <w:szCs w:val="25"/>
                <w:color w:val="auto"/>
              </w:rPr>
              <w:t>Cable</w:t>
            </w:r>
          </w:p>
        </w:tc>
        <w:tc>
          <w:tcPr>
            <w:tcW w:w="6200" w:type="dxa"/>
            <w:vAlign w:val="bottom"/>
          </w:tcPr>
          <w:p>
            <w:pPr>
              <w:ind w:left="120"/>
              <w:spacing w:after="0"/>
              <w:rPr>
                <w:sz w:val="20"/>
                <w:szCs w:val="20"/>
                <w:color w:val="auto"/>
              </w:rPr>
            </w:pPr>
            <w:r>
              <w:rPr>
                <w:rFonts w:ascii="Arial" w:cs="Arial" w:eastAsia="Arial" w:hAnsi="Arial"/>
                <w:sz w:val="25"/>
                <w:szCs w:val="25"/>
                <w:color w:val="auto"/>
              </w:rPr>
              <w:t>Wireline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 w:hanging="86"/>
        <w:spacing w:after="0"/>
        <w:tabs>
          <w:tab w:leader="none" w:pos="86"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Shentel Converged Services has been reclassed as discontinued operations. All results have been restated.</w:t>
      </w:r>
    </w:p>
    <w:p>
      <w:pPr>
        <w:jc w:val="right"/>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370205</wp:posOffset>
            </wp:positionV>
            <wp:extent cx="727075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026"/>
          </w:cols>
          <w:pgMar w:left="1054" w:top="1440" w:right="81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800" w:type="dxa"/>
        <w:tblCellMar>
          <w:top w:w="0" w:type="dxa"/>
          <w:left w:w="0" w:type="dxa"/>
          <w:bottom w:w="0" w:type="dxa"/>
          <w:right w:w="0" w:type="dxa"/>
        </w:tblCellMar>
      </w:tblPr>
      <w:tr>
        <w:trPr>
          <w:trHeight w:val="279"/>
        </w:trPr>
        <w:tc>
          <w:tcPr>
            <w:tcW w:w="3820" w:type="dxa"/>
            <w:vAlign w:val="bottom"/>
            <w:vMerge w:val="restart"/>
          </w:tcPr>
          <w:p>
            <w:pPr>
              <w:spacing w:after="0"/>
              <w:rPr>
                <w:sz w:val="20"/>
                <w:szCs w:val="20"/>
                <w:color w:val="auto"/>
              </w:rPr>
            </w:pPr>
            <w:r>
              <w:rPr>
                <w:rFonts w:ascii="Arial" w:cs="Arial" w:eastAsia="Arial" w:hAnsi="Arial"/>
                <w:sz w:val="23"/>
                <w:szCs w:val="23"/>
                <w:b w:val="1"/>
                <w:bCs w:val="1"/>
                <w:color w:val="FFFFFF"/>
              </w:rPr>
              <w:t>Operating Income ($ millions)</w:t>
            </w:r>
          </w:p>
        </w:tc>
        <w:tc>
          <w:tcPr>
            <w:tcW w:w="4960" w:type="dxa"/>
            <w:vAlign w:val="bottom"/>
          </w:tcPr>
          <w:p>
            <w:pPr>
              <w:jc w:val="center"/>
              <w:ind w:left="724"/>
              <w:spacing w:after="0"/>
              <w:rPr>
                <w:sz w:val="20"/>
                <w:szCs w:val="20"/>
                <w:color w:val="auto"/>
              </w:rPr>
            </w:pPr>
            <w:r>
              <w:rPr>
                <w:rFonts w:ascii="Arial" w:cs="Arial" w:eastAsia="Arial" w:hAnsi="Arial"/>
                <w:sz w:val="23"/>
                <w:szCs w:val="23"/>
                <w:b w:val="1"/>
                <w:bCs w:val="1"/>
                <w:color w:val="FFFFFF"/>
                <w:w w:val="92"/>
              </w:rPr>
              <w:t>Operating Income Before Depreciation &amp;</w:t>
            </w:r>
          </w:p>
        </w:tc>
        <w:tc>
          <w:tcPr>
            <w:tcW w:w="0" w:type="dxa"/>
            <w:vAlign w:val="bottom"/>
          </w:tcPr>
          <w:p>
            <w:pPr>
              <w:spacing w:after="0"/>
              <w:rPr>
                <w:sz w:val="1"/>
                <w:szCs w:val="1"/>
                <w:color w:val="auto"/>
              </w:rPr>
            </w:pPr>
          </w:p>
        </w:tc>
      </w:tr>
      <w:tr>
        <w:trPr>
          <w:trHeight w:val="187"/>
        </w:trPr>
        <w:tc>
          <w:tcPr>
            <w:tcW w:w="3820" w:type="dxa"/>
            <w:vAlign w:val="bottom"/>
            <w:vMerge w:val="continue"/>
          </w:tcPr>
          <w:p>
            <w:pPr>
              <w:spacing w:after="0"/>
              <w:rPr>
                <w:sz w:val="16"/>
                <w:szCs w:val="16"/>
                <w:color w:val="auto"/>
              </w:rPr>
            </w:pPr>
          </w:p>
        </w:tc>
        <w:tc>
          <w:tcPr>
            <w:tcW w:w="4960" w:type="dxa"/>
            <w:vAlign w:val="bottom"/>
            <w:vMerge w:val="restart"/>
          </w:tcPr>
          <w:p>
            <w:pPr>
              <w:jc w:val="center"/>
              <w:ind w:left="704"/>
              <w:spacing w:after="0"/>
              <w:rPr>
                <w:sz w:val="20"/>
                <w:szCs w:val="20"/>
                <w:color w:val="auto"/>
              </w:rPr>
            </w:pPr>
            <w:r>
              <w:rPr>
                <w:rFonts w:ascii="Arial" w:cs="Arial" w:eastAsia="Arial" w:hAnsi="Arial"/>
                <w:sz w:val="23"/>
                <w:szCs w:val="23"/>
                <w:b w:val="1"/>
                <w:bCs w:val="1"/>
                <w:color w:val="FFFFFF"/>
                <w:w w:val="93"/>
              </w:rPr>
              <w:t>Amortization ($ millions)</w:t>
            </w: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4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Shentel Converged Services has been reclassed as discontinued operations. All results have been restated.</w:t>
      </w:r>
    </w:p>
    <w:p>
      <w:pPr>
        <w:jc w:val="right"/>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370205</wp:posOffset>
            </wp:positionV>
            <wp:extent cx="727075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020"/>
          </w:cols>
          <w:pgMar w:left="1060" w:top="1440" w:right="819" w:bottom="1440" w:gutter="0" w:footer="0" w:header="0"/>
        </w:sectPr>
      </w:pPr>
    </w:p>
    <w:bookmarkStart w:id="30" w:name="page31"/>
    <w:bookmarkEnd w:id="30"/>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Key Financial Results - Consolidated</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87" w:lineRule="exact"/>
        <w:rPr>
          <w:sz w:val="20"/>
          <w:szCs w:val="20"/>
          <w:color w:val="auto"/>
        </w:rPr>
      </w:pPr>
    </w:p>
    <w:tbl>
      <w:tblPr>
        <w:tblLayout w:type="fixed"/>
        <w:tblInd w:w="1280" w:type="dxa"/>
        <w:tblCellMar>
          <w:top w:w="0" w:type="dxa"/>
          <w:left w:w="0" w:type="dxa"/>
          <w:bottom w:w="0" w:type="dxa"/>
          <w:right w:w="0" w:type="dxa"/>
        </w:tblCellMar>
      </w:tblPr>
      <w:tr>
        <w:trPr>
          <w:trHeight w:val="291"/>
        </w:trPr>
        <w:tc>
          <w:tcPr>
            <w:tcW w:w="4080" w:type="dxa"/>
            <w:vAlign w:val="bottom"/>
          </w:tcPr>
          <w:p>
            <w:pPr>
              <w:jc w:val="center"/>
              <w:ind w:right="1276"/>
              <w:spacing w:after="0"/>
              <w:rPr>
                <w:sz w:val="20"/>
                <w:szCs w:val="20"/>
                <w:color w:val="auto"/>
              </w:rPr>
            </w:pPr>
            <w:r>
              <w:rPr>
                <w:rFonts w:ascii="Arial" w:cs="Arial" w:eastAsia="Arial" w:hAnsi="Arial"/>
                <w:sz w:val="25"/>
                <w:szCs w:val="25"/>
                <w:b w:val="1"/>
                <w:bCs w:val="1"/>
                <w:color w:val="FFFFFF"/>
                <w:w w:val="90"/>
              </w:rPr>
              <w:t>Earnings Per Share</w:t>
            </w:r>
          </w:p>
        </w:tc>
        <w:tc>
          <w:tcPr>
            <w:tcW w:w="3460" w:type="dxa"/>
            <w:vAlign w:val="bottom"/>
          </w:tcPr>
          <w:p>
            <w:pPr>
              <w:jc w:val="center"/>
              <w:ind w:left="1256"/>
              <w:spacing w:after="0"/>
              <w:rPr>
                <w:sz w:val="20"/>
                <w:szCs w:val="20"/>
                <w:color w:val="auto"/>
              </w:rPr>
            </w:pPr>
            <w:r>
              <w:rPr>
                <w:rFonts w:ascii="Arial" w:cs="Arial" w:eastAsia="Arial" w:hAnsi="Arial"/>
                <w:sz w:val="25"/>
                <w:szCs w:val="25"/>
                <w:b w:val="1"/>
                <w:bCs w:val="1"/>
                <w:color w:val="FFFFFF"/>
                <w:w w:val="90"/>
              </w:rPr>
              <w:t>Earnings Per Share</w:t>
            </w:r>
          </w:p>
        </w:tc>
      </w:tr>
      <w:tr>
        <w:trPr>
          <w:trHeight w:val="464"/>
        </w:trPr>
        <w:tc>
          <w:tcPr>
            <w:tcW w:w="4080" w:type="dxa"/>
            <w:vAlign w:val="bottom"/>
          </w:tcPr>
          <w:p>
            <w:pPr>
              <w:jc w:val="center"/>
              <w:ind w:right="1276"/>
              <w:spacing w:after="0"/>
              <w:rPr>
                <w:sz w:val="20"/>
                <w:szCs w:val="20"/>
                <w:color w:val="auto"/>
              </w:rPr>
            </w:pPr>
            <w:r>
              <w:rPr>
                <w:rFonts w:ascii="Arial" w:cs="Arial" w:eastAsia="Arial" w:hAnsi="Arial"/>
                <w:sz w:val="25"/>
                <w:szCs w:val="25"/>
                <w:b w:val="1"/>
                <w:bCs w:val="1"/>
                <w:color w:val="FFFFFF"/>
                <w:w w:val="89"/>
              </w:rPr>
              <w:t>- Continuing Operations</w:t>
            </w:r>
            <w:r>
              <w:rPr>
                <w:rFonts w:ascii="Arial" w:cs="Arial" w:eastAsia="Arial" w:hAnsi="Arial"/>
                <w:sz w:val="34"/>
                <w:szCs w:val="34"/>
                <w:b w:val="1"/>
                <w:bCs w:val="1"/>
                <w:color w:val="FFFFFF"/>
                <w:w w:val="89"/>
                <w:vertAlign w:val="superscript"/>
              </w:rPr>
              <w:t>1</w:t>
            </w:r>
          </w:p>
        </w:tc>
        <w:tc>
          <w:tcPr>
            <w:tcW w:w="3460" w:type="dxa"/>
            <w:vAlign w:val="bottom"/>
          </w:tcPr>
          <w:p>
            <w:pPr>
              <w:jc w:val="center"/>
              <w:ind w:left="1256"/>
              <w:spacing w:after="0"/>
              <w:rPr>
                <w:sz w:val="20"/>
                <w:szCs w:val="20"/>
                <w:color w:val="auto"/>
              </w:rPr>
            </w:pPr>
            <w:r>
              <w:rPr>
                <w:rFonts w:ascii="Arial" w:cs="Arial" w:eastAsia="Arial" w:hAnsi="Arial"/>
                <w:sz w:val="25"/>
                <w:szCs w:val="25"/>
                <w:b w:val="1"/>
                <w:bCs w:val="1"/>
                <w:color w:val="FFFFFF"/>
                <w:w w:val="95"/>
              </w:rPr>
              <w:t>- Net Income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rFonts w:ascii="Arial" w:cs="Arial" w:eastAsia="Arial" w:hAnsi="Arial"/>
          <w:sz w:val="15"/>
          <w:szCs w:val="15"/>
          <w:color w:val="auto"/>
        </w:rPr>
        <w:t>2</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Shentel Converged Services has been reclassed as discontinued operations. All results have been restated.</w:t>
      </w:r>
    </w:p>
    <w:p>
      <w:pPr>
        <w:ind w:left="60"/>
        <w:spacing w:after="0" w:line="187" w:lineRule="auto"/>
        <w:rPr>
          <w:sz w:val="20"/>
          <w:szCs w:val="20"/>
          <w:color w:val="auto"/>
        </w:rPr>
      </w:pPr>
      <w:r>
        <w:rPr>
          <w:rFonts w:ascii="Arial" w:cs="Arial" w:eastAsia="Arial" w:hAnsi="Arial"/>
          <w:sz w:val="13"/>
          <w:szCs w:val="13"/>
          <w:color w:val="auto"/>
          <w:vertAlign w:val="superscript"/>
        </w:rPr>
        <w:t>2</w:t>
      </w:r>
      <w:r>
        <w:rPr>
          <w:rFonts w:ascii="Arial" w:cs="Arial" w:eastAsia="Arial" w:hAnsi="Arial"/>
          <w:sz w:val="10"/>
          <w:szCs w:val="10"/>
          <w:color w:val="auto"/>
        </w:rPr>
        <w:t xml:space="preserve"> Includes $10.7 million write down of Converged Service Business Unit ($0.45 per share) in Q1 2009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370205</wp:posOffset>
            </wp:positionV>
            <wp:extent cx="727075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66" w:right="819" w:bottom="1440" w:gutter="0" w:footer="0" w:header="0"/>
        </w:sectPr>
      </w:pPr>
    </w:p>
    <w:bookmarkStart w:id="31" w:name="page32"/>
    <w:bookmarkEnd w:id="31"/>
    <w:p>
      <w:pPr>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Total Capex</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FFFFFF"/>
        </w:rPr>
        <w:t>Capital Expenditures by Segment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954" w:right="81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880"/>
        <w:spacing w:after="0"/>
        <w:rPr>
          <w:sz w:val="20"/>
          <w:szCs w:val="20"/>
          <w:color w:val="auto"/>
        </w:rPr>
      </w:pPr>
      <w:r>
        <w:rPr>
          <w:rFonts w:ascii="Arial" w:cs="Arial" w:eastAsia="Arial" w:hAnsi="Arial"/>
          <w:sz w:val="112"/>
          <w:szCs w:val="112"/>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380365</wp:posOffset>
            </wp:positionV>
            <wp:extent cx="727075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60"/>
        <w:spacing w:after="0"/>
        <w:rPr>
          <w:sz w:val="20"/>
          <w:szCs w:val="20"/>
          <w:color w:val="auto"/>
        </w:rPr>
      </w:pPr>
      <w:r>
        <w:rPr>
          <w:rFonts w:ascii="Arial" w:cs="Arial" w:eastAsia="Arial" w:hAnsi="Arial"/>
          <w:sz w:val="112"/>
          <w:szCs w:val="112"/>
          <w:b w:val="1"/>
          <w:bCs w:val="1"/>
          <w:color w:val="840039"/>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380365</wp:posOffset>
            </wp:positionV>
            <wp:extent cx="727075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9640"/>
          </w:cols>
          <w:pgMar w:left="1440" w:top="1440" w:right="819" w:bottom="1440" w:gutter="0" w:footer="0" w:header="0"/>
        </w:sectPr>
      </w:pPr>
    </w:p>
    <w:bookmarkStart w:id="34" w:name="page35"/>
    <w:bookmarkEnd w:id="34"/>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Non-GAAP Financial Measure - Billed Revenue per Subscriber</w:t>
      </w:r>
    </w:p>
    <w:p>
      <w:pPr>
        <w:spacing w:after="0" w:line="2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Period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4" w:right="819" w:bottom="1440" w:gutter="0" w:footer="0" w:header="0"/>
        </w:sectPr>
      </w:pPr>
    </w:p>
    <w:bookmarkStart w:id="35" w:name="page36"/>
    <w:bookmarkEnd w:id="35"/>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Non-GAAP Financial Measure - OIBDA</w:t>
      </w:r>
    </w:p>
    <w:p>
      <w:pPr>
        <w:spacing w:after="0" w:line="2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12/31/2009</w:t>
      </w: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276"/>
        </w:trPr>
        <w:tc>
          <w:tcPr>
            <w:tcW w:w="30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93"/>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22"/>
                <w:szCs w:val="22"/>
                <w:color w:val="auto"/>
                <w:w w:val="87"/>
              </w:rPr>
              <w:t>Wireless</w:t>
            </w:r>
          </w:p>
        </w:tc>
        <w:tc>
          <w:tcPr>
            <w:tcW w:w="3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22"/>
                <w:szCs w:val="22"/>
                <w:color w:val="auto"/>
                <w:w w:val="93"/>
              </w:rPr>
              <w:t>Wireline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102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00" w:type="dxa"/>
            <w:vAlign w:val="bottom"/>
            <w:gridSpan w:val="3"/>
          </w:tcPr>
          <w:p>
            <w:pPr>
              <w:jc w:val="right"/>
              <w:ind w:right="200"/>
              <w:spacing w:after="0"/>
              <w:rPr>
                <w:sz w:val="20"/>
                <w:szCs w:val="20"/>
                <w:color w:val="auto"/>
              </w:rPr>
            </w:pPr>
            <w:r>
              <w:rPr>
                <w:rFonts w:ascii="Arial" w:cs="Arial" w:eastAsia="Arial" w:hAnsi="Arial"/>
                <w:sz w:val="22"/>
                <w:szCs w:val="22"/>
                <w:color w:val="auto"/>
                <w:w w:val="99"/>
              </w:rPr>
              <w:t>Consolidated</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2"/>
                <w:szCs w:val="22"/>
                <w:color w:val="auto"/>
                <w:w w:val="98"/>
              </w:rPr>
              <w:t>$40,175</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$12,576</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($6,070)</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($3,854)</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$42,827</w:t>
            </w:r>
          </w:p>
        </w:tc>
      </w:tr>
      <w:tr>
        <w:trPr>
          <w:trHeight w:val="372"/>
        </w:trPr>
        <w:tc>
          <w:tcPr>
            <w:tcW w:w="30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20,293</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8,317</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3,700</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320</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32,630</w:t>
            </w:r>
          </w:p>
        </w:tc>
      </w:tr>
      <w:tr>
        <w:trPr>
          <w:trHeight w:val="99"/>
        </w:trPr>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OIBDA</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$60,468</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$20,893</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($2,370)</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($3,534)</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$75,457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4" w:right="819" w:bottom="1440" w:gutter="0" w:footer="0" w:header="0"/>
        </w:sectPr>
      </w:pPr>
    </w:p>
    <w:bookmarkStart w:id="36" w:name="page37"/>
    <w:bookmarkEnd w:id="36"/>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Non-GAAP Financial Measure - OIBDA</w:t>
      </w:r>
    </w:p>
    <w:p>
      <w:pPr>
        <w:spacing w:after="0" w:line="2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12/31/2008</w:t>
      </w: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276"/>
        </w:trPr>
        <w:tc>
          <w:tcPr>
            <w:tcW w:w="30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93"/>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22"/>
                <w:szCs w:val="22"/>
                <w:color w:val="auto"/>
                <w:w w:val="87"/>
              </w:rPr>
              <w:t>Wireless</w:t>
            </w:r>
          </w:p>
        </w:tc>
        <w:tc>
          <w:tcPr>
            <w:tcW w:w="3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22"/>
                <w:szCs w:val="22"/>
                <w:color w:val="auto"/>
                <w:w w:val="93"/>
              </w:rPr>
              <w:t>Wireline</w:t>
            </w: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102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00" w:type="dxa"/>
            <w:vAlign w:val="bottom"/>
            <w:gridSpan w:val="3"/>
          </w:tcPr>
          <w:p>
            <w:pPr>
              <w:jc w:val="right"/>
              <w:ind w:right="200"/>
              <w:spacing w:after="0"/>
              <w:rPr>
                <w:sz w:val="20"/>
                <w:szCs w:val="20"/>
                <w:color w:val="auto"/>
              </w:rPr>
            </w:pPr>
            <w:r>
              <w:rPr>
                <w:rFonts w:ascii="Arial" w:cs="Arial" w:eastAsia="Arial" w:hAnsi="Arial"/>
                <w:sz w:val="22"/>
                <w:szCs w:val="22"/>
                <w:color w:val="auto"/>
                <w:w w:val="99"/>
              </w:rPr>
              <w:t>Consolidated</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2"/>
                <w:szCs w:val="22"/>
                <w:color w:val="auto"/>
                <w:w w:val="98"/>
              </w:rPr>
              <w:t>$35,877</w:t>
            </w: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$14,749</w:t>
            </w:r>
          </w:p>
        </w:tc>
        <w:tc>
          <w:tcPr>
            <w:tcW w:w="800" w:type="dxa"/>
            <w:vAlign w:val="bottom"/>
            <w:gridSpan w:val="2"/>
          </w:tcPr>
          <w:p>
            <w:pPr>
              <w:jc w:val="right"/>
              <w:ind w:right="160"/>
              <w:spacing w:after="0"/>
              <w:rPr>
                <w:sz w:val="20"/>
                <w:szCs w:val="20"/>
                <w:color w:val="auto"/>
              </w:rPr>
            </w:pPr>
            <w:r>
              <w:rPr>
                <w:rFonts w:ascii="Arial" w:cs="Arial" w:eastAsia="Arial" w:hAnsi="Arial"/>
                <w:sz w:val="22"/>
                <w:szCs w:val="22"/>
                <w:color w:val="auto"/>
                <w:w w:val="97"/>
              </w:rPr>
              <w:t>($916)</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($4,499)</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$45,211</w:t>
            </w:r>
          </w:p>
        </w:tc>
      </w:tr>
      <w:tr>
        <w:trPr>
          <w:trHeight w:val="372"/>
        </w:trPr>
        <w:tc>
          <w:tcPr>
            <w:tcW w:w="30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17,450</w:t>
            </w: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7,666</w:t>
            </w:r>
          </w:p>
        </w:tc>
        <w:tc>
          <w:tcPr>
            <w:tcW w:w="800" w:type="dxa"/>
            <w:vAlign w:val="bottom"/>
            <w:gridSpan w:val="2"/>
          </w:tcPr>
          <w:p>
            <w:pPr>
              <w:jc w:val="right"/>
              <w:ind w:right="160"/>
              <w:spacing w:after="0"/>
              <w:rPr>
                <w:sz w:val="20"/>
                <w:szCs w:val="20"/>
                <w:color w:val="auto"/>
              </w:rPr>
            </w:pPr>
            <w:r>
              <w:rPr>
                <w:rFonts w:ascii="Arial" w:cs="Arial" w:eastAsia="Arial" w:hAnsi="Arial"/>
                <w:sz w:val="22"/>
                <w:szCs w:val="22"/>
                <w:color w:val="auto"/>
              </w:rPr>
              <w:t>1,250</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304</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26,670</w:t>
            </w:r>
          </w:p>
        </w:tc>
      </w:tr>
      <w:tr>
        <w:trPr>
          <w:trHeight w:val="99"/>
        </w:trPr>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OIBDA</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$53,327</w:t>
            </w: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$22,415</w:t>
            </w:r>
          </w:p>
        </w:tc>
        <w:tc>
          <w:tcPr>
            <w:tcW w:w="800" w:type="dxa"/>
            <w:vAlign w:val="bottom"/>
            <w:gridSpan w:val="2"/>
          </w:tcPr>
          <w:p>
            <w:pPr>
              <w:jc w:val="right"/>
              <w:ind w:right="160"/>
              <w:spacing w:after="0"/>
              <w:rPr>
                <w:sz w:val="20"/>
                <w:szCs w:val="20"/>
                <w:color w:val="auto"/>
              </w:rPr>
            </w:pPr>
            <w:r>
              <w:rPr>
                <w:rFonts w:ascii="Arial" w:cs="Arial" w:eastAsia="Arial" w:hAnsi="Arial"/>
                <w:sz w:val="22"/>
                <w:szCs w:val="22"/>
                <w:color w:val="auto"/>
              </w:rPr>
              <w:t>$334</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($4,195)</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$71,881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4" w:right="819" w:bottom="1440" w:gutter="0" w:footer="0" w:header="0"/>
        </w:sectPr>
      </w:pPr>
    </w:p>
    <w:bookmarkStart w:id="37" w:name="page38"/>
    <w:bookmarkEnd w:id="37"/>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Non-GAAP Financial Measure - OIBDA</w:t>
      </w:r>
    </w:p>
    <w:p>
      <w:pPr>
        <w:spacing w:after="0" w:line="25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12 Months Ended 12/31/2007</w:t>
      </w: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276"/>
        </w:trPr>
        <w:tc>
          <w:tcPr>
            <w:tcW w:w="30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93"/>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22"/>
                <w:szCs w:val="22"/>
                <w:color w:val="auto"/>
                <w:w w:val="87"/>
              </w:rPr>
              <w:t>Wireless</w:t>
            </w:r>
          </w:p>
        </w:tc>
        <w:tc>
          <w:tcPr>
            <w:tcW w:w="38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22"/>
                <w:szCs w:val="22"/>
                <w:color w:val="auto"/>
                <w:w w:val="93"/>
              </w:rPr>
              <w:t>Wireline</w:t>
            </w:r>
          </w:p>
        </w:tc>
        <w:tc>
          <w:tcPr>
            <w:tcW w:w="2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Cable</w:t>
            </w:r>
          </w:p>
        </w:tc>
        <w:tc>
          <w:tcPr>
            <w:tcW w:w="102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00" w:type="dxa"/>
            <w:vAlign w:val="bottom"/>
            <w:gridSpan w:val="3"/>
          </w:tcPr>
          <w:p>
            <w:pPr>
              <w:jc w:val="right"/>
              <w:ind w:right="200"/>
              <w:spacing w:after="0"/>
              <w:rPr>
                <w:sz w:val="20"/>
                <w:szCs w:val="20"/>
                <w:color w:val="auto"/>
              </w:rPr>
            </w:pPr>
            <w:r>
              <w:rPr>
                <w:rFonts w:ascii="Arial" w:cs="Arial" w:eastAsia="Arial" w:hAnsi="Arial"/>
                <w:sz w:val="22"/>
                <w:szCs w:val="22"/>
                <w:color w:val="auto"/>
                <w:w w:val="99"/>
              </w:rPr>
              <w:t>Consolidated</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22"/>
                <w:szCs w:val="22"/>
                <w:color w:val="auto"/>
                <w:w w:val="98"/>
              </w:rPr>
              <w:t>$31,024</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$12,428</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($1,813)</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($5,365)</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$36,274</w:t>
            </w:r>
          </w:p>
        </w:tc>
      </w:tr>
      <w:tr>
        <w:trPr>
          <w:trHeight w:val="372"/>
        </w:trPr>
        <w:tc>
          <w:tcPr>
            <w:tcW w:w="30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16,254</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6,138</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1,050</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235</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23,677</w:t>
            </w:r>
          </w:p>
        </w:tc>
      </w:tr>
      <w:tr>
        <w:trPr>
          <w:trHeight w:val="99"/>
        </w:trPr>
        <w:tc>
          <w:tcPr>
            <w:tcW w:w="30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05"/>
        </w:trPr>
        <w:tc>
          <w:tcPr>
            <w:tcW w:w="3060" w:type="dxa"/>
            <w:vAlign w:val="bottom"/>
          </w:tcPr>
          <w:p>
            <w:pPr>
              <w:spacing w:after="0"/>
              <w:rPr>
                <w:sz w:val="20"/>
                <w:szCs w:val="20"/>
                <w:color w:val="auto"/>
              </w:rPr>
            </w:pPr>
            <w:r>
              <w:rPr>
                <w:rFonts w:ascii="Arial" w:cs="Arial" w:eastAsia="Arial" w:hAnsi="Arial"/>
                <w:sz w:val="22"/>
                <w:szCs w:val="22"/>
                <w:color w:val="auto"/>
              </w:rPr>
              <w:t>OIBDA</w:t>
            </w:r>
          </w:p>
        </w:tc>
        <w:tc>
          <w:tcPr>
            <w:tcW w:w="1280" w:type="dxa"/>
            <w:vAlign w:val="bottom"/>
            <w:gridSpan w:val="3"/>
          </w:tcPr>
          <w:p>
            <w:pPr>
              <w:jc w:val="right"/>
              <w:ind w:right="340"/>
              <w:spacing w:after="0"/>
              <w:rPr>
                <w:sz w:val="20"/>
                <w:szCs w:val="20"/>
                <w:color w:val="auto"/>
              </w:rPr>
            </w:pPr>
            <w:r>
              <w:rPr>
                <w:rFonts w:ascii="Arial" w:cs="Arial" w:eastAsia="Arial" w:hAnsi="Arial"/>
                <w:sz w:val="22"/>
                <w:szCs w:val="22"/>
                <w:color w:val="auto"/>
              </w:rPr>
              <w:t>$47,278</w:t>
            </w:r>
          </w:p>
        </w:tc>
        <w:tc>
          <w:tcPr>
            <w:tcW w:w="1040" w:type="dxa"/>
            <w:vAlign w:val="bottom"/>
            <w:gridSpan w:val="2"/>
          </w:tcPr>
          <w:p>
            <w:pPr>
              <w:jc w:val="right"/>
              <w:ind w:right="140"/>
              <w:spacing w:after="0"/>
              <w:rPr>
                <w:sz w:val="20"/>
                <w:szCs w:val="20"/>
                <w:color w:val="auto"/>
              </w:rPr>
            </w:pPr>
            <w:r>
              <w:rPr>
                <w:rFonts w:ascii="Arial" w:cs="Arial" w:eastAsia="Arial" w:hAnsi="Arial"/>
                <w:sz w:val="22"/>
                <w:szCs w:val="22"/>
                <w:color w:val="auto"/>
              </w:rPr>
              <w:t>$18,566</w:t>
            </w:r>
          </w:p>
        </w:tc>
        <w:tc>
          <w:tcPr>
            <w:tcW w:w="1040" w:type="dxa"/>
            <w:vAlign w:val="bottom"/>
            <w:gridSpan w:val="3"/>
          </w:tcPr>
          <w:p>
            <w:pPr>
              <w:jc w:val="right"/>
              <w:ind w:right="160"/>
              <w:spacing w:after="0"/>
              <w:rPr>
                <w:sz w:val="20"/>
                <w:szCs w:val="20"/>
                <w:color w:val="auto"/>
              </w:rPr>
            </w:pPr>
            <w:r>
              <w:rPr>
                <w:rFonts w:ascii="Arial" w:cs="Arial" w:eastAsia="Arial" w:hAnsi="Arial"/>
                <w:sz w:val="22"/>
                <w:szCs w:val="22"/>
                <w:color w:val="auto"/>
              </w:rPr>
              <w:t>($763)</w:t>
            </w:r>
          </w:p>
        </w:tc>
        <w:tc>
          <w:tcPr>
            <w:tcW w:w="1020" w:type="dxa"/>
            <w:vAlign w:val="bottom"/>
            <w:gridSpan w:val="3"/>
          </w:tcPr>
          <w:p>
            <w:pPr>
              <w:jc w:val="right"/>
              <w:ind w:right="140"/>
              <w:spacing w:after="0"/>
              <w:rPr>
                <w:sz w:val="20"/>
                <w:szCs w:val="20"/>
                <w:color w:val="auto"/>
              </w:rPr>
            </w:pPr>
            <w:r>
              <w:rPr>
                <w:rFonts w:ascii="Arial" w:cs="Arial" w:eastAsia="Arial" w:hAnsi="Arial"/>
                <w:sz w:val="22"/>
                <w:szCs w:val="22"/>
                <w:color w:val="auto"/>
              </w:rPr>
              <w:t>($5,130)</w:t>
            </w:r>
          </w:p>
        </w:tc>
        <w:tc>
          <w:tcPr>
            <w:tcW w:w="1500" w:type="dxa"/>
            <w:vAlign w:val="bottom"/>
            <w:gridSpan w:val="3"/>
          </w:tcPr>
          <w:p>
            <w:pPr>
              <w:jc w:val="right"/>
              <w:ind w:right="140"/>
              <w:spacing w:after="0"/>
              <w:rPr>
                <w:sz w:val="20"/>
                <w:szCs w:val="20"/>
                <w:color w:val="auto"/>
              </w:rPr>
            </w:pPr>
            <w:r>
              <w:rPr>
                <w:rFonts w:ascii="Arial" w:cs="Arial" w:eastAsia="Arial" w:hAnsi="Arial"/>
                <w:sz w:val="22"/>
                <w:szCs w:val="22"/>
                <w:color w:val="auto"/>
              </w:rPr>
              <w:t>$59,951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380365</wp:posOffset>
            </wp:positionV>
            <wp:extent cx="727075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0750" cy="20320"/>
                    </a:xfrm>
                    <a:prstGeom prst="rect">
                      <a:avLst/>
                    </a:prstGeom>
                    <a:noFill/>
                  </pic:spPr>
                </pic:pic>
              </a:graphicData>
            </a:graphic>
          </wp:anchor>
        </w:drawing>
      </w:r>
    </w:p>
    <w:p>
      <w:pPr>
        <w:sectPr>
          <w:pgSz w:w="11900" w:h="16838" w:orient="portrait"/>
          <w:cols w:equalWidth="0" w:num="1">
            <w:col w:w="10280"/>
          </w:cols>
          <w:pgMar w:left="800" w:top="1154" w:right="819" w:bottom="1440" w:gutter="0" w:footer="0" w:header="0"/>
        </w:sectPr>
      </w:pPr>
    </w:p>
    <w:bookmarkStart w:id="38" w:name="page39"/>
    <w:bookmarkEnd w:id="38"/>
    <w:p>
      <w:pPr>
        <w:spacing w:after="0"/>
        <w:rPr>
          <w:sz w:val="20"/>
          <w:szCs w:val="20"/>
          <w:color w:val="auto"/>
        </w:rPr>
      </w:pPr>
      <w:r>
        <w:rPr>
          <w:rFonts w:ascii="Arial" w:cs="Arial" w:eastAsia="Arial" w:hAnsi="Arial"/>
          <w:sz w:val="62"/>
          <w:szCs w:val="62"/>
          <w:b w:val="1"/>
          <w:bCs w:val="1"/>
          <w:color w:val="9C3F00"/>
        </w:rPr>
        <w:drawing>
          <wp:anchor simplePos="0" relativeHeight="251657728" behindDoc="1" locked="0" layoutInCell="0" allowOverlap="1">
            <wp:simplePos x="0" y="0"/>
            <wp:positionH relativeFrom="page">
              <wp:posOffset>236855</wp:posOffset>
            </wp:positionH>
            <wp:positionV relativeFrom="page">
              <wp:posOffset>170180</wp:posOffset>
            </wp:positionV>
            <wp:extent cx="7095490" cy="53219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095490" cy="5321935"/>
                    </a:xfrm>
                    <a:prstGeom prst="rect">
                      <a:avLst/>
                    </a:prstGeom>
                    <a:noFill/>
                  </pic:spPr>
                </pic:pic>
              </a:graphicData>
            </a:graphic>
          </wp:anchor>
        </w:drawing>
        <w:t>Sidoti</w:t>
      </w:r>
    </w:p>
    <w:p>
      <w:pPr>
        <w:spacing w:after="0" w:line="28" w:lineRule="exact"/>
        <w:rPr>
          <w:sz w:val="20"/>
          <w:szCs w:val="20"/>
          <w:color w:val="auto"/>
        </w:rPr>
      </w:pPr>
    </w:p>
    <w:p>
      <w:pPr>
        <w:spacing w:after="0"/>
        <w:rPr>
          <w:sz w:val="20"/>
          <w:szCs w:val="20"/>
          <w:color w:val="auto"/>
        </w:rPr>
      </w:pPr>
      <w:r>
        <w:rPr>
          <w:rFonts w:ascii="Arial" w:cs="Arial" w:eastAsia="Arial" w:hAnsi="Arial"/>
          <w:sz w:val="42"/>
          <w:szCs w:val="42"/>
          <w:b w:val="1"/>
          <w:bCs w:val="1"/>
          <w:color w:val="auto"/>
        </w:rPr>
        <w:t>Emerging Growth Institutional Investor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42"/>
          <w:szCs w:val="42"/>
          <w:b w:val="1"/>
          <w:bCs w:val="1"/>
          <w:color w:val="auto"/>
        </w:rPr>
        <w:t>March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970915</wp:posOffset>
            </wp:positionV>
            <wp:extent cx="7285355"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5355" cy="20320"/>
                    </a:xfrm>
                    <a:prstGeom prst="rect">
                      <a:avLst/>
                    </a:prstGeom>
                    <a:noFill/>
                  </pic:spPr>
                </pic:pic>
              </a:graphicData>
            </a:graphic>
          </wp:anchor>
        </w:drawing>
      </w:r>
    </w:p>
    <w:sectPr>
      <w:pgSz w:w="11900" w:h="16838" w:orient="portrait"/>
      <w:cols w:equalWidth="0" w:num="1">
        <w:col w:w="10120"/>
      </w:cols>
      <w:pgMar w:left="940" w:top="1016"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n"/>
      <w:numFmt w:val="bullet"/>
      <w:start w:val="1"/>
    </w:lvl>
  </w:abstractNum>
  <w:abstractNum w:abstractNumId="2">
    <w:nsid w:val="66EF438D"/>
    <w:multiLevelType w:val="hybridMultilevel"/>
    <w:lvl w:ilvl="0">
      <w:lvlJc w:val="left"/>
      <w:lvlText w:val="n"/>
      <w:numFmt w:val="bullet"/>
      <w:start w:val="1"/>
    </w:lvl>
  </w:abstractNum>
  <w:abstractNum w:abstractNumId="3">
    <w:nsid w:val="140E0F76"/>
    <w:multiLevelType w:val="hybridMultilevel"/>
    <w:lvl w:ilvl="0">
      <w:lvlJc w:val="left"/>
      <w:lvlText w:val="n"/>
      <w:numFmt w:val="bullet"/>
      <w:start w:val="1"/>
    </w:lvl>
  </w:abstractNum>
  <w:abstractNum w:abstractNumId="4">
    <w:nsid w:val="3352255A"/>
    <w:multiLevelType w:val="hybridMultilevel"/>
    <w:lvl w:ilvl="0">
      <w:lvlJc w:val="left"/>
      <w:lvlText w:val="u"/>
      <w:numFmt w:val="bullet"/>
      <w:start w:val="1"/>
    </w:lvl>
  </w:abstractNum>
  <w:abstractNum w:abstractNumId="5">
    <w:nsid w:val="109CF92E"/>
    <w:multiLevelType w:val="hybridMultilevel"/>
    <w:lvl w:ilvl="0">
      <w:lvlJc w:val="left"/>
      <w:lvlText w:val="n"/>
      <w:numFmt w:val="bullet"/>
      <w:start w:val="1"/>
    </w:lvl>
  </w:abstractNum>
  <w:abstractNum w:abstractNumId="6">
    <w:nsid w:val="DED7263"/>
    <w:multiLevelType w:val="hybridMultilevel"/>
    <w:lvl w:ilvl="0">
      <w:lvlJc w:val="left"/>
      <w:lvlText w:val="u"/>
      <w:numFmt w:val="bullet"/>
      <w:start w:val="1"/>
    </w:lvl>
  </w:abstractNum>
  <w:abstractNum w:abstractNumId="7">
    <w:nsid w:val="7FDCC233"/>
    <w:multiLevelType w:val="hybridMultilevel"/>
    <w:lvl w:ilvl="0">
      <w:lvlJc w:val="left"/>
      <w:lvlText w:val="n"/>
      <w:numFmt w:val="bullet"/>
      <w:start w:val="1"/>
    </w:lvl>
  </w:abstractNum>
  <w:abstractNum w:abstractNumId="8">
    <w:nsid w:val="1BEFD79F"/>
    <w:multiLevelType w:val="hybridMultilevel"/>
    <w:lvl w:ilvl="0">
      <w:lvlJc w:val="left"/>
      <w:lvlText w:val="u"/>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n"/>
      <w:numFmt w:val="bullet"/>
      <w:start w:val="1"/>
    </w:lvl>
  </w:abstractNum>
  <w:abstractNum w:abstractNumId="13">
    <w:nsid w:val="519B500D"/>
    <w:multiLevelType w:val="hybridMultilevel"/>
    <w:lvl w:ilvl="0">
      <w:lvlJc w:val="left"/>
      <w:lvlText w:val="n"/>
      <w:numFmt w:val="bullet"/>
      <w:start w:val="1"/>
    </w:lvl>
  </w:abstractNum>
  <w:abstractNum w:abstractNumId="14">
    <w:nsid w:val="431BD7B7"/>
    <w:multiLevelType w:val="hybridMultilevel"/>
    <w:lvl w:ilvl="0">
      <w:lvlJc w:val="left"/>
      <w:lvlText w:val="u"/>
      <w:numFmt w:val="bullet"/>
      <w:start w:val="1"/>
    </w:lvl>
  </w:abstractNum>
  <w:abstractNum w:abstractNumId="15">
    <w:nsid w:val="3F2DBA31"/>
    <w:multiLevelType w:val="hybridMultilevel"/>
    <w:lvl w:ilvl="0">
      <w:lvlJc w:val="left"/>
      <w:lvlText w:val="n"/>
      <w:numFmt w:val="bullet"/>
      <w:start w:val="1"/>
    </w:lvl>
  </w:abstractNum>
  <w:abstractNum w:abstractNumId="16">
    <w:nsid w:val="7C83E458"/>
    <w:multiLevelType w:val="hybridMultilevel"/>
    <w:lvl w:ilvl="0">
      <w:lvlJc w:val="left"/>
      <w:lvlText w:val="u"/>
      <w:numFmt w:val="bullet"/>
      <w:start w:val="1"/>
    </w:lvl>
  </w:abstractNum>
  <w:abstractNum w:abstractNumId="17">
    <w:nsid w:val="257130A3"/>
    <w:multiLevelType w:val="hybridMultilevel"/>
    <w:lvl w:ilvl="0">
      <w:lvlJc w:val="left"/>
      <w:lvlText w:val="n"/>
      <w:numFmt w:val="bullet"/>
      <w:start w:val="1"/>
    </w:lvl>
  </w:abstractNum>
  <w:abstractNum w:abstractNumId="18">
    <w:nsid w:val="62BBD95A"/>
    <w:multiLevelType w:val="hybridMultilevel"/>
    <w:lvl w:ilvl="0">
      <w:lvlJc w:val="left"/>
      <w:lvlText w:val="n"/>
      <w:numFmt w:val="bullet"/>
      <w:start w:val="1"/>
    </w:lvl>
  </w:abstractNum>
  <w:abstractNum w:abstractNumId="19">
    <w:nsid w:val="436C6125"/>
    <w:multiLevelType w:val="hybridMultilevel"/>
    <w:lvl w:ilvl="0">
      <w:lvlJc w:val="left"/>
      <w:lvlText w:val="u"/>
      <w:numFmt w:val="bullet"/>
      <w:start w:val="1"/>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2019-12-10T03:46:29Z</dcterms:created>
  <dcterms:modified xsi:type="dcterms:W3CDTF">2019-12-10T03:46:29Z</dcterms:modified>
</cp:coreProperties>
</file>