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 C. 20549</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9836" w:type="dxa"/>
        <w:jc w:val="left"/>
        <w:tblInd w:w="0" w:type="dxa"/>
        <w:tblCellMar>
          <w:top w:w="28" w:type="dxa"/>
          <w:left w:w="28" w:type="dxa"/>
          <w:bottom w:w="28" w:type="dxa"/>
          <w:right w:w="28" w:type="dxa"/>
        </w:tblCellMar>
      </w:tblPr>
      <w:tblGrid>
        <w:gridCol w:w="124"/>
        <w:gridCol w:w="109"/>
        <w:gridCol w:w="109"/>
        <w:gridCol w:w="2781"/>
        <w:gridCol w:w="2781"/>
        <w:gridCol w:w="393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2781" w:type="dxa"/>
            <w:tcBorders/>
            <w:shd w:fill="auto" w:val="clear"/>
            <w:vAlign w:val="center"/>
          </w:tcPr>
          <w:p>
            <w:pPr>
              <w:pStyle w:val="TableContents"/>
              <w:spacing w:before="0" w:after="283"/>
              <w:rPr>
                <w:sz w:val="4"/>
                <w:szCs w:val="4"/>
              </w:rPr>
            </w:pPr>
            <w:r>
              <w:rPr>
                <w:sz w:val="4"/>
                <w:szCs w:val="4"/>
              </w:rPr>
            </w:r>
          </w:p>
        </w:tc>
        <w:tc>
          <w:tcPr>
            <w:tcW w:w="393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6"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March 31, 2023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6"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from__________ to __________</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No.: 000-09881 </w:t>
      </w:r>
    </w:p>
    <w:p>
      <w:pPr>
        <w:pStyle w:val="TextBody"/>
        <w:spacing w:before="0" w:after="0"/>
        <w:jc w:val="center"/>
        <w:rPr/>
      </w:pPr>
      <w:r>
        <w:rPr/>
      </w:r>
    </w:p>
    <w:p>
      <w:pPr>
        <w:pStyle w:val="TextBody"/>
        <w:spacing w:before="0" w:after="0"/>
        <w:jc w:val="center"/>
        <w:rPr/>
      </w:pPr>
      <w:r>
        <w:rPr/>
        <w:drawing>
          <wp:inline distT="0" distB="63500" distL="0" distR="0">
            <wp:extent cx="20478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390525"/>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SHENANDOAH TELECOMMUNICATIONS COMPANY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left"/>
        <w:tblInd w:w="0" w:type="dxa"/>
        <w:tblCellMar>
          <w:top w:w="28" w:type="dxa"/>
          <w:left w:w="28" w:type="dxa"/>
          <w:bottom w:w="28" w:type="dxa"/>
          <w:right w:w="28" w:type="dxa"/>
        </w:tblCellMar>
      </w:tblPr>
      <w:tblGrid>
        <w:gridCol w:w="1791"/>
        <w:gridCol w:w="1581"/>
        <w:gridCol w:w="1593"/>
        <w:gridCol w:w="109"/>
        <w:gridCol w:w="109"/>
        <w:gridCol w:w="109"/>
        <w:gridCol w:w="884"/>
        <w:gridCol w:w="884"/>
        <w:gridCol w:w="1261"/>
      </w:tblGrid>
      <w:tr>
        <w:trPr/>
        <w:tc>
          <w:tcPr>
            <w:tcW w:w="1791" w:type="dxa"/>
            <w:tcBorders/>
            <w:shd w:fill="auto" w:val="clear"/>
            <w:vAlign w:val="center"/>
          </w:tcPr>
          <w:p>
            <w:pPr>
              <w:pStyle w:val="TableContents"/>
              <w:spacing w:before="0" w:after="283"/>
              <w:rPr>
                <w:sz w:val="4"/>
                <w:szCs w:val="4"/>
              </w:rPr>
            </w:pPr>
            <w:r>
              <w:rPr>
                <w:sz w:val="4"/>
                <w:szCs w:val="4"/>
              </w:rPr>
            </w:r>
          </w:p>
        </w:tc>
        <w:tc>
          <w:tcPr>
            <w:tcW w:w="1581"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Virginia</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54-1162807</w:t>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500 Shentel Way, Edinburg, Virginia    22824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20"/>
        </w:rPr>
        <w:t>(540) 984-4141</w:t>
      </w:r>
      <w:r>
        <w:rPr>
          <w:color w:val="000000"/>
        </w:rPr>
        <w:t xml:space="preserve">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674"/>
        <w:gridCol w:w="594"/>
        <w:gridCol w:w="596"/>
        <w:gridCol w:w="392"/>
        <w:gridCol w:w="392"/>
        <w:gridCol w:w="399"/>
        <w:gridCol w:w="804"/>
        <w:gridCol w:w="796"/>
        <w:gridCol w:w="798"/>
        <w:gridCol w:w="1390"/>
        <w:gridCol w:w="1390"/>
        <w:gridCol w:w="1980"/>
      </w:tblGrid>
      <w:tr>
        <w:trPr/>
        <w:tc>
          <w:tcPr>
            <w:tcW w:w="67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r>
      <w:tr>
        <w:trPr/>
        <w:tc>
          <w:tcPr>
            <w:tcW w:w="1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(No Par Value)</w:t>
            </w:r>
          </w:p>
        </w:tc>
        <w:tc>
          <w:tcPr>
            <w:tcW w:w="11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SHEN</w:t>
            </w:r>
          </w:p>
        </w:tc>
        <w:tc>
          <w:tcPr>
            <w:tcW w:w="2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47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50,246,901</w:t>
            </w:r>
          </w:p>
        </w:tc>
      </w:tr>
      <w:tr>
        <w:trPr/>
        <w:tc>
          <w:tcPr>
            <w:tcW w:w="1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Class)</w:t>
            </w:r>
          </w:p>
        </w:tc>
        <w:tc>
          <w:tcPr>
            <w:tcW w:w="11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23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Exchange on which Registered)</w:t>
            </w:r>
          </w:p>
        </w:tc>
        <w:tc>
          <w:tcPr>
            <w:tcW w:w="47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number of shares of the registrant's common stock outstanding on April 21, 2023)</w:t>
            </w:r>
          </w:p>
        </w:tc>
      </w:tr>
    </w:tbl>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spacing w:lineRule="auto" w:line="288" w:before="0" w:after="0"/>
        <w:jc w:val="both"/>
        <w:rPr>
          <w:color w:val="000000"/>
        </w:rPr>
      </w:pPr>
      <w:r>
        <w:rPr>
          <w:color w:val="000000"/>
        </w:rPr>
        <w:t> </w:t>
      </w:r>
    </w:p>
    <w:p>
      <w:pPr>
        <w:pStyle w:val="TextBody"/>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20"/>
        </w:rPr>
        <w:t>No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CellMar>
          <w:top w:w="28" w:type="dxa"/>
          <w:left w:w="28" w:type="dxa"/>
          <w:bottom w:w="28" w:type="dxa"/>
          <w:right w:w="28" w:type="dxa"/>
        </w:tblCellMar>
      </w:tblPr>
      <w:tblGrid>
        <w:gridCol w:w="601"/>
        <w:gridCol w:w="528"/>
        <w:gridCol w:w="530"/>
        <w:gridCol w:w="109"/>
        <w:gridCol w:w="109"/>
        <w:gridCol w:w="109"/>
        <w:gridCol w:w="428"/>
        <w:gridCol w:w="428"/>
        <w:gridCol w:w="430"/>
        <w:gridCol w:w="109"/>
        <w:gridCol w:w="109"/>
        <w:gridCol w:w="109"/>
        <w:gridCol w:w="518"/>
        <w:gridCol w:w="518"/>
        <w:gridCol w:w="520"/>
        <w:gridCol w:w="109"/>
        <w:gridCol w:w="109"/>
        <w:gridCol w:w="109"/>
        <w:gridCol w:w="666"/>
        <w:gridCol w:w="666"/>
        <w:gridCol w:w="669"/>
        <w:gridCol w:w="109"/>
        <w:gridCol w:w="109"/>
        <w:gridCol w:w="109"/>
        <w:gridCol w:w="671"/>
        <w:gridCol w:w="671"/>
        <w:gridCol w:w="674"/>
        <w:gridCol w:w="109"/>
        <w:gridCol w:w="109"/>
        <w:gridCol w:w="161"/>
      </w:tblGrid>
      <w:tr>
        <w:trPr/>
        <w:tc>
          <w:tcPr>
            <w:tcW w:w="60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6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2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5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spacing w:lineRule="auto" w:line="288" w:before="0" w:after="0"/>
        <w:jc w:val="both"/>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 xml:space="preserve">No  </w:t>
      </w:r>
      <w:r>
        <w:rPr>
          <w:color w:val="000000"/>
        </w:rPr>
        <w: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16"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100" w:after="283"/>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INDEX</w:t>
      </w:r>
    </w:p>
    <w:p>
      <w:pPr>
        <w:pStyle w:val="TextBody"/>
        <w:spacing w:before="0" w:after="0"/>
        <w:ind w:left="0" w:right="0" w:firstLine="900"/>
        <w:rPr/>
      </w:pPr>
      <w:r>
        <w:rPr/>
      </w:r>
    </w:p>
    <w:tbl>
      <w:tblPr>
        <w:tblW w:w="9215" w:type="dxa"/>
        <w:jc w:val="left"/>
        <w:tblInd w:w="0" w:type="dxa"/>
        <w:tblCellMar>
          <w:top w:w="28" w:type="dxa"/>
          <w:left w:w="28" w:type="dxa"/>
          <w:bottom w:w="28" w:type="dxa"/>
          <w:right w:w="28" w:type="dxa"/>
        </w:tblCellMar>
      </w:tblPr>
      <w:tblGrid>
        <w:gridCol w:w="299"/>
        <w:gridCol w:w="262"/>
        <w:gridCol w:w="263"/>
        <w:gridCol w:w="2454"/>
        <w:gridCol w:w="2454"/>
        <w:gridCol w:w="2457"/>
        <w:gridCol w:w="109"/>
        <w:gridCol w:w="109"/>
        <w:gridCol w:w="109"/>
        <w:gridCol w:w="109"/>
        <w:gridCol w:w="109"/>
        <w:gridCol w:w="109"/>
        <w:gridCol w:w="109"/>
        <w:gridCol w:w="109"/>
        <w:gridCol w:w="154"/>
      </w:tblGrid>
      <w:tr>
        <w:trPr/>
        <w:tc>
          <w:tcPr>
            <w:tcW w:w="29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4"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br/>
              <w:t>Numbers</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Unaudited Condensed Consolidated Balance Sheets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16">
              <w:r>
                <w:rPr>
                  <w:rStyle w:val="InternetLink"/>
                  <w:rFonts w:ascii="Times New Roman;sans-serif" w:hAnsi="Times New Roman;sans-serif"/>
                  <w:b w:val="false"/>
                  <w:color w:val="0000FF"/>
                  <w:sz w:val="20"/>
                  <w:u w:val="single"/>
                </w:rPr>
                <w:t>3</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Unaudited Condensed Consolidated Statements of Operations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19">
              <w:r>
                <w:rPr>
                  <w:rStyle w:val="InternetLink"/>
                  <w:rFonts w:ascii="Times New Roman;sans-serif" w:hAnsi="Times New Roman;sans-serif"/>
                  <w:b w:val="false"/>
                  <w:color w:val="0000FF"/>
                  <w:sz w:val="20"/>
                  <w:u w:val="single"/>
                </w:rPr>
                <w:t>4</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Unaudited Condensed Consolidated Statements of Shareholders’ Equity</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22">
              <w:r>
                <w:rPr>
                  <w:rStyle w:val="InternetLink"/>
                  <w:rFonts w:ascii="Times New Roman;sans-serif" w:hAnsi="Times New Roman;sans-serif"/>
                  <w:b w:val="false"/>
                  <w:color w:val="0000FF"/>
                  <w:sz w:val="20"/>
                  <w:u w:val="single"/>
                </w:rPr>
                <w:t>5</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Unaudited Condensed Consolidated Statements of Cash Flows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25">
              <w:r>
                <w:rPr>
                  <w:rStyle w:val="InternetLink"/>
                  <w:rFonts w:ascii="Times New Roman;sans-serif" w:hAnsi="Times New Roman;sans-serif"/>
                  <w:b w:val="false"/>
                  <w:color w:val="0000FF"/>
                  <w:sz w:val="20"/>
                  <w:u w:val="single"/>
                </w:rPr>
                <w:t>6</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Unaudited Condensed Consolidated Financial Statements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28">
              <w:r>
                <w:rPr>
                  <w:rStyle w:val="InternetLink"/>
                  <w:rFonts w:ascii="Times New Roman;sans-serif" w:hAnsi="Times New Roman;sans-serif"/>
                  <w:b w:val="false"/>
                  <w:color w:val="0000FF"/>
                  <w:sz w:val="20"/>
                  <w:u w:val="single"/>
                </w:rPr>
                <w:t>7</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73">
              <w:r>
                <w:rPr>
                  <w:rStyle w:val="InternetLink"/>
                  <w:rFonts w:ascii="Times New Roman;sans-serif" w:hAnsi="Times New Roman;sans-serif"/>
                  <w:b w:val="false"/>
                  <w:color w:val="0000FF"/>
                  <w:sz w:val="20"/>
                  <w:u w:val="single"/>
                </w:rPr>
                <w:t>17</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88">
              <w:r>
                <w:rPr>
                  <w:rStyle w:val="InternetLink"/>
                  <w:rFonts w:ascii="Times New Roman;sans-serif" w:hAnsi="Times New Roman;sans-serif"/>
                  <w:b w:val="false"/>
                  <w:color w:val="0000FF"/>
                  <w:sz w:val="20"/>
                  <w:u w:val="single"/>
                </w:rPr>
                <w:t>22</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91">
              <w:r>
                <w:rPr>
                  <w:rStyle w:val="InternetLink"/>
                  <w:rFonts w:ascii="Times New Roman;sans-serif" w:hAnsi="Times New Roman;sans-serif"/>
                  <w:b w:val="false"/>
                  <w:color w:val="0000FF"/>
                  <w:sz w:val="20"/>
                  <w:u w:val="single"/>
                </w:rPr>
                <w:t>22</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 II.</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97">
              <w:r>
                <w:rPr>
                  <w:rStyle w:val="InternetLink"/>
                  <w:rFonts w:ascii="Times New Roman;sans-serif" w:hAnsi="Times New Roman;sans-serif"/>
                  <w:b w:val="false"/>
                  <w:color w:val="0000FF"/>
                  <w:sz w:val="20"/>
                  <w:u w:val="single"/>
                </w:rPr>
                <w:t>23</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100">
              <w:r>
                <w:rPr>
                  <w:rStyle w:val="InternetLink"/>
                  <w:rFonts w:ascii="Times New Roman;sans-serif" w:hAnsi="Times New Roman;sans-serif"/>
                  <w:b w:val="false"/>
                  <w:color w:val="0000FF"/>
                  <w:sz w:val="20"/>
                  <w:u w:val="single"/>
                </w:rPr>
                <w:t>23</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Unregistered Sales of Equity Securities and Use of Proceeds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103">
              <w:r>
                <w:rPr>
                  <w:rStyle w:val="InternetLink"/>
                  <w:rFonts w:ascii="Times New Roman;sans-serif" w:hAnsi="Times New Roman;sans-serif"/>
                  <w:b w:val="false"/>
                  <w:color w:val="0000FF"/>
                  <w:sz w:val="20"/>
                  <w:u w:val="single"/>
                </w:rPr>
                <w:t>23</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106">
              <w:r>
                <w:rPr>
                  <w:rStyle w:val="InternetLink"/>
                  <w:rFonts w:ascii="Times New Roman;sans-serif" w:hAnsi="Times New Roman;sans-serif"/>
                  <w:b w:val="false"/>
                  <w:color w:val="0000FF"/>
                  <w:sz w:val="20"/>
                  <w:u w:val="single"/>
                </w:rPr>
                <w:t>24</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1026"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ee1655322b04c7bb3ca4d7087f664e7_109">
              <w:r>
                <w:rPr>
                  <w:rStyle w:val="InternetLink"/>
                  <w:rFonts w:ascii="Times New Roman;sans-serif" w:hAnsi="Times New Roman;sans-serif"/>
                  <w:b w:val="false"/>
                  <w:color w:val="0000FF"/>
                  <w:sz w:val="20"/>
                  <w:u w:val="single"/>
                </w:rPr>
                <w:t>25</w:t>
              </w:r>
            </w:hyperlink>
          </w:p>
        </w:tc>
      </w:tr>
      <w:tr>
        <w:trPr/>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SHENANDOAH TELECOMMUNICATIONS COMPANY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UNAUDITED CONDENSED CONSOLIDATED BALANCE SHEETS</w:t>
      </w:r>
    </w:p>
    <w:tbl>
      <w:tblPr>
        <w:tblW w:w="10205" w:type="dxa"/>
        <w:jc w:val="left"/>
        <w:tblInd w:w="0" w:type="dxa"/>
        <w:tblCellMar>
          <w:top w:w="28" w:type="dxa"/>
          <w:left w:w="28" w:type="dxa"/>
          <w:bottom w:w="28" w:type="dxa"/>
          <w:right w:w="28" w:type="dxa"/>
        </w:tblCellMar>
      </w:tblPr>
      <w:tblGrid>
        <w:gridCol w:w="2895"/>
        <w:gridCol w:w="2214"/>
        <w:gridCol w:w="2220"/>
        <w:gridCol w:w="211"/>
        <w:gridCol w:w="976"/>
        <w:gridCol w:w="109"/>
        <w:gridCol w:w="109"/>
        <w:gridCol w:w="109"/>
        <w:gridCol w:w="109"/>
        <w:gridCol w:w="221"/>
        <w:gridCol w:w="868"/>
        <w:gridCol w:w="164"/>
      </w:tblGrid>
      <w:tr>
        <w:trPr/>
        <w:tc>
          <w:tcPr>
            <w:tcW w:w="2895" w:type="dxa"/>
            <w:tcBorders/>
            <w:shd w:fill="auto" w:val="clear"/>
            <w:vAlign w:val="center"/>
          </w:tcPr>
          <w:p>
            <w:pPr>
              <w:pStyle w:val="TableContents"/>
              <w:spacing w:before="0" w:after="283"/>
              <w:rPr>
                <w:sz w:val="4"/>
                <w:szCs w:val="4"/>
              </w:rPr>
            </w:pPr>
            <w:r>
              <w:rPr>
                <w:sz w:val="4"/>
                <w:szCs w:val="4"/>
              </w:rPr>
            </w:r>
          </w:p>
        </w:tc>
        <w:tc>
          <w:tcPr>
            <w:tcW w:w="2214" w:type="dxa"/>
            <w:tcBorders/>
            <w:shd w:fill="auto" w:val="clear"/>
            <w:vAlign w:val="center"/>
          </w:tcPr>
          <w:p>
            <w:pPr>
              <w:pStyle w:val="TableContents"/>
              <w:spacing w:before="0" w:after="283"/>
              <w:rPr>
                <w:sz w:val="4"/>
                <w:szCs w:val="4"/>
              </w:rPr>
            </w:pPr>
            <w:r>
              <w:rPr>
                <w:sz w:val="4"/>
                <w:szCs w:val="4"/>
              </w:rPr>
            </w:r>
          </w:p>
        </w:tc>
        <w:tc>
          <w:tcPr>
            <w:tcW w:w="22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44,061 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doubtful accounts of $698 and $776, respectively</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20,615 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29,755 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held for sale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22,622 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128,562 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687,553 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81,515 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53,859 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13,259 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1,006,640 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977,719 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 net of unamortized loan fees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49,173 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billings and customer deposits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9,616 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17,906 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held for sale</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96,421 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maturities, net of unamortized loan fees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74,306 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84,600 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plan obligations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50,477 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20,218 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long-term liabilities</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172,969 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168,985 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authorized 96,000; 50,247 and 50,110 issued and outstanding at March 31, 2023 and December 31, 2022, respectively</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 in capital</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57,453 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582,620 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580,554 </w:t>
            </w:r>
          </w:p>
        </w:tc>
        <w:tc>
          <w:tcPr>
            <w:tcW w:w="16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642,780 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638,007 </w:t>
            </w:r>
          </w:p>
        </w:tc>
        <w:tc>
          <w:tcPr>
            <w:tcW w:w="16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1,006,640 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977,719 </w:t>
            </w:r>
          </w:p>
        </w:tc>
        <w:tc>
          <w:tcPr>
            <w:tcW w:w="16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529"/>
        <w:gridCol w:w="1343"/>
        <w:gridCol w:w="1349"/>
        <w:gridCol w:w="249"/>
        <w:gridCol w:w="249"/>
        <w:gridCol w:w="249"/>
        <w:gridCol w:w="450"/>
        <w:gridCol w:w="1489"/>
        <w:gridCol w:w="249"/>
        <w:gridCol w:w="249"/>
        <w:gridCol w:w="249"/>
        <w:gridCol w:w="249"/>
        <w:gridCol w:w="450"/>
        <w:gridCol w:w="1489"/>
        <w:gridCol w:w="363"/>
      </w:tblGrid>
      <w:tr>
        <w:trPr/>
        <w:tc>
          <w:tcPr>
            <w:tcW w:w="1529"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SHENANDOAH TELECOMMUNICATIONS COMPANY AND SUBSIDIARIES</w:t>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UNAUDITED CONDENSED CONSOLIDATED STATEMENTS OF OPERATIONS</w:t>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amounts)</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4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 and other</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71,686 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64,414 </w:t>
            </w:r>
          </w:p>
        </w:tc>
        <w:tc>
          <w:tcPr>
            <w:tcW w:w="3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 exclusive of depreciation and amortization</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26,567 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26,339 </w:t>
            </w:r>
          </w:p>
        </w:tc>
        <w:tc>
          <w:tcPr>
            <w:tcW w:w="3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26,609 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23,771 </w:t>
            </w:r>
          </w:p>
        </w:tc>
        <w:tc>
          <w:tcPr>
            <w:tcW w:w="3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15,782 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14,684 </w:t>
            </w:r>
          </w:p>
        </w:tc>
        <w:tc>
          <w:tcPr>
            <w:tcW w:w="3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68,958 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64,794 </w:t>
            </w:r>
          </w:p>
        </w:tc>
        <w:tc>
          <w:tcPr>
            <w:tcW w:w="3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3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3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3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w:t>
            </w:r>
          </w:p>
        </w:tc>
        <w:tc>
          <w:tcPr>
            <w:tcW w:w="3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share, basic and diluted:</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(loss) per share</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3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(loss) per share</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2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3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basic</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50,291 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50,146 </w:t>
            </w:r>
          </w:p>
        </w:tc>
        <w:tc>
          <w:tcPr>
            <w:tcW w:w="3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diluted</w:t>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50,512 </w:t>
            </w:r>
          </w:p>
        </w:tc>
        <w:tc>
          <w:tcPr>
            <w:tcW w:w="249"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9"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50,146 </w:t>
            </w:r>
          </w:p>
        </w:tc>
        <w:tc>
          <w:tcPr>
            <w:tcW w:w="363"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unaudited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1221"/>
        <w:gridCol w:w="878"/>
        <w:gridCol w:w="885"/>
        <w:gridCol w:w="134"/>
        <w:gridCol w:w="134"/>
        <w:gridCol w:w="134"/>
        <w:gridCol w:w="609"/>
        <w:gridCol w:w="521"/>
        <w:gridCol w:w="523"/>
        <w:gridCol w:w="134"/>
        <w:gridCol w:w="134"/>
        <w:gridCol w:w="134"/>
        <w:gridCol w:w="273"/>
        <w:gridCol w:w="902"/>
        <w:gridCol w:w="151"/>
        <w:gridCol w:w="134"/>
        <w:gridCol w:w="134"/>
        <w:gridCol w:w="134"/>
        <w:gridCol w:w="241"/>
        <w:gridCol w:w="909"/>
        <w:gridCol w:w="134"/>
        <w:gridCol w:w="134"/>
        <w:gridCol w:w="134"/>
        <w:gridCol w:w="134"/>
        <w:gridCol w:w="241"/>
        <w:gridCol w:w="909"/>
        <w:gridCol w:w="200"/>
      </w:tblGrid>
      <w:tr>
        <w:trPr/>
        <w:tc>
          <w:tcPr>
            <w:tcW w:w="1221"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SHENANDOAH TELECOMMUNICATIONS COMPANY AND SUBSIDIARIES</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CONDENSED CONSOLIDATED STATEMENTS OF SHAREHOLDERS' EQUITY</w:t>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Common Stock (no par value)</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 in Capital</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50,110 </w:t>
            </w:r>
          </w:p>
        </w:tc>
        <w:tc>
          <w:tcPr>
            <w:tcW w:w="5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57,453 </w:t>
            </w:r>
          </w:p>
        </w:tc>
        <w:tc>
          <w:tcPr>
            <w:tcW w:w="1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580,554 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638,007 </w:t>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2,066 </w:t>
            </w:r>
          </w:p>
        </w:tc>
        <w:tc>
          <w:tcPr>
            <w:tcW w:w="2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196 </w:t>
            </w:r>
          </w:p>
        </w:tc>
        <w:tc>
          <w:tcPr>
            <w:tcW w:w="5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3,852 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3,852 </w:t>
            </w:r>
          </w:p>
        </w:tc>
        <w:tc>
          <w:tcPr>
            <w:tcW w:w="2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5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surrendered for settlement of employee taxes upon issuance of vested equity awards</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5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(1,156)</w:t>
            </w:r>
          </w:p>
        </w:tc>
        <w:tc>
          <w:tcPr>
            <w:tcW w:w="2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50,247 </w:t>
            </w:r>
          </w:p>
        </w:tc>
        <w:tc>
          <w:tcPr>
            <w:tcW w:w="5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60,160 </w:t>
            </w:r>
          </w:p>
        </w:tc>
        <w:tc>
          <w:tcPr>
            <w:tcW w:w="1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582,620 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642,780 </w:t>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Common Stock (no par value)</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 in Capital</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49,965 </w:t>
            </w:r>
          </w:p>
        </w:tc>
        <w:tc>
          <w:tcPr>
            <w:tcW w:w="5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49,351 </w:t>
            </w:r>
          </w:p>
        </w:tc>
        <w:tc>
          <w:tcPr>
            <w:tcW w:w="15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592,924 </w:t>
            </w:r>
          </w:p>
        </w:tc>
        <w:tc>
          <w:tcPr>
            <w:tcW w:w="13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642,275 </w:t>
            </w:r>
          </w:p>
        </w:tc>
        <w:tc>
          <w:tcPr>
            <w:tcW w:w="20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w:t>
            </w:r>
          </w:p>
        </w:tc>
        <w:tc>
          <w:tcPr>
            <w:tcW w:w="2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5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3,252 </w:t>
            </w:r>
          </w:p>
        </w:tc>
        <w:tc>
          <w:tcPr>
            <w:tcW w:w="2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5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surrendered for settlement of employee taxes upon issuance of vested equity awards</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w:t>
            </w:r>
          </w:p>
        </w:tc>
        <w:tc>
          <w:tcPr>
            <w:tcW w:w="5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w:t>
            </w:r>
          </w:p>
        </w:tc>
        <w:tc>
          <w:tcPr>
            <w:tcW w:w="1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w:t>
            </w:r>
          </w:p>
        </w:tc>
        <w:tc>
          <w:tcPr>
            <w:tcW w:w="2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50,049 </w:t>
            </w:r>
          </w:p>
        </w:tc>
        <w:tc>
          <w:tcPr>
            <w:tcW w:w="5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52,008 </w:t>
            </w:r>
          </w:p>
        </w:tc>
        <w:tc>
          <w:tcPr>
            <w:tcW w:w="15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592,321 </w:t>
            </w:r>
          </w:p>
        </w:tc>
        <w:tc>
          <w:tcPr>
            <w:tcW w:w="13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644,329 </w:t>
            </w:r>
          </w:p>
        </w:tc>
        <w:tc>
          <w:tcPr>
            <w:tcW w:w="20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tbl>
      <w:tblPr>
        <w:tblW w:w="9068" w:type="dxa"/>
        <w:jc w:val="left"/>
        <w:tblInd w:w="0" w:type="dxa"/>
        <w:tblCellMar>
          <w:top w:w="28" w:type="dxa"/>
          <w:left w:w="28" w:type="dxa"/>
          <w:bottom w:w="28" w:type="dxa"/>
          <w:right w:w="28" w:type="dxa"/>
        </w:tblCellMar>
      </w:tblPr>
      <w:tblGrid>
        <w:gridCol w:w="2463"/>
        <w:gridCol w:w="2164"/>
        <w:gridCol w:w="2167"/>
        <w:gridCol w:w="196"/>
        <w:gridCol w:w="646"/>
        <w:gridCol w:w="109"/>
        <w:gridCol w:w="109"/>
        <w:gridCol w:w="109"/>
        <w:gridCol w:w="109"/>
        <w:gridCol w:w="196"/>
        <w:gridCol w:w="646"/>
        <w:gridCol w:w="154"/>
      </w:tblGrid>
      <w:tr>
        <w:trPr/>
        <w:tc>
          <w:tcPr>
            <w:tcW w:w="2463" w:type="dxa"/>
            <w:tcBorders/>
            <w:shd w:fill="auto" w:val="clear"/>
            <w:vAlign w:val="center"/>
          </w:tcPr>
          <w:p>
            <w:pPr>
              <w:pStyle w:val="TableContents"/>
              <w:spacing w:before="0" w:after="283"/>
              <w:rPr>
                <w:sz w:val="4"/>
                <w:szCs w:val="4"/>
              </w:rPr>
            </w:pPr>
            <w:r>
              <w:rPr>
                <w:sz w:val="4"/>
                <w:szCs w:val="4"/>
              </w:rPr>
            </w:r>
          </w:p>
        </w:tc>
        <w:tc>
          <w:tcPr>
            <w:tcW w:w="2164"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SHENANDOAH TELECOMMUNICATIONS COMPANY AND SUBSIDIARIES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UNAUDITED CONDENSED CONSOLIDATED STATEMENTS OF CASH FLOWS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6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to net cash provided by operating activities: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 of amount capitalized</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income taxes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 and liabilities, net</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deferrals and accruals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48,324 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16,066 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(67,671)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(45,693)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assets and other</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(67,570)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(45,607)</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credit facility borrowings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for equity award issuances</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financing arrangements and other</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(30,363)</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84,344 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end of period</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48,396 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53,981 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refunds received</w:t>
            </w:r>
          </w:p>
        </w:tc>
        <w:tc>
          <w:tcPr>
            <w:tcW w:w="19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25,030 </w:t>
            </w:r>
          </w:p>
        </w:tc>
        <w:tc>
          <w:tcPr>
            <w:tcW w:w="109"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SHENANDOAH TELECOMMUNICATIONS COMPANY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 Basis of Presentation and Other Information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Shenandoah Telecommunications Company and its subsidiaries (“Shentel”, “we”, “our”, “us”, or the “Company”) provide broadband data, video and voice services to residential and commercial customers in portions of Virginia, West Virginia, Maryland, Pennsylvania and Kentucky, via fiber optic and hybrid fiber coaxial cable networks. We also lease dark fiber and provide Ethernet and Wavelength fiber optic services to enterprise and wholesale customers throughout the entirety of our service area. The Company also provides voice and DSL telephone services to customers in Virginia’s Shenandoah County and portions of adjacent counties as a Rural Local Exchange Carrier (“RLEC”). These integrated networks are connected by a fiber network. All of these operations are contained within our Broadband reporting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Our Tower segment owns 222 cell towers and leases colocation space on those towers to wireless communications providers.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212529"/>
          <w:sz w:val="20"/>
        </w:rPr>
        <w:t xml:space="preserve">The accompanying unaudited condensed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unaudited condensed consolidated financial statements should be read in conjunction with the audited consolidated financial statements and notes contained in our Annual Report on Form 10-K for the </w:t>
      </w:r>
      <w:r>
        <w:rPr>
          <w:rFonts w:ascii="Times New Roman;sans-serif" w:hAnsi="Times New Roman;sans-serif"/>
          <w:b w:val="false"/>
          <w:color w:val="000000"/>
          <w:sz w:val="20"/>
        </w:rPr>
        <w:t>year ended December 31, 2022.</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212529"/>
          <w:sz w:val="20"/>
        </w:rPr>
      </w:pPr>
      <w:r>
        <w:rPr>
          <w:rFonts w:ascii="Times New Roman;sans-serif" w:hAnsi="Times New Roman;sans-serif"/>
          <w:b w:val="false"/>
          <w:color w:val="212529"/>
          <w:sz w:val="20"/>
        </w:rPr>
        <w:t xml:space="preserve">The preparation of the unaudited condensed consolidated financial statements in conformity with U.S. GAAP requires management to make estimates and assumptions that affect reported amounts of assets, liabilities, revenues and expenses and related disclosures. On an on-going basis we evaluate significant estimates and assumptions, including, but not limited to, revenue recognition, stock-based compensation, estimated useful lives of assets, impairment of goodwill and indefinite-lived intangible assets, intangible assets subject to amortization, and the computation of income taxes. Future events and their effects cannot be predicted with certainty; accordingly, the Company’s accounting estimates require the exercise of judgment. The accounting estimates used in the preparation of the financial statements will change as new events occur, as more experience is acquired, as additional information is obtained, and as the Company’s operating environment changes. Management evaluates and updates assumptions and estimates on an ongoing basis. Actual results may differ from these estimates under different assumptions or conditions.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Adoption of New Accounting Standards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developments related to recently issued accounting standards, including the expected dates of adoption and estimated effects on the Company's unaudited condensed consolidated financial statements and note disclosures from those disclosed in the Company's Annual Report on Form 10-K for its fiscal year ended December 31, 2022, that would be expected to impact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2. Revenue from Contracts with Customers </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Contract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primarily include commissions incurred to acquire contracts with customers. The Company incurs commission expenses related to in-house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unaudited condensed consolidated balance sheets. Amortization of capitalized commission expenses is recorded in selling, general and administrative expenses in the Company's unaudited condensed consolidated statements of operations.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activity of current and non-current contract assets:</w:t>
      </w:r>
    </w:p>
    <w:tbl>
      <w:tblPr>
        <w:tblW w:w="4911" w:type="dxa"/>
        <w:jc w:val="left"/>
        <w:tblInd w:w="0" w:type="dxa"/>
        <w:tblCellMar>
          <w:top w:w="28" w:type="dxa"/>
          <w:left w:w="28" w:type="dxa"/>
          <w:bottom w:w="28" w:type="dxa"/>
          <w:right w:w="28" w:type="dxa"/>
        </w:tblCellMar>
      </w:tblPr>
      <w:tblGrid>
        <w:gridCol w:w="847"/>
        <w:gridCol w:w="746"/>
        <w:gridCol w:w="747"/>
        <w:gridCol w:w="109"/>
        <w:gridCol w:w="109"/>
        <w:gridCol w:w="109"/>
        <w:gridCol w:w="211"/>
        <w:gridCol w:w="616"/>
        <w:gridCol w:w="109"/>
        <w:gridCol w:w="109"/>
        <w:gridCol w:w="109"/>
        <w:gridCol w:w="109"/>
        <w:gridCol w:w="211"/>
        <w:gridCol w:w="616"/>
        <w:gridCol w:w="154"/>
      </w:tblGrid>
      <w:tr>
        <w:trPr/>
        <w:tc>
          <w:tcPr>
            <w:tcW w:w="84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 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Contract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contract liabilities include services that are billed in advance and recorded as deferred revenue, as well as installation fees that are charged upfront without transfer of commensurate goods or services to the customer. The Company’s current contract liabilities are included in advanced billings and customer deposits and the Company’s non-current contract liabilities are included in other liabilities in its unaudited condensed consolidated balance sheets. Shentel's current contract liability balances were $9.5 million as of March 31, 2023 and December 31, 2022 and Shentel's non-current contract liability balances were $1.6 million and $1.9 million as of March 31, 2023 and December 31, 2022, respectively. Shentel expects its current contract liability balances to be recognized within revenues during the twelve-month periods following the respective balance sheet dates and its non-current contract liability balances to be recognized within revenues after the twelve-month periods following the respective balance sheet dates.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Refer to Note 13,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for a summary of the Company's revenue streams.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Investments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consist of the following:</w:t>
      </w:r>
    </w:p>
    <w:tbl>
      <w:tblPr>
        <w:tblW w:w="5282" w:type="dxa"/>
        <w:jc w:val="left"/>
        <w:tblInd w:w="0" w:type="dxa"/>
        <w:tblCellMar>
          <w:top w:w="28" w:type="dxa"/>
          <w:left w:w="28" w:type="dxa"/>
          <w:bottom w:w="28" w:type="dxa"/>
          <w:right w:w="28" w:type="dxa"/>
        </w:tblCellMar>
      </w:tblPr>
      <w:tblGrid>
        <w:gridCol w:w="945"/>
        <w:gridCol w:w="831"/>
        <w:gridCol w:w="833"/>
        <w:gridCol w:w="211"/>
        <w:gridCol w:w="721"/>
        <w:gridCol w:w="109"/>
        <w:gridCol w:w="109"/>
        <w:gridCol w:w="109"/>
        <w:gridCol w:w="109"/>
        <w:gridCol w:w="253"/>
        <w:gridCol w:w="867"/>
        <w:gridCol w:w="185"/>
      </w:tblGrid>
      <w:tr>
        <w:trPr/>
        <w:tc>
          <w:tcPr>
            <w:tcW w:w="945"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SERP investments at fair value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method investments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10,749 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12,971 </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SERP Investments at Fair Value:</w:t>
      </w:r>
      <w:r>
        <w:rPr>
          <w:color w:val="000000"/>
        </w:rPr>
        <w:t xml:space="preserve"> </w:t>
      </w:r>
      <w:r>
        <w:rPr>
          <w:rFonts w:ascii="Times New Roman;sans-serif" w:hAnsi="Times New Roman;sans-serif"/>
          <w:b w:val="false"/>
          <w:color w:val="000000"/>
          <w:sz w:val="20"/>
        </w:rPr>
        <w:t>The fair value of the SERP investments are based on unadjusted quoted prices in active markets and are classified as Level 1 of the fair value hierarchy. Changes to the investments' fair value are presented in Other income (expense), while the reciprocal changes in the liability are presented in selling, general and administrative expense.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Cost Method Investments</w:t>
      </w:r>
      <w:r>
        <w:rPr>
          <w:rFonts w:ascii="Times New Roman;sans-serif" w:hAnsi="Times New Roman;sans-serif"/>
          <w:b w:val="false"/>
          <w:color w:val="000000"/>
          <w:sz w:val="20"/>
        </w:rPr>
        <w:t xml:space="preserve">: Our investment in CoBank’s Class A common stock, derived from the CoBank patronage program, represented substantially all of our cost method investments with a balance of $10.1 million and $10.0 million at March 31, 2023 and December 31, 2022, respectively. We recognized approximately $0.1 million of patronage income in other income (expense) for the three months ended March 31, 2023 and 2022. The Company expects that approximately 88% of the patronage distributions will be collected in cash and 12% in equity in 2023.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Equity Method Investments:</w:t>
      </w:r>
      <w:r>
        <w:rPr>
          <w:color w:val="000000"/>
        </w:rPr>
        <w:t xml:space="preserve"> </w:t>
      </w:r>
      <w:r>
        <w:rPr>
          <w:rFonts w:ascii="Times New Roman;sans-serif" w:hAnsi="Times New Roman;sans-serif"/>
          <w:b w:val="false"/>
          <w:color w:val="000000"/>
          <w:sz w:val="20"/>
        </w:rPr>
        <w:t xml:space="preserve">At March 31, 2023 and December 31, 2022, the Company had a 20.0% ownership interest in Valley Network Partnership (“ValleyNet”). ValleyNet has ceased operations and is in the process of being dissolved. In April 2023, Shentel received a payment of $0.1 million, representing Shentel's remaining capital in the partnership, and the investment balance was derecognized from Shentel's unaudited condensed consolidated balance sheets. Prior to the commencement of dissolution proceedings, the Company and ValleyNet purchased capacity on one another’s fiber network, through related party transactions. We recognized revenue of $0.2 million during the three months ended March 31, 2022. We recognized cost of service of $28.2 thousand for the three months ended March 31,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4. Property, Plant and Equipment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consist of the following:</w:t>
      </w:r>
    </w:p>
    <w:p>
      <w:pPr>
        <w:pStyle w:val="TextBody"/>
        <w:spacing w:lineRule="auto" w:line="288" w:before="0" w:after="0"/>
        <w:rPr>
          <w:color w:val="000000"/>
        </w:rPr>
      </w:pPr>
      <w:r>
        <w:rPr>
          <w:color w:val="000000"/>
        </w:rPr>
        <w:t> </w:t>
      </w:r>
    </w:p>
    <w:tbl>
      <w:tblPr>
        <w:tblW w:w="9252" w:type="dxa"/>
        <w:jc w:val="left"/>
        <w:tblInd w:w="0" w:type="dxa"/>
        <w:tblCellMar>
          <w:top w:w="28" w:type="dxa"/>
          <w:left w:w="28" w:type="dxa"/>
          <w:bottom w:w="28" w:type="dxa"/>
          <w:right w:w="28" w:type="dxa"/>
        </w:tblCellMar>
      </w:tblPr>
      <w:tblGrid>
        <w:gridCol w:w="1488"/>
        <w:gridCol w:w="1308"/>
        <w:gridCol w:w="1313"/>
        <w:gridCol w:w="679"/>
        <w:gridCol w:w="679"/>
        <w:gridCol w:w="681"/>
        <w:gridCol w:w="109"/>
        <w:gridCol w:w="109"/>
        <w:gridCol w:w="109"/>
        <w:gridCol w:w="211"/>
        <w:gridCol w:w="826"/>
        <w:gridCol w:w="109"/>
        <w:gridCol w:w="109"/>
        <w:gridCol w:w="109"/>
        <w:gridCol w:w="109"/>
        <w:gridCol w:w="231"/>
        <w:gridCol w:w="905"/>
        <w:gridCol w:w="168"/>
      </w:tblGrid>
      <w:tr>
        <w:trPr/>
        <w:tc>
          <w:tcPr>
            <w:tcW w:w="1488"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Useful Lives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0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3,722 </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structures</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10 - 45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93,461 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Cable and fiber</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15 - 30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593,771 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software</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4 - 8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324,783 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317,347 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in service</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1,061,559 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1,011,784 </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under construction</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144,534 </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1,223,135 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1,156,318 </w:t>
            </w:r>
          </w:p>
        </w:tc>
        <w:tc>
          <w:tcPr>
            <w:tcW w:w="16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(483,548)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(468,765)</w:t>
            </w:r>
          </w:p>
        </w:tc>
        <w:tc>
          <w:tcPr>
            <w:tcW w:w="1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739,587 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687,553 </w:t>
            </w:r>
          </w:p>
        </w:tc>
        <w:tc>
          <w:tcPr>
            <w:tcW w:w="16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increases were primarily attributable to capital expenditures in the Broadband segment due to expansion of Glo Fiber assets and market expansion. The Company's accounts payable as of March 31, 2023 and December 31, 2022 included amounts associated with capital expenditures of approximately $44.3 million and $43.8 million, respectively. Depreciation and amortization expense was $15.7 million and $14.5 million during the three months ended March 31, 2023 and 2022,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23, 2022, the Company entered into a definitive asset purchase agreement (the "Spectrum Purchase Agreement") with a wireless carrier pursuant to which the Company agreed to sell certain Federal Communications Commission ("FCC") spectrum licenses and leases previously utilized in the Company's Beam branded fixed wireless service for total consideration of approximately $21.5 million, composed of $17.7 million cash and approximately $3.8 million of liabilities to be assumed by the wireless carrier (the "Spectrum Transaction"). The Spectrum Transaction is expected to close by the end of the third quarter of 2023, subject to the receipt of regulatory approvals and other customary closing conditions.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5. Goodwill and Intangible Assets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consist of the following:</w:t>
      </w:r>
    </w:p>
    <w:tbl>
      <w:tblPr>
        <w:tblW w:w="10205" w:type="dxa"/>
        <w:jc w:val="left"/>
        <w:tblInd w:w="0" w:type="dxa"/>
        <w:tblCellMar>
          <w:top w:w="28" w:type="dxa"/>
          <w:left w:w="28" w:type="dxa"/>
          <w:bottom w:w="28" w:type="dxa"/>
          <w:right w:w="28" w:type="dxa"/>
        </w:tblCellMar>
      </w:tblPr>
      <w:tblGrid>
        <w:gridCol w:w="718"/>
        <w:gridCol w:w="415"/>
        <w:gridCol w:w="337"/>
        <w:gridCol w:w="211"/>
        <w:gridCol w:w="826"/>
        <w:gridCol w:w="109"/>
        <w:gridCol w:w="109"/>
        <w:gridCol w:w="109"/>
        <w:gridCol w:w="109"/>
        <w:gridCol w:w="266"/>
        <w:gridCol w:w="933"/>
        <w:gridCol w:w="139"/>
        <w:gridCol w:w="109"/>
        <w:gridCol w:w="109"/>
        <w:gridCol w:w="109"/>
        <w:gridCol w:w="211"/>
        <w:gridCol w:w="721"/>
        <w:gridCol w:w="109"/>
        <w:gridCol w:w="109"/>
        <w:gridCol w:w="109"/>
        <w:gridCol w:w="109"/>
        <w:gridCol w:w="211"/>
        <w:gridCol w:w="826"/>
        <w:gridCol w:w="109"/>
        <w:gridCol w:w="109"/>
        <w:gridCol w:w="109"/>
        <w:gridCol w:w="109"/>
        <w:gridCol w:w="266"/>
        <w:gridCol w:w="933"/>
        <w:gridCol w:w="139"/>
        <w:gridCol w:w="109"/>
        <w:gridCol w:w="109"/>
        <w:gridCol w:w="109"/>
        <w:gridCol w:w="211"/>
        <w:gridCol w:w="721"/>
        <w:gridCol w:w="159"/>
      </w:tblGrid>
      <w:tr>
        <w:trPr/>
        <w:tc>
          <w:tcPr>
            <w:tcW w:w="718"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7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 and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 Broadband</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3,244 </w:t>
            </w:r>
          </w:p>
        </w:tc>
        <w:tc>
          <w:tcPr>
            <w:tcW w:w="15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intangibles: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Cable franchise rights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64,334 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FCC Spectrum licenses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12,122 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Railroad crossing rights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indefinite-lived intangibles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76,597 </w:t>
            </w:r>
          </w:p>
        </w:tc>
        <w:tc>
          <w:tcPr>
            <w:tcW w:w="15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Finite-lived intangibles:</w:t>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Subscriber relationships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(27,025)</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finite-lived intangibles</w:t>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(27,362)</w:t>
            </w:r>
          </w:p>
        </w:tc>
        <w:tc>
          <w:tcPr>
            <w:tcW w:w="1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(27,239)</w:t>
            </w:r>
          </w:p>
        </w:tc>
        <w:tc>
          <w:tcPr>
            <w:tcW w:w="13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5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goodwill and intangible assets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(27,362)</w:t>
            </w:r>
          </w:p>
        </w:tc>
        <w:tc>
          <w:tcPr>
            <w:tcW w:w="1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81,392 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108,754 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(27,239)</w:t>
            </w:r>
          </w:p>
        </w:tc>
        <w:tc>
          <w:tcPr>
            <w:tcW w:w="1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81,515 </w:t>
            </w:r>
          </w:p>
        </w:tc>
        <w:tc>
          <w:tcPr>
            <w:tcW w:w="1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was $0.1 million and $0.2 million 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As described in Note 4, </w:t>
      </w:r>
      <w:r>
        <w:rPr>
          <w:rFonts w:ascii="Times New Roman;sans-serif" w:hAnsi="Times New Roman;sans-serif"/>
          <w:b w:val="false"/>
          <w:i/>
          <w:color w:val="000000"/>
          <w:sz w:val="20"/>
        </w:rPr>
        <w:t>Property, Plant and Equipment</w:t>
      </w:r>
      <w:r>
        <w:rPr>
          <w:rFonts w:ascii="Times New Roman;sans-serif" w:hAnsi="Times New Roman;sans-serif"/>
          <w:b w:val="false"/>
          <w:color w:val="000000"/>
          <w:sz w:val="20"/>
        </w:rPr>
        <w:t xml:space="preserve">, the Company entered into the Spectrum Purchase Agreement to sell FCC spectrum licenses associated with Beam. As a result of the expected sale, the Company concluded that the FCC spectrum licenses met the held for sale criteria; accordingly, $13.8 million of indefinite-lived licenses and $5.9 million of finite-lived licenses are presented as held for sale, along with the corresponding $3.8 million of operating lease liabilities related to the finite-lived licenses. The Company evaluated the events described here and in Note 4, </w:t>
      </w:r>
      <w:r>
        <w:rPr>
          <w:rFonts w:ascii="Times New Roman;sans-serif" w:hAnsi="Times New Roman;sans-serif"/>
          <w:b w:val="false"/>
          <w:i/>
          <w:color w:val="000000"/>
          <w:sz w:val="20"/>
        </w:rPr>
        <w:t>Property, Plant and Equipment</w:t>
      </w:r>
      <w:r>
        <w:rPr>
          <w:color w:val="000000"/>
        </w:rPr>
        <w:t xml:space="preserve"> </w:t>
      </w:r>
      <w:r>
        <w:rPr>
          <w:rFonts w:ascii="Times New Roman;sans-serif" w:hAnsi="Times New Roman;sans-serif"/>
          <w:b w:val="false"/>
          <w:color w:val="000000"/>
          <w:sz w:val="20"/>
        </w:rPr>
        <w:t>and determined that these events do not represent a strategic shift in the Company’s business.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Other Assets and Accrued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classified as current assets, included the following:</w:t>
      </w:r>
    </w:p>
    <w:tbl>
      <w:tblPr>
        <w:tblW w:w="5807" w:type="dxa"/>
        <w:jc w:val="left"/>
        <w:tblInd w:w="0" w:type="dxa"/>
        <w:tblCellMar>
          <w:top w:w="28" w:type="dxa"/>
          <w:left w:w="28" w:type="dxa"/>
          <w:bottom w:w="28" w:type="dxa"/>
          <w:right w:w="28" w:type="dxa"/>
        </w:tblCellMar>
      </w:tblPr>
      <w:tblGrid>
        <w:gridCol w:w="1134"/>
        <w:gridCol w:w="999"/>
        <w:gridCol w:w="1001"/>
        <w:gridCol w:w="211"/>
        <w:gridCol w:w="721"/>
        <w:gridCol w:w="109"/>
        <w:gridCol w:w="109"/>
        <w:gridCol w:w="109"/>
        <w:gridCol w:w="109"/>
        <w:gridCol w:w="253"/>
        <w:gridCol w:w="867"/>
        <w:gridCol w:w="185"/>
      </w:tblGrid>
      <w:tr>
        <w:trPr/>
        <w:tc>
          <w:tcPr>
            <w:tcW w:w="1134"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maintenance expenses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7,444 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contract acquisition costs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11,509 </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 classified as long-term assets, included the following:</w:t>
      </w:r>
    </w:p>
    <w:tbl>
      <w:tblPr>
        <w:tblW w:w="5808" w:type="dxa"/>
        <w:jc w:val="left"/>
        <w:tblInd w:w="0" w:type="dxa"/>
        <w:tblCellMar>
          <w:top w:w="28" w:type="dxa"/>
          <w:left w:w="28" w:type="dxa"/>
          <w:bottom w:w="28" w:type="dxa"/>
          <w:right w:w="28" w:type="dxa"/>
        </w:tblCellMar>
      </w:tblPr>
      <w:tblGrid>
        <w:gridCol w:w="1135"/>
        <w:gridCol w:w="999"/>
        <w:gridCol w:w="1001"/>
        <w:gridCol w:w="211"/>
        <w:gridCol w:w="721"/>
        <w:gridCol w:w="109"/>
        <w:gridCol w:w="109"/>
        <w:gridCol w:w="109"/>
        <w:gridCol w:w="109"/>
        <w:gridCol w:w="253"/>
        <w:gridCol w:w="867"/>
        <w:gridCol w:w="185"/>
      </w:tblGrid>
      <w:tr>
        <w:trPr/>
        <w:tc>
          <w:tcPr>
            <w:tcW w:w="1135"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contract acquisition costs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7,422 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charges and other assets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13,259 </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 classified as current liabilities, included the following:</w:t>
      </w:r>
    </w:p>
    <w:tbl>
      <w:tblPr>
        <w:tblW w:w="5102" w:type="dxa"/>
        <w:jc w:val="left"/>
        <w:tblInd w:w="0" w:type="dxa"/>
        <w:tblCellMar>
          <w:top w:w="28" w:type="dxa"/>
          <w:left w:w="28" w:type="dxa"/>
          <w:bottom w:w="28" w:type="dxa"/>
          <w:right w:w="28" w:type="dxa"/>
        </w:tblCellMar>
      </w:tblPr>
      <w:tblGrid>
        <w:gridCol w:w="879"/>
        <w:gridCol w:w="774"/>
        <w:gridCol w:w="776"/>
        <w:gridCol w:w="211"/>
        <w:gridCol w:w="721"/>
        <w:gridCol w:w="109"/>
        <w:gridCol w:w="109"/>
        <w:gridCol w:w="109"/>
        <w:gridCol w:w="109"/>
        <w:gridCol w:w="253"/>
        <w:gridCol w:w="867"/>
        <w:gridCol w:w="185"/>
      </w:tblGrid>
      <w:tr>
        <w:trPr/>
        <w:tc>
          <w:tcPr>
            <w:tcW w:w="87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programming costs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plan</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11,259 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17,906 </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liabilities, classified as long-term liabilities, included the following:</w:t>
      </w:r>
    </w:p>
    <w:tbl>
      <w:tblPr>
        <w:tblW w:w="6408" w:type="dxa"/>
        <w:jc w:val="left"/>
        <w:tblInd w:w="0" w:type="dxa"/>
        <w:tblCellMar>
          <w:top w:w="28" w:type="dxa"/>
          <w:left w:w="28" w:type="dxa"/>
          <w:bottom w:w="28" w:type="dxa"/>
          <w:right w:w="28" w:type="dxa"/>
        </w:tblCellMar>
      </w:tblPr>
      <w:tblGrid>
        <w:gridCol w:w="1352"/>
        <w:gridCol w:w="1190"/>
        <w:gridCol w:w="1193"/>
        <w:gridCol w:w="211"/>
        <w:gridCol w:w="721"/>
        <w:gridCol w:w="109"/>
        <w:gridCol w:w="109"/>
        <w:gridCol w:w="109"/>
        <w:gridCol w:w="109"/>
        <w:gridCol w:w="253"/>
        <w:gridCol w:w="867"/>
        <w:gridCol w:w="185"/>
      </w:tblGrid>
      <w:tr>
        <w:trPr/>
        <w:tc>
          <w:tcPr>
            <w:tcW w:w="1352"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deferred lease revenue</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18,679 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financing leases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20,218 </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Company adopted a resolution to terminate its pension plan. The expected termination will result in a payout of all existing obligations either through lump sum payments or through the purchase of annuity contracts at the option of the pension plan's participants. The Company expects the pension plan termination to be completed by June 30, 2023. Consequently, the net benefit plan obligation for the pension plan is presented in accrued liabilities and other in the Company's unaudited condensed consolidated balance sheets at March 31, 2023 and December 31, 2022,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7. Leases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lease various broadband network and telecommunications sites, fiber optic cable routes, warehouses, retail stores, and office facilities for use in our business.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costs were as follows:</w:t>
      </w:r>
    </w:p>
    <w:p>
      <w:pPr>
        <w:pStyle w:val="TextBody"/>
        <w:spacing w:before="0" w:after="0"/>
        <w:jc w:val="both"/>
        <w:rPr/>
      </w:pPr>
      <w:r>
        <w:rPr/>
      </w:r>
    </w:p>
    <w:tbl>
      <w:tblPr>
        <w:tblW w:w="6665" w:type="dxa"/>
        <w:jc w:val="left"/>
        <w:tblInd w:w="0" w:type="dxa"/>
        <w:tblCellMar>
          <w:top w:w="28" w:type="dxa"/>
          <w:left w:w="28" w:type="dxa"/>
          <w:bottom w:w="28" w:type="dxa"/>
          <w:right w:w="28" w:type="dxa"/>
        </w:tblCellMar>
      </w:tblPr>
      <w:tblGrid>
        <w:gridCol w:w="868"/>
        <w:gridCol w:w="764"/>
        <w:gridCol w:w="767"/>
        <w:gridCol w:w="563"/>
        <w:gridCol w:w="563"/>
        <w:gridCol w:w="569"/>
        <w:gridCol w:w="109"/>
        <w:gridCol w:w="109"/>
        <w:gridCol w:w="109"/>
        <w:gridCol w:w="211"/>
        <w:gridCol w:w="616"/>
        <w:gridCol w:w="109"/>
        <w:gridCol w:w="109"/>
        <w:gridCol w:w="109"/>
        <w:gridCol w:w="109"/>
        <w:gridCol w:w="211"/>
        <w:gridCol w:w="616"/>
        <w:gridCol w:w="154"/>
      </w:tblGrid>
      <w:tr>
        <w:trPr/>
        <w:tc>
          <w:tcPr>
            <w:tcW w:w="868"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6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leased asset</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of lease liabilities</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expense</w:t>
            </w:r>
            <w:r>
              <w:rPr>
                <w:rFonts w:ascii="Times New Roman;sans-serif" w:hAnsi="Times New Roman;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Cost</w:t>
            </w:r>
          </w:p>
        </w:tc>
        <w:tc>
          <w:tcPr>
            <w:tcW w:w="16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(1)Operating lease expense is presented in cost of service or selling, general and administrative expense based on the use of the relevant facility.</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expected maturity of lease liabilities as of March 31, 2023:</w:t>
      </w:r>
    </w:p>
    <w:tbl>
      <w:tblPr>
        <w:tblW w:w="7735" w:type="dxa"/>
        <w:jc w:val="left"/>
        <w:tblInd w:w="0" w:type="dxa"/>
        <w:tblCellMar>
          <w:top w:w="28" w:type="dxa"/>
          <w:left w:w="28" w:type="dxa"/>
          <w:bottom w:w="28" w:type="dxa"/>
          <w:right w:w="28" w:type="dxa"/>
        </w:tblCellMar>
      </w:tblPr>
      <w:tblGrid>
        <w:gridCol w:w="972"/>
        <w:gridCol w:w="856"/>
        <w:gridCol w:w="857"/>
        <w:gridCol w:w="109"/>
        <w:gridCol w:w="109"/>
        <w:gridCol w:w="109"/>
        <w:gridCol w:w="322"/>
        <w:gridCol w:w="1101"/>
        <w:gridCol w:w="166"/>
        <w:gridCol w:w="109"/>
        <w:gridCol w:w="109"/>
        <w:gridCol w:w="109"/>
        <w:gridCol w:w="314"/>
        <w:gridCol w:w="918"/>
        <w:gridCol w:w="162"/>
        <w:gridCol w:w="109"/>
        <w:gridCol w:w="109"/>
        <w:gridCol w:w="109"/>
        <w:gridCol w:w="211"/>
        <w:gridCol w:w="721"/>
        <w:gridCol w:w="154"/>
      </w:tblGrid>
      <w:tr>
        <w:trPr/>
        <w:tc>
          <w:tcPr>
            <w:tcW w:w="972"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5,613 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5,379 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65,522 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66,881 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89,222 </w:t>
            </w:r>
          </w:p>
        </w:tc>
        <w:tc>
          <w:tcPr>
            <w:tcW w:w="1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6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91,318 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(34,647)</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6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54,575 </w:t>
            </w:r>
          </w:p>
        </w:tc>
        <w:tc>
          <w:tcPr>
            <w:tcW w:w="1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56,087 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information related to operating and finance leases was as follows:</w:t>
      </w:r>
    </w:p>
    <w:p>
      <w:pPr>
        <w:pStyle w:val="TextBody"/>
        <w:spacing w:before="0" w:after="0"/>
        <w:rPr/>
      </w:pPr>
      <w:r>
        <w:rPr/>
      </w:r>
    </w:p>
    <w:tbl>
      <w:tblPr>
        <w:tblW w:w="6505" w:type="dxa"/>
        <w:jc w:val="left"/>
        <w:tblInd w:w="0" w:type="dxa"/>
        <w:tblCellMar>
          <w:top w:w="28" w:type="dxa"/>
          <w:left w:w="28" w:type="dxa"/>
          <w:bottom w:w="28" w:type="dxa"/>
          <w:right w:w="28" w:type="dxa"/>
        </w:tblCellMar>
      </w:tblPr>
      <w:tblGrid>
        <w:gridCol w:w="1412"/>
        <w:gridCol w:w="1238"/>
        <w:gridCol w:w="1249"/>
        <w:gridCol w:w="216"/>
        <w:gridCol w:w="216"/>
        <w:gridCol w:w="542"/>
        <w:gridCol w:w="109"/>
        <w:gridCol w:w="109"/>
        <w:gridCol w:w="109"/>
        <w:gridCol w:w="266"/>
        <w:gridCol w:w="266"/>
        <w:gridCol w:w="773"/>
      </w:tblGrid>
      <w:tr>
        <w:trPr/>
        <w:tc>
          <w:tcPr>
            <w:tcW w:w="1412"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4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5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77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4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42"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77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811"/>
        <w:gridCol w:w="2408"/>
        <w:gridCol w:w="2414"/>
        <w:gridCol w:w="109"/>
        <w:gridCol w:w="109"/>
        <w:gridCol w:w="109"/>
        <w:gridCol w:w="211"/>
        <w:gridCol w:w="616"/>
        <w:gridCol w:w="109"/>
        <w:gridCol w:w="109"/>
        <w:gridCol w:w="109"/>
        <w:gridCol w:w="109"/>
        <w:gridCol w:w="211"/>
        <w:gridCol w:w="616"/>
        <w:gridCol w:w="155"/>
      </w:tblGrid>
      <w:tr>
        <w:trPr/>
        <w:tc>
          <w:tcPr>
            <w:tcW w:w="2811" w:type="dxa"/>
            <w:tcBorders/>
            <w:shd w:fill="auto" w:val="clear"/>
            <w:vAlign w:val="center"/>
          </w:tcPr>
          <w:p>
            <w:pPr>
              <w:pStyle w:val="TableContents"/>
              <w:spacing w:before="0" w:after="283"/>
              <w:rPr>
                <w:sz w:val="4"/>
                <w:szCs w:val="4"/>
              </w:rPr>
            </w:pPr>
            <w:r>
              <w:rPr>
                <w:sz w:val="4"/>
                <w:szCs w:val="4"/>
              </w:rPr>
            </w:r>
          </w:p>
        </w:tc>
        <w:tc>
          <w:tcPr>
            <w:tcW w:w="2408" w:type="dxa"/>
            <w:tcBorders/>
            <w:shd w:fill="auto" w:val="clear"/>
            <w:vAlign w:val="center"/>
          </w:tcPr>
          <w:p>
            <w:pPr>
              <w:pStyle w:val="TableContents"/>
              <w:spacing w:before="0" w:after="283"/>
              <w:rPr>
                <w:sz w:val="4"/>
                <w:szCs w:val="4"/>
              </w:rPr>
            </w:pPr>
            <w:r>
              <w:rPr>
                <w:sz w:val="4"/>
                <w:szCs w:val="4"/>
              </w:rPr>
            </w:r>
          </w:p>
        </w:tc>
        <w:tc>
          <w:tcPr>
            <w:tcW w:w="2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6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 liabilities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obtained in exchange for new lease liabilities (includes new leases or modification of existing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1,640 </w:t>
            </w:r>
          </w:p>
        </w:tc>
        <w:tc>
          <w:tcPr>
            <w:tcW w:w="1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$4.5 million and $5.4 million of operating lease revenue for the three months ended March 31, 2023 and 2022, respectively, related to the cell site colocation space and dedicated fiber optic strands that we lease to our customers, which is included in Service revenue and other in the unaudited condensed consolidated statements of operations. Substantially all of our lease revenue relates to fixed lease payments.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minimum rental receipts under the lease agreements in place as of March 31, 2023:</w:t>
      </w:r>
    </w:p>
    <w:tbl>
      <w:tblPr>
        <w:tblW w:w="3655" w:type="dxa"/>
        <w:jc w:val="left"/>
        <w:tblInd w:w="0" w:type="dxa"/>
        <w:tblCellMar>
          <w:top w:w="28" w:type="dxa"/>
          <w:left w:w="28" w:type="dxa"/>
          <w:bottom w:w="28" w:type="dxa"/>
          <w:right w:w="28" w:type="dxa"/>
        </w:tblCellMar>
      </w:tblPr>
      <w:tblGrid>
        <w:gridCol w:w="613"/>
        <w:gridCol w:w="540"/>
        <w:gridCol w:w="541"/>
        <w:gridCol w:w="109"/>
        <w:gridCol w:w="109"/>
        <w:gridCol w:w="109"/>
        <w:gridCol w:w="317"/>
        <w:gridCol w:w="1086"/>
        <w:gridCol w:w="231"/>
      </w:tblGrid>
      <w:tr>
        <w:trPr/>
        <w:tc>
          <w:tcPr>
            <w:tcW w:w="61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11,549 </w:t>
            </w:r>
          </w:p>
        </w:tc>
        <w:tc>
          <w:tcPr>
            <w:tcW w:w="23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14,244 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10,275 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8,784 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22,048 </w:t>
            </w:r>
          </w:p>
        </w:tc>
        <w:tc>
          <w:tcPr>
            <w:tcW w:w="2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80,218 </w:t>
            </w:r>
          </w:p>
        </w:tc>
        <w:tc>
          <w:tcPr>
            <w:tcW w:w="23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Credit Agreement, dated July 1, 2021 (the “Credit Agreement”) contains (i) a $100 million, five-year undrawn revolving credit facility (the “Revolver”), (ii) a $150 million five-year delayed draw amortizing term loan (“Term Loan A-1”) and (iii) a $150 million seven-year delayed draw amortizing term loan (“Term Loan A-2” and collectively with Term Loan A-1, the “Term Loans”). The following loans were outstanding under the Credit Agreement:</w:t>
      </w:r>
    </w:p>
    <w:p>
      <w:pPr>
        <w:pStyle w:val="TextBody"/>
        <w:spacing w:before="0" w:after="0"/>
        <w:jc w:val="both"/>
        <w:rPr/>
      </w:pPr>
      <w:r>
        <w:rPr/>
      </w:r>
    </w:p>
    <w:tbl>
      <w:tblPr>
        <w:tblW w:w="6017" w:type="dxa"/>
        <w:jc w:val="left"/>
        <w:tblInd w:w="0" w:type="dxa"/>
        <w:tblCellMar>
          <w:top w:w="28" w:type="dxa"/>
          <w:left w:w="28" w:type="dxa"/>
          <w:bottom w:w="28" w:type="dxa"/>
          <w:right w:w="28" w:type="dxa"/>
        </w:tblCellMar>
      </w:tblPr>
      <w:tblGrid>
        <w:gridCol w:w="1211"/>
        <w:gridCol w:w="1065"/>
        <w:gridCol w:w="1068"/>
        <w:gridCol w:w="211"/>
        <w:gridCol w:w="721"/>
        <w:gridCol w:w="109"/>
        <w:gridCol w:w="109"/>
        <w:gridCol w:w="109"/>
        <w:gridCol w:w="109"/>
        <w:gridCol w:w="253"/>
        <w:gridCol w:w="867"/>
        <w:gridCol w:w="185"/>
      </w:tblGrid>
      <w:tr>
        <w:trPr/>
        <w:tc>
          <w:tcPr>
            <w:tcW w:w="1211"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0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A-1</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37,500 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A-2</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37,500 </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loan fees</w:t>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unamortized loan fees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99,957 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74,954 </w:t>
            </w:r>
          </w:p>
        </w:tc>
        <w:tc>
          <w:tcPr>
            <w:tcW w:w="1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Both Term Loan A-1 and Term Loan A-2 bear interest at one-month LIBOR plus a margin of 1.50%. The margin of 1.50% is variable and determined by the Company’s net leverage ratio. The interest rate was 6.36% and 5.89% at March 31, 2023 and December 31, 2022, respectively. The Company's cash payments for interest were $1.3 million during the three months ended March 31, 2023. Shentel had no debt outstanding during the three months ended March 31, 2022; therefore, the Company made no interest payments during the three months ended March 31, 2022. Shentel is charged commitment fees on unutilized portions of its Revolver and Term Loans. The Company recorded $0.2 million related to these fees for the three months ended March 31, 2023 and 2022 which is included in other income (expense), net in the unaudited condensed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contains a borrowing deadline of June 30, 2023, after which the Company will not be able to borrow against the undrawn portion of the Term Loans.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includes various covenants, including total net leverage ratio and debt service coverage ratio financial covenants.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Shentel’s Term Loans require quarterly payments based on a percentage of the outstanding balance. Based on the outstanding balance as of March 31, 2023, Term Loan A-1 requires quarterly principal repayments of $0.3 million from September 30, 2023 through June 30, 2024; then increasing to $0.6 million quarterly from September 30, 2024 through March 31, 2026, with the remaining balance due June 30, 2026. Based on the outstanding balance as of December 31, 2022, Term Loan A-2 requires quarterly principal repayments of $0.1 million through March 31, 2028, with the remaining balance due June 30, 2028.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expected payments of Shentel's outstanding borrowings as of March 31, 2023:</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tbl>
      <w:tblPr>
        <w:tblW w:w="2808" w:type="dxa"/>
        <w:jc w:val="left"/>
        <w:tblInd w:w="0" w:type="dxa"/>
        <w:tblCellMar>
          <w:top w:w="28" w:type="dxa"/>
          <w:left w:w="28" w:type="dxa"/>
          <w:bottom w:w="28" w:type="dxa"/>
          <w:right w:w="28" w:type="dxa"/>
        </w:tblCellMar>
      </w:tblPr>
      <w:tblGrid>
        <w:gridCol w:w="467"/>
        <w:gridCol w:w="411"/>
        <w:gridCol w:w="412"/>
        <w:gridCol w:w="109"/>
        <w:gridCol w:w="109"/>
        <w:gridCol w:w="109"/>
        <w:gridCol w:w="211"/>
        <w:gridCol w:w="826"/>
        <w:gridCol w:w="154"/>
      </w:tblGrid>
      <w:tr>
        <w:trPr/>
        <w:tc>
          <w:tcPr>
            <w:tcW w:w="46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International Exchange (ICE) Benchmark Administration ceased the publication of one-week and two-month LIBOR on December 31, 2021 and the remaining tenors (overnight, one-month, three-month, six-month and 12-month) will cease to be published on June 30, 2023. The Company's term loans and revolver identify LIBOR as a reference rate for tenors ceasing on June 30, 2023 and maturing after 2023. Alternative reference rates that replace LIBOR may not yield the same or similar economic results over the terms of the financial instruments. The transition from LIBOR could result in us paying higher or lower interest rates on our current LIBOR-indexed term loans. The Credit Agreement includes provisions that provide for the identification of a LIBOR replacement rate. Any changes to the reference rate will be agreed through an amendment to the Credit Agreement and are expected to reference the Secured Overnight Financing Rate and be entered into during 2023. Additionally, we expect to utilize the accounting relief available under Accounting Standards Codification ("ASC") 848, Reference Rate Reform, and therefore do not expect significant modification to current accounting.</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9. Income Taxes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U.S. federal income tax returns and various state income tax returns. The Company is not subject to any state or federal income tax audits as of March 31, 2023. The Company's income tax returns are generally open to examination from 2019 forward and the net operating losses acquired in the acquisition of nTelos are open to examination from 2002 forward.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rates for the three months ended March 31, 2023 and 2022, differ from the statutory U.S. federal income tax rate of 21% primarily due to the state income taxes, excess tax benefits and other discrete items.</w:t>
      </w:r>
    </w:p>
    <w:tbl>
      <w:tblPr>
        <w:tblW w:w="8825" w:type="dxa"/>
        <w:jc w:val="left"/>
        <w:tblInd w:w="0" w:type="dxa"/>
        <w:tblCellMar>
          <w:top w:w="28" w:type="dxa"/>
          <w:left w:w="28" w:type="dxa"/>
          <w:bottom w:w="28" w:type="dxa"/>
          <w:right w:w="28" w:type="dxa"/>
        </w:tblCellMar>
      </w:tblPr>
      <w:tblGrid>
        <w:gridCol w:w="2292"/>
        <w:gridCol w:w="2016"/>
        <w:gridCol w:w="2021"/>
        <w:gridCol w:w="109"/>
        <w:gridCol w:w="109"/>
        <w:gridCol w:w="109"/>
        <w:gridCol w:w="211"/>
        <w:gridCol w:w="616"/>
        <w:gridCol w:w="109"/>
        <w:gridCol w:w="109"/>
        <w:gridCol w:w="109"/>
        <w:gridCol w:w="109"/>
        <w:gridCol w:w="211"/>
        <w:gridCol w:w="541"/>
        <w:gridCol w:w="154"/>
      </w:tblGrid>
      <w:tr>
        <w:trPr/>
        <w:tc>
          <w:tcPr>
            <w:tcW w:w="2292" w:type="dxa"/>
            <w:tcBorders/>
            <w:shd w:fill="auto" w:val="clear"/>
            <w:vAlign w:val="center"/>
          </w:tcPr>
          <w:p>
            <w:pPr>
              <w:pStyle w:val="TableContents"/>
              <w:spacing w:before="0" w:after="283"/>
              <w:rPr>
                <w:sz w:val="4"/>
                <w:szCs w:val="4"/>
              </w:rPr>
            </w:pPr>
            <w:r>
              <w:rPr>
                <w:sz w:val="4"/>
                <w:szCs w:val="4"/>
              </w:rPr>
            </w:r>
          </w:p>
        </w:tc>
        <w:tc>
          <w:tcPr>
            <w:tcW w:w="2016" w:type="dxa"/>
            <w:tcBorders/>
            <w:shd w:fill="auto" w:val="clear"/>
            <w:vAlign w:val="center"/>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tax expense (benefit) at federal statutory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(benefit), net of federal tax effect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tax deficiency from share-based compensation and other expense,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received $25.0 million in cash refunds for income taxes for the three months ended March 31, 2023. The Company made no cash payments and received no cash refunds for income taxes for the three months ended March 31,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10. Stock Compensation and Earnings (Loss)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granted approximately 343,000 restricted stock units ("RSUs") at a weighted average grant price of $18.86 to employees and directors during the three months ended March 31, 2023. Approximately 166,000 RSUs with a weighted average grant price of $25.29 vested and 8,000 RSUs with a weighted average grant price of $21.54 were forfeited during the three months ended March 31, 2023. The total fair value of RSUs vested was $4.2 million during the three months ended March 31, 2023. Approximately 819,000 RSUs with a weighted average grant price of $21.30 remained outstanding as of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granted approximately 134,000 Relative Total Shareholder Return RSUs (“RTSRs”) awards at a weighted average grant price of $23.64 to employees during the three months ended March 31, 2023. Approximately 30,000 RTSRs with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weighted average grant price of $56.32 vested and no RTSRs were forfeited during the three months ended March 31, 2023. The total fair value of RTSRs vested was $1.1 million during the three months ended March 31, 2023. Approximately 293,000 RTSRs with a weighted average grant price of $25.80 remained outstanding as of March 31, 2023. The amount of RTSRs issued are adjusted on the vesting date based upon the Company's stock performance compared to a group of peer companies. The vested amounts above exclude the adjustment and issuance of RTSRs based on actual performance, which totaled approximately 13,000 RTSRs, resulting in lower shares issued upon vesting of the RTSRs than originally granted.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as follows:</w:t>
      </w:r>
    </w:p>
    <w:p>
      <w:pPr>
        <w:pStyle w:val="TextBody"/>
        <w:spacing w:before="0" w:after="0"/>
        <w:jc w:val="both"/>
        <w:rPr/>
      </w:pPr>
      <w:r>
        <w:rPr/>
      </w:r>
    </w:p>
    <w:tbl>
      <w:tblPr>
        <w:tblW w:w="5390" w:type="dxa"/>
        <w:jc w:val="left"/>
        <w:tblInd w:w="0" w:type="dxa"/>
        <w:tblCellMar>
          <w:top w:w="28" w:type="dxa"/>
          <w:left w:w="28" w:type="dxa"/>
          <w:bottom w:w="28" w:type="dxa"/>
          <w:right w:w="28" w:type="dxa"/>
        </w:tblCellMar>
      </w:tblPr>
      <w:tblGrid>
        <w:gridCol w:w="1021"/>
        <w:gridCol w:w="897"/>
        <w:gridCol w:w="901"/>
        <w:gridCol w:w="109"/>
        <w:gridCol w:w="109"/>
        <w:gridCol w:w="109"/>
        <w:gridCol w:w="211"/>
        <w:gridCol w:w="616"/>
        <w:gridCol w:w="109"/>
        <w:gridCol w:w="109"/>
        <w:gridCol w:w="109"/>
        <w:gridCol w:w="109"/>
        <w:gridCol w:w="211"/>
        <w:gridCol w:w="616"/>
        <w:gridCol w:w="154"/>
      </w:tblGrid>
      <w:tr>
        <w:trPr/>
        <w:tc>
          <w:tcPr>
            <w:tcW w:w="1021"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stock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$15.2 million of total unrecognized compensation cost related to non-vested incentive awards which is expected to be recognized over weighted average period of 2.8 years.</w:t>
      </w:r>
    </w:p>
    <w:p>
      <w:pPr>
        <w:pStyle w:val="TextBody"/>
        <w:spacing w:before="0" w:after="140"/>
        <w:jc w:val="both"/>
        <w:rPr/>
      </w:pPr>
      <w:r>
        <w:rPr/>
      </w:r>
    </w:p>
    <w:p>
      <w:pPr>
        <w:pStyle w:val="TextBody"/>
        <w:spacing w:lineRule="auto" w:line="288" w:before="0" w:after="14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the treasury stock method to calculate the impact on diluted earnings (loss) per share that potentially dilutive stock-based compensation awards have. The following table indicates the computation of basic and diluted earnings (loss) per share:</w:t>
      </w:r>
    </w:p>
    <w:tbl>
      <w:tblPr>
        <w:tblW w:w="7220" w:type="dxa"/>
        <w:jc w:val="left"/>
        <w:tblInd w:w="0" w:type="dxa"/>
        <w:tblCellMar>
          <w:top w:w="28" w:type="dxa"/>
          <w:left w:w="28" w:type="dxa"/>
          <w:bottom w:w="28" w:type="dxa"/>
          <w:right w:w="28" w:type="dxa"/>
        </w:tblCellMar>
      </w:tblPr>
      <w:tblGrid>
        <w:gridCol w:w="1694"/>
        <w:gridCol w:w="1488"/>
        <w:gridCol w:w="1497"/>
        <w:gridCol w:w="109"/>
        <w:gridCol w:w="109"/>
        <w:gridCol w:w="109"/>
        <w:gridCol w:w="211"/>
        <w:gridCol w:w="616"/>
        <w:gridCol w:w="109"/>
        <w:gridCol w:w="109"/>
        <w:gridCol w:w="109"/>
        <w:gridCol w:w="109"/>
        <w:gridCol w:w="211"/>
        <w:gridCol w:w="586"/>
        <w:gridCol w:w="154"/>
      </w:tblGrid>
      <w:tr>
        <w:trPr/>
        <w:tc>
          <w:tcPr>
            <w:tcW w:w="1694"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Calculation of net income (loss)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50,146 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stock-based compensation awards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from dilutive shares and 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50,146 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approximately 478,000 anti-dilutive equity awards outstanding during the three months ended March 31, 2023. There were approximately 147,000 potentially dilutive equity awards for the three months ended March 31, 2022; however, these securities were excluded from the calculation of diluted weighted average shares outstanding due to the fact that they were anti-dilutive as a result of the Company's net loss for the period.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Government Grants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Shentel received an additional $9.8 million in newly awarded grants to strategically expand the Company's broadband network in order to provide broadband services to unserved residences. The additional grants consisted of $9.4 million awarded under the Connect Maryland Network Infrastructure Grant Program in Maryland, and $0.4 million under the Line Extension Advancement and Development program in West Virginia.</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rPr>
        <w:t xml:space="preserve">We are committed to make payments to satisfy our lease liabilities. The scheduled payments under those obligations are summarized in Note 7, </w:t>
      </w:r>
      <w:r>
        <w:rPr>
          <w:rFonts w:ascii="Times New Roman;sans-serif" w:hAnsi="Times New Roman;sans-serif"/>
          <w:b w:val="false"/>
          <w:i/>
          <w:color w:val="000000"/>
          <w:sz w:val="20"/>
        </w:rPr>
        <w:t>Leases</w:t>
      </w:r>
      <w:r>
        <w:rPr>
          <w:rFonts w:ascii="Times New Roman;sans-serif" w:hAnsi="Times New Roman;sans-serif"/>
          <w:b w:val="false"/>
          <w:color w:val="000000"/>
          <w:sz w:val="20"/>
        </w:rPr>
        <w:t>. We also have outstanding unconditional purchase commitments to procure marketing services and IT software licenses through 2026.</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involved in various litigation matters arising out of the normal course of business. The Company consults with legal counsel on those issues related to litigation and seeks input from other experts and advisors with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presently expect any litigation matters to have a material adverse impact on the Company's financial position, results of operations and cash flows.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13. Segment Reporting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Shentel has presented Residential &amp; SMB - Cable Markets and Residential &amp; SMB - Glo Fiber Markets separately for the three months ended March 31, 2023. These revenues were previously reported in one line under the description “Residential &amp; SMB”. Shentel has amended the presentation for the three months ended March 31, 2022 for comparability.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Three Months Ended March 31, 2023:</w:t>
      </w:r>
    </w:p>
    <w:tbl>
      <w:tblPr>
        <w:tblW w:w="9912" w:type="dxa"/>
        <w:jc w:val="left"/>
        <w:tblInd w:w="0" w:type="dxa"/>
        <w:tblCellMar>
          <w:top w:w="28" w:type="dxa"/>
          <w:left w:w="28" w:type="dxa"/>
          <w:bottom w:w="28" w:type="dxa"/>
          <w:right w:w="28" w:type="dxa"/>
        </w:tblCellMar>
      </w:tblPr>
      <w:tblGrid>
        <w:gridCol w:w="1205"/>
        <w:gridCol w:w="1061"/>
        <w:gridCol w:w="1063"/>
        <w:gridCol w:w="216"/>
        <w:gridCol w:w="738"/>
        <w:gridCol w:w="112"/>
        <w:gridCol w:w="109"/>
        <w:gridCol w:w="109"/>
        <w:gridCol w:w="109"/>
        <w:gridCol w:w="211"/>
        <w:gridCol w:w="616"/>
        <w:gridCol w:w="109"/>
        <w:gridCol w:w="109"/>
        <w:gridCol w:w="109"/>
        <w:gridCol w:w="109"/>
        <w:gridCol w:w="466"/>
        <w:gridCol w:w="1630"/>
        <w:gridCol w:w="243"/>
        <w:gridCol w:w="109"/>
        <w:gridCol w:w="109"/>
        <w:gridCol w:w="109"/>
        <w:gridCol w:w="245"/>
        <w:gridCol w:w="837"/>
        <w:gridCol w:w="179"/>
      </w:tblGrid>
      <w:tr>
        <w:trPr/>
        <w:tc>
          <w:tcPr>
            <w:tcW w:w="1205"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Broadband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Tower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&amp; 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revenue</w:t>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 Cable Markets</w:t>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44,756 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44,756 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 Glo Fiber Markets</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Fiber</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11,698 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11,698 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lease</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RLEC &amp; Other</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 and other</w:t>
            </w:r>
          </w:p>
        </w:tc>
        <w:tc>
          <w:tcPr>
            <w:tcW w:w="95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67,148 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71,686 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revenue and other</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5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67,203 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2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71,686 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26,567 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15,571 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10,588 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26,609 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15,782 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5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55,867 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10,936 </w:t>
            </w:r>
          </w:p>
        </w:tc>
        <w:tc>
          <w:tcPr>
            <w:tcW w:w="2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68,958 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11,336 </w:t>
            </w:r>
          </w:p>
        </w:tc>
        <w:tc>
          <w:tcPr>
            <w:tcW w:w="1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(11,029)</w:t>
            </w:r>
          </w:p>
        </w:tc>
        <w:tc>
          <w:tcPr>
            <w:tcW w:w="2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Three Months Ended March 31, 2022:</w:t>
      </w:r>
    </w:p>
    <w:tbl>
      <w:tblPr>
        <w:tblW w:w="9912" w:type="dxa"/>
        <w:jc w:val="left"/>
        <w:tblInd w:w="0" w:type="dxa"/>
        <w:tblCellMar>
          <w:top w:w="28" w:type="dxa"/>
          <w:left w:w="28" w:type="dxa"/>
          <w:bottom w:w="28" w:type="dxa"/>
          <w:right w:w="28" w:type="dxa"/>
        </w:tblCellMar>
      </w:tblPr>
      <w:tblGrid>
        <w:gridCol w:w="1205"/>
        <w:gridCol w:w="1061"/>
        <w:gridCol w:w="1063"/>
        <w:gridCol w:w="216"/>
        <w:gridCol w:w="738"/>
        <w:gridCol w:w="112"/>
        <w:gridCol w:w="109"/>
        <w:gridCol w:w="109"/>
        <w:gridCol w:w="109"/>
        <w:gridCol w:w="211"/>
        <w:gridCol w:w="616"/>
        <w:gridCol w:w="109"/>
        <w:gridCol w:w="109"/>
        <w:gridCol w:w="109"/>
        <w:gridCol w:w="109"/>
        <w:gridCol w:w="466"/>
        <w:gridCol w:w="1630"/>
        <w:gridCol w:w="243"/>
        <w:gridCol w:w="109"/>
        <w:gridCol w:w="109"/>
        <w:gridCol w:w="109"/>
        <w:gridCol w:w="245"/>
        <w:gridCol w:w="837"/>
        <w:gridCol w:w="179"/>
      </w:tblGrid>
      <w:tr>
        <w:trPr/>
        <w:tc>
          <w:tcPr>
            <w:tcW w:w="1205"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63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Broadband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Tower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&amp; 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revenue</w:t>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 Cable Markets</w:t>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43,492 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43,492 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 Glo Fiber Markets</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Fiber</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9,062 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lease</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RLEC &amp; Other</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 and other</w:t>
            </w:r>
          </w:p>
        </w:tc>
        <w:tc>
          <w:tcPr>
            <w:tcW w:w="95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59,664 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64,410 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revenue and other</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5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59,714 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2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64,414 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25,168 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26,339 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13,489 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14,684 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5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51,533 </w:t>
            </w:r>
          </w:p>
        </w:tc>
        <w:tc>
          <w:tcPr>
            <w:tcW w:w="11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11,167 </w:t>
            </w:r>
          </w:p>
        </w:tc>
        <w:tc>
          <w:tcPr>
            <w:tcW w:w="2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64,794 </w:t>
            </w:r>
          </w:p>
        </w:tc>
        <w:tc>
          <w:tcPr>
            <w:tcW w:w="17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2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8,181 </w:t>
            </w:r>
          </w:p>
        </w:tc>
        <w:tc>
          <w:tcPr>
            <w:tcW w:w="1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(11,314)</w:t>
            </w:r>
          </w:p>
        </w:tc>
        <w:tc>
          <w:tcPr>
            <w:tcW w:w="24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7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total of the reportable segments’ operating income (loss) to unaudited condensed consolidated income (loss) before income taxes is as follows:</w:t>
      </w:r>
    </w:p>
    <w:tbl>
      <w:tblPr>
        <w:tblW w:w="6140" w:type="dxa"/>
        <w:jc w:val="left"/>
        <w:tblInd w:w="0" w:type="dxa"/>
        <w:tblCellMar>
          <w:top w:w="28" w:type="dxa"/>
          <w:left w:w="28" w:type="dxa"/>
          <w:bottom w:w="28" w:type="dxa"/>
          <w:right w:w="28" w:type="dxa"/>
        </w:tblCellMar>
      </w:tblPr>
      <w:tblGrid>
        <w:gridCol w:w="1319"/>
        <w:gridCol w:w="1161"/>
        <w:gridCol w:w="1164"/>
        <w:gridCol w:w="109"/>
        <w:gridCol w:w="109"/>
        <w:gridCol w:w="109"/>
        <w:gridCol w:w="211"/>
        <w:gridCol w:w="616"/>
        <w:gridCol w:w="109"/>
        <w:gridCol w:w="109"/>
        <w:gridCol w:w="109"/>
        <w:gridCol w:w="109"/>
        <w:gridCol w:w="211"/>
        <w:gridCol w:w="541"/>
        <w:gridCol w:w="154"/>
      </w:tblGrid>
      <w:tr>
        <w:trPr/>
        <w:tc>
          <w:tcPr>
            <w:tcW w:w="1319"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consolidated operating income (loss)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chief operating decision maker (CODM) does not currently review total assets by segment since the assets are centrally managed and some of the assets are shared by the segments. Accordingly, total assets by segment are not provided.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ind w:left="0" w:right="0" w:hanging="900"/>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The following management’s discussion and analysis includes “forward-looking statements” within the meaning of Section 27A of the Securities Act of 1933 and Section 21E of the Securities Exchange Act of 1934 (the "Exchange Act").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operating results and cash flows,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but not limited to, those discussed under the caption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in the Company</w:t>
      </w:r>
      <w:r>
        <w:rPr>
          <w:color w:val="000000"/>
        </w:rPr>
        <w:t>’</w:t>
      </w:r>
      <w:r>
        <w:rPr>
          <w:rFonts w:ascii="Times New Roman;sans-serif" w:hAnsi="Times New Roman;sans-serif"/>
          <w:b w:val="false"/>
          <w:i/>
          <w:color w:val="000000"/>
          <w:sz w:val="20"/>
        </w:rPr>
        <w:t>s Annual Report on Form 10-K for its fiscal year ended December 31, 2022 ("2022 Form 10-K").</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management’s discussion and analysis should be read in conjunction with the Company’s 2022 Form 10-K, including the consolidated financial statements and related notes included therein.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Overview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 (“Shentel”, “we”, “our”, “us”, or the “Company”) is a provider of a comprehensive range of broadband communication services and cell tower colocation space in the Mid-Atlantic portion of the United States.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"Management’s Discussion and Analysis of Financial Condition and Results of Operations" ("MD&amp;A") is organized around our reportable segments. Refer to Note 13</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in our unaudited condensed consolidated financial statements for additional information.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Three Months Ended March 31, 2023 Compared with the Three Months Ended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consolidated results from operations are summarized as follows:</w:t>
      </w:r>
    </w:p>
    <w:tbl>
      <w:tblPr>
        <w:tblW w:w="9968" w:type="dxa"/>
        <w:jc w:val="left"/>
        <w:tblInd w:w="0" w:type="dxa"/>
        <w:tblCellMar>
          <w:top w:w="28" w:type="dxa"/>
          <w:left w:w="28" w:type="dxa"/>
          <w:bottom w:w="28" w:type="dxa"/>
          <w:right w:w="28" w:type="dxa"/>
        </w:tblCellMar>
      </w:tblPr>
      <w:tblGrid>
        <w:gridCol w:w="864"/>
        <w:gridCol w:w="759"/>
        <w:gridCol w:w="762"/>
        <w:gridCol w:w="109"/>
        <w:gridCol w:w="109"/>
        <w:gridCol w:w="109"/>
        <w:gridCol w:w="211"/>
        <w:gridCol w:w="721"/>
        <w:gridCol w:w="109"/>
        <w:gridCol w:w="424"/>
        <w:gridCol w:w="424"/>
        <w:gridCol w:w="426"/>
        <w:gridCol w:w="109"/>
        <w:gridCol w:w="109"/>
        <w:gridCol w:w="109"/>
        <w:gridCol w:w="211"/>
        <w:gridCol w:w="721"/>
        <w:gridCol w:w="109"/>
        <w:gridCol w:w="424"/>
        <w:gridCol w:w="424"/>
        <w:gridCol w:w="426"/>
        <w:gridCol w:w="109"/>
        <w:gridCol w:w="109"/>
        <w:gridCol w:w="109"/>
        <w:gridCol w:w="308"/>
        <w:gridCol w:w="308"/>
        <w:gridCol w:w="109"/>
        <w:gridCol w:w="109"/>
        <w:gridCol w:w="109"/>
        <w:gridCol w:w="109"/>
        <w:gridCol w:w="381"/>
        <w:gridCol w:w="385"/>
        <w:gridCol w:w="154"/>
      </w:tblGrid>
      <w:tr>
        <w:trPr/>
        <w:tc>
          <w:tcPr>
            <w:tcW w:w="86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4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approximately $7.3 million, or 11.3%, during the three months ended March 31, 2023 compared with the three months ended March 31, 2022, primarily driven by growth of $7.5 million, or 12.5%, in the Broadband segment, partially offset by a decline of $0.3 million, or 5.6%, in the Tower segment. Refer to the discussion of the results of operations for the Broadband and Tower segments, included within this MD&amp;A, for additional information.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approximately $4.2 million, or 6.4%, for the three months ended March 31, 2023 compared with the three months ended March 31, 2022, driven by $4.3 million of incremental Broadband operating expenses, partially offset by $0.2 million of lower Corporate operating expenses.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increased $1.3 million primarily due to sales taxes refunds received and interest income related to tax refunds during the three months ended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recognized an income tax expense of $1.8 million, compared with $0.1 million of income tax benefit for the three months ended March 31, 2022. The $1.7 million increase in income tax expense was driven by higher pre-tax income during the three months ended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Broadband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Broadband segment provides broadband internet, video and voice services to residential and commercial customers in portions of Virginia, West Virginia, Maryland, Pennsylvania, and Kentucky, via hybrid fiber coaxial cable under the brand name of Shentel, fiber optics under the brand name of Glo Fiber. The Broadband segment also leases dark fiber and provides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over 8,600 fiber route mile network.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indicates selected operating statistics of our Broadband segment: </w:t>
      </w:r>
    </w:p>
    <w:tbl>
      <w:tblPr>
        <w:tblW w:w="8025" w:type="dxa"/>
        <w:jc w:val="left"/>
        <w:tblInd w:w="0" w:type="dxa"/>
        <w:tblCellMar>
          <w:top w:w="28" w:type="dxa"/>
          <w:left w:w="28" w:type="dxa"/>
          <w:bottom w:w="28" w:type="dxa"/>
          <w:right w:w="28" w:type="dxa"/>
        </w:tblCellMar>
      </w:tblPr>
      <w:tblGrid>
        <w:gridCol w:w="1783"/>
        <w:gridCol w:w="1566"/>
        <w:gridCol w:w="1571"/>
        <w:gridCol w:w="109"/>
        <w:gridCol w:w="109"/>
        <w:gridCol w:w="109"/>
        <w:gridCol w:w="211"/>
        <w:gridCol w:w="721"/>
        <w:gridCol w:w="271"/>
        <w:gridCol w:w="109"/>
        <w:gridCol w:w="109"/>
        <w:gridCol w:w="109"/>
        <w:gridCol w:w="211"/>
        <w:gridCol w:w="721"/>
        <w:gridCol w:w="316"/>
      </w:tblGrid>
      <w:tr>
        <w:trPr/>
        <w:tc>
          <w:tcPr>
            <w:tcW w:w="1783" w:type="dxa"/>
            <w:tcBorders/>
            <w:shd w:fill="auto" w:val="clear"/>
            <w:vAlign w:val="center"/>
          </w:tcPr>
          <w:p>
            <w:pPr>
              <w:pStyle w:val="TableContents"/>
              <w:spacing w:before="0" w:after="283"/>
              <w:rPr>
                <w:sz w:val="4"/>
                <w:szCs w:val="4"/>
              </w:rPr>
            </w:pPr>
            <w:r>
              <w:rPr>
                <w:sz w:val="4"/>
                <w:szCs w:val="4"/>
              </w:rPr>
            </w:r>
          </w:p>
        </w:tc>
        <w:tc>
          <w:tcPr>
            <w:tcW w:w="1566"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homes and businesses passed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377,348 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305,053 </w:t>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Cable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212,290 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211,442 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 Fiber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165,058 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93,611 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Small and Medium Business ("SMB") RGUs: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121,074 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Cable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109,920 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107,291 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 Fiber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13,783 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45,660 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49,163 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40,135 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36,042 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 &amp; SMB RGUs (excludes RLEC)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224,508 </w:t>
            </w:r>
          </w:p>
        </w:tc>
        <w:tc>
          <w:tcPr>
            <w:tcW w:w="27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206,279 </w:t>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Penetration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Cable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 Fiber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7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ARPU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Cable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 Fiber Markets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74.18 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Video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Fiber route miles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fiber miles (4)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709,123 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564,097 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(2)Penetration is calculated by dividing the number of users by the number of passings or available homes, as appropriate.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(3)Average Revenue Per RGU calculation = (Residential &amp; SMB Revenue) / average RGUs / 3 months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(4)Total fiber miles are measured by taking the number of fiber strands in a cable and multiplying that number by the route distance. For example, a 10 mile route with 144 fiber strands would equal 1,440 fiber miles.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Three Months Ended March 31, 2023 Compared with the Three Months Ended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Broadband results from operations are summarized as follows:</w:t>
      </w:r>
    </w:p>
    <w:tbl>
      <w:tblPr>
        <w:tblW w:w="10205" w:type="dxa"/>
        <w:jc w:val="center"/>
        <w:tblInd w:w="0" w:type="dxa"/>
        <w:tblCellMar>
          <w:top w:w="28" w:type="dxa"/>
          <w:left w:w="28" w:type="dxa"/>
          <w:bottom w:w="28" w:type="dxa"/>
          <w:right w:w="28" w:type="dxa"/>
        </w:tblCellMar>
      </w:tblPr>
      <w:tblGrid>
        <w:gridCol w:w="1134"/>
        <w:gridCol w:w="919"/>
        <w:gridCol w:w="923"/>
        <w:gridCol w:w="109"/>
        <w:gridCol w:w="109"/>
        <w:gridCol w:w="109"/>
        <w:gridCol w:w="211"/>
        <w:gridCol w:w="721"/>
        <w:gridCol w:w="109"/>
        <w:gridCol w:w="401"/>
        <w:gridCol w:w="383"/>
        <w:gridCol w:w="385"/>
        <w:gridCol w:w="109"/>
        <w:gridCol w:w="109"/>
        <w:gridCol w:w="109"/>
        <w:gridCol w:w="211"/>
        <w:gridCol w:w="721"/>
        <w:gridCol w:w="109"/>
        <w:gridCol w:w="401"/>
        <w:gridCol w:w="383"/>
        <w:gridCol w:w="385"/>
        <w:gridCol w:w="109"/>
        <w:gridCol w:w="109"/>
        <w:gridCol w:w="109"/>
        <w:gridCol w:w="308"/>
        <w:gridCol w:w="308"/>
        <w:gridCol w:w="109"/>
        <w:gridCol w:w="109"/>
        <w:gridCol w:w="109"/>
        <w:gridCol w:w="109"/>
        <w:gridCol w:w="308"/>
        <w:gridCol w:w="308"/>
        <w:gridCol w:w="160"/>
      </w:tblGrid>
      <w:tr>
        <w:trPr/>
        <w:tc>
          <w:tcPr>
            <w:tcW w:w="1134"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operating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 Cable Markets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&amp; SMB - Glo Fiber Markets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Fiber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RLEC &amp;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broadband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38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broadband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3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38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Broadband operating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3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84"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w:t>
      </w:r>
    </w:p>
    <w:p>
      <w:pPr>
        <w:pStyle w:val="TextBody"/>
        <w:spacing w:lineRule="auto" w:line="288" w:before="0" w:after="0"/>
        <w:ind w:left="0" w:right="0" w:hanging="360"/>
        <w:jc w:val="both"/>
        <w:rPr/>
      </w:pPr>
      <w:r>
        <w:rPr>
          <w:rFonts w:ascii="Times New Roman;sans-serif" w:hAnsi="Times New Roman;sans-serif"/>
          <w:b/>
          <w:i/>
          <w:color w:val="212529"/>
          <w:sz w:val="16"/>
        </w:rPr>
        <w:t>(1)</w:t>
      </w:r>
      <w:r>
        <w:rPr>
          <w:rFonts w:ascii="Times New Roman;sans-serif" w:hAnsi="Times New Roman;sans-serif"/>
          <w:b w:val="false"/>
          <w:color w:val="000000"/>
          <w:sz w:val="16"/>
        </w:rPr>
        <w:t>Shentel has presented Residential &amp; SMB - Cable Markets and Residential &amp; SMB - Glo Fiber Markets separately for the three months ended March 31, 2023. These revenues were previously reported in one line under the description “Residential &amp; SMB”. Shentel has amended the presentation for the three months ended March 31, 2022 for comparability.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Residential &amp; SMB - Cable Markets 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&amp; SMB - Cable Markets revenue for the three months ended March 31, 2023 increased approximately $1.3 million, or 2.9%, compared with the three months ended March 31, 2022, primarily driven by 2.5% year-over-year growth in data RGUs and 2.4% increase in data ARPU driven by increased customer demand for higher speed data service.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Residential &amp; SMB - Glo Fiber Markets 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&amp; SMB - Glo Fiber Markets revenue for the three months ended March 31, 2023 increased approximately $3.6 million, or 104.7%, compared with the three months ended March 31, 2022, primarily driven by 108.9% year-over-year growth in data RGUs driven by the Company's expansion of Glo Fiber.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Commercial Fiber revenue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Commercial Fiber revenue for the three months ended March 31, 2023 increased approximately $2.6 million, or 29.1%, compared with the three months ended March 31, 2022, primarily driven by $1.8 million in T-Mobile non-recurring early termination fees and $0.8 million in recurring revenue driven by 17.1% increase in connections. T-Mobile disconnected 188 backhaul circuits during the first quarter as part of their previously announced rationalization of the former Sprint network. The Company expects 174 additional backhaul disconnects in 2023 as part of the network rationalization.</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Cost of services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for the three months ended March 31, 2023, increased approximately $0.3 million, or 1.0%, compared with the three months ended March 31, 2022, primarily driven by higher costs associated with consumable materials and supplies, maintenance and rent, partially offset by lower medical costs.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for the three months ended March 31, 2023, increased $2.1 million, or 15.4%, compared with the three months ended March 31, 2022, primarily driven by higher advertising costs associated with the Company's expansion of Glo Fiber and a change in strategy to drive more gross adds to low cost sales channels, higher information technology costs as a result of the Company's investment in upgraded systems, and higher operating taxes associated with increased network assets associated with the expansion of Glo Fiber.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increased $2.0 million, or 15.5%, compared with the three months ended March 31, 2022, primarily as a result of the Company's expansion of its Glo Fiber network.</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Tower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Tower segment owns cell towers and leases colocation space on the towers to wireless communications providers. Substantially all of our owned towers are built on ground that we lease from the respective landlords.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indicates selected operating statistics of the Tower segment: </w:t>
      </w:r>
    </w:p>
    <w:tbl>
      <w:tblPr>
        <w:tblW w:w="4867" w:type="dxa"/>
        <w:jc w:val="left"/>
        <w:tblInd w:w="0" w:type="dxa"/>
        <w:tblCellMar>
          <w:top w:w="28" w:type="dxa"/>
          <w:left w:w="28" w:type="dxa"/>
          <w:bottom w:w="28" w:type="dxa"/>
          <w:right w:w="28" w:type="dxa"/>
        </w:tblCellMar>
      </w:tblPr>
      <w:tblGrid>
        <w:gridCol w:w="805"/>
        <w:gridCol w:w="704"/>
        <w:gridCol w:w="711"/>
        <w:gridCol w:w="109"/>
        <w:gridCol w:w="109"/>
        <w:gridCol w:w="109"/>
        <w:gridCol w:w="324"/>
        <w:gridCol w:w="324"/>
        <w:gridCol w:w="326"/>
        <w:gridCol w:w="109"/>
        <w:gridCol w:w="109"/>
        <w:gridCol w:w="109"/>
        <w:gridCol w:w="298"/>
        <w:gridCol w:w="298"/>
        <w:gridCol w:w="423"/>
      </w:tblGrid>
      <w:tr>
        <w:trPr/>
        <w:tc>
          <w:tcPr>
            <w:tcW w:w="805"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2022</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Macro tower sites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3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42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Tenants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3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4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tenants per tower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Three Months Ended March 31, 2023 Compared with the Three Months Ended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Tower results from operations are summarized as follows:</w:t>
      </w:r>
    </w:p>
    <w:tbl>
      <w:tblPr>
        <w:tblW w:w="9350" w:type="dxa"/>
        <w:jc w:val="center"/>
        <w:tblInd w:w="0" w:type="dxa"/>
        <w:tblCellMar>
          <w:top w:w="28" w:type="dxa"/>
          <w:left w:w="28" w:type="dxa"/>
          <w:bottom w:w="28" w:type="dxa"/>
          <w:right w:w="28" w:type="dxa"/>
        </w:tblCellMar>
      </w:tblPr>
      <w:tblGrid>
        <w:gridCol w:w="809"/>
        <w:gridCol w:w="711"/>
        <w:gridCol w:w="714"/>
        <w:gridCol w:w="109"/>
        <w:gridCol w:w="109"/>
        <w:gridCol w:w="109"/>
        <w:gridCol w:w="211"/>
        <w:gridCol w:w="616"/>
        <w:gridCol w:w="109"/>
        <w:gridCol w:w="424"/>
        <w:gridCol w:w="424"/>
        <w:gridCol w:w="426"/>
        <w:gridCol w:w="109"/>
        <w:gridCol w:w="109"/>
        <w:gridCol w:w="109"/>
        <w:gridCol w:w="211"/>
        <w:gridCol w:w="616"/>
        <w:gridCol w:w="109"/>
        <w:gridCol w:w="424"/>
        <w:gridCol w:w="424"/>
        <w:gridCol w:w="426"/>
        <w:gridCol w:w="109"/>
        <w:gridCol w:w="109"/>
        <w:gridCol w:w="109"/>
        <w:gridCol w:w="269"/>
        <w:gridCol w:w="271"/>
        <w:gridCol w:w="109"/>
        <w:gridCol w:w="109"/>
        <w:gridCol w:w="109"/>
        <w:gridCol w:w="109"/>
        <w:gridCol w:w="291"/>
        <w:gridCol w:w="294"/>
        <w:gridCol w:w="154"/>
      </w:tblGrid>
      <w:tr>
        <w:trPr/>
        <w:tc>
          <w:tcPr>
            <w:tcW w:w="80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revenue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2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operating expenses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Tower operating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4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4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decreased approximately $0.3 million, or 5.6%, for the three months ended March 31, 2023 compared with the three months ended March 31, 2022, primarily due to lower application fee revenue.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0"/>
        <w:jc w:val="both"/>
        <w:rPr/>
      </w:pPr>
      <w:r>
        <w:rPr>
          <w:rFonts w:ascii="Times New Roman;sans-serif" w:hAnsi="Times New Roman;sans-serif"/>
          <w:b w:val="false"/>
          <w:color w:val="000000"/>
          <w:sz w:val="20"/>
          <w:highlight w:val="white"/>
        </w:rPr>
        <w:t xml:space="preserve">Operating expenses for the </w:t>
      </w:r>
      <w:r>
        <w:rPr>
          <w:rFonts w:ascii="Times New Roman;sans-serif" w:hAnsi="Times New Roman;sans-serif"/>
          <w:b w:val="false"/>
          <w:color w:val="000000"/>
          <w:sz w:val="20"/>
        </w:rPr>
        <w:t>three months ended March 31, 2023</w:t>
      </w:r>
      <w:r>
        <w:rPr>
          <w:color w:val="000000"/>
          <w:highlight w:val="white"/>
        </w:rPr>
        <w:t xml:space="preserve"> </w:t>
      </w:r>
      <w:r>
        <w:rPr>
          <w:rFonts w:ascii="Times New Roman;sans-serif" w:hAnsi="Times New Roman;sans-serif"/>
          <w:b w:val="false"/>
          <w:color w:val="000000"/>
          <w:sz w:val="20"/>
          <w:highlight w:val="white"/>
        </w:rPr>
        <w:t xml:space="preserve">were consistent with operating expenses for the </w:t>
      </w:r>
      <w:r>
        <w:rPr>
          <w:rFonts w:ascii="Times New Roman;sans-serif" w:hAnsi="Times New Roman;sans-serif"/>
          <w:b w:val="false"/>
          <w:color w:val="000000"/>
          <w:sz w:val="20"/>
        </w:rPr>
        <w:t>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Financial Condition, Liquidity and Capital Resources</w:t>
      </w:r>
    </w:p>
    <w:p>
      <w:pPr>
        <w:pStyle w:val="TextBody"/>
        <w:spacing w:before="0" w:after="0"/>
        <w:rPr/>
      </w:pPr>
      <w:r>
        <w:rPr/>
      </w:r>
    </w:p>
    <w:p>
      <w:pPr>
        <w:pStyle w:val="TextBody"/>
        <w:spacing w:lineRule="auto" w:line="276" w:before="0" w:after="0"/>
        <w:jc w:val="both"/>
        <w:rPr/>
      </w:pPr>
      <w:r>
        <w:rPr>
          <w:rFonts w:ascii="Times New Roman;sans-serif" w:hAnsi="Times New Roman;sans-serif"/>
          <w:b w:val="false"/>
          <w:i/>
          <w:color w:val="000000"/>
          <w:sz w:val="20"/>
        </w:rPr>
        <w:t xml:space="preserve">Sources and Uses of Cash: </w:t>
      </w:r>
      <w:r>
        <w:rPr>
          <w:rFonts w:ascii="Times New Roman;sans-serif" w:hAnsi="Times New Roman;sans-serif"/>
          <w:b w:val="false"/>
          <w:color w:val="000000"/>
          <w:sz w:val="20"/>
        </w:rPr>
        <w:t>Our principal sources of liquidity are our cash and cash equivalents, cash generated from operations, and borrowings under our Credit Agreement, dated July 1, 2021 (the "Credit Agreement").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2021, Congress passed the America Rescue Plan Act to subsidize the deployment of high-speed broadband internet access in unserved areas. We have been awarded approximately $81.2 million in grants to serve approximately 22,800 unserved homes in the states of Virginia, West Virginia and Maryland. The grants will be paid to the Company as certain milestones are completed. The Company expects to its fulfill its performance obligations during the period from 2023 to 2025.</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our cash and cash equivalents totaled $48.4 million and the availability under our delayed draw term loans and revolving line of credit was $300.0 million, for total available liquidity of $348.4 million.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activities generated approximately $48.3 million of cash during the three months ended March 31, 2023, representing an increase of $32.3 million compared with the prior year period, driven primarily by tax refunds received during the three months ended March 31, 2023 and changes in working capital.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increased $22.0 million during the three months ended March 31, 2023, compared with the three months ended March 31, 2022, due to a $22.0 million increase in capital expenditures as a result of higher spending in the Broadband segment to enable our Glo Fiber market expansion.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$23.6 million during the three months ended March 31, 2023, compared with net cash used in financing activities of $0.8 million for the three months ended March 31, 2022. The change was primarily due to $25.0 million borrowed under the Company's team loans during the three months ended March 31, 2023, partially offset by increases in cash paid for taxes associated with equity award issuances.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received approximately $28.6 million in cash refunds for income and sales taxes during the three months ended March 31, 2023.</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Indebtedness</w:t>
      </w:r>
      <w:r>
        <w:rPr>
          <w:rFonts w:ascii="Times New Roman;sans-serif" w:hAnsi="Times New Roman;sans-serif"/>
          <w:b w:val="false"/>
          <w:color w:val="000000"/>
          <w:sz w:val="20"/>
        </w:rPr>
        <w:t xml:space="preserve">: During the three months ended March 31, 2023, we borrowed $12.5 million under each of the delayed draw term loan facilities available under the Credit Agreement for a total of $25.0 million. The commitments of the lenders under the Credit Agreement to make these term loans to us expire on June 30, 2023. After this date, we will not be able to borrow any undrawn portion of the term loan commitments. We expect to borrow the remaining $200.0 million available under these term loans by June 2023 to fund planned capital expenditures to continue our Glo Fiber network expansion. As of March 31, 2023, the Company’s indebtedness totaled approximately $100.0 million, net of unamortized loan fees of $43.0 thousand, with an annualized overall weighted average effective interest rate of approximately 7.08%.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be required to commence making principal repayments of these term loans on September 30, 2023. The amount of these principal repayments is calculated as a percentage of the principal amount of the Term Loans outstanding. Based on the principal amounts outstanding as of March 31, 2023, (i) the first term loan will require quarterly principal repayments of $0.3 million from September 30, 2023 through June 30, 2024, then increasing to $0.6 million quarterly from September 30, 2024 through March 31, 2026, with the remaining balance due June 30, 2026, and (ii) the second term loan will require quarterly principal repayments of $0.1 million through March 31, 2028, with the remaining balance due June 30, 2028. These repayment amounts, as well as our interest expense, will increase to the extent we borrow any of the remaining $200.0 million available under the term loans by the borrowing deadline as we expect.</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 xml:space="preserve">Refer to Note 8, </w:t>
      </w:r>
      <w:r>
        <w:rPr>
          <w:rFonts w:ascii="Times New Roman;sans-serif" w:hAnsi="Times New Roman;sans-serif"/>
          <w:b w:val="false"/>
          <w:i/>
          <w:color w:val="000000"/>
          <w:sz w:val="20"/>
        </w:rPr>
        <w:t xml:space="preserve">Debt, </w:t>
      </w:r>
      <w:r>
        <w:rPr>
          <w:rFonts w:ascii="Times New Roman;sans-serif" w:hAnsi="Times New Roman;sans-serif"/>
          <w:b w:val="false"/>
          <w:color w:val="000000"/>
          <w:sz w:val="20"/>
        </w:rPr>
        <w:t>for more information about the Company's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was in compliance with the financial covenants in our Credit Agreement.</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cash on hand, cash flow from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our capital expenditures of $67.7 million exceeded our cash flow provided from continuing operations by $19.3 million, and we expect our capital expenditures will continue to exceed the cash flow provided from operations through 2025, as we expand our Glo Fiber broadband network to potentially reach over 450,000 passings. During 2023, we anticipate funding up to $320.0 million in capital expenditures related to continuing our Glo Fiber network expansion with net cash provided by operating activities, proceeds from our delayed draw term loans and government grants.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amount and timing of our future capital requirements may differ materially from our estimates depending on the demand for our products and services, new market developments and expansion opportunities.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Critical Accounting Policies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critical accounting policies previously disclosed in Part II, Item 8 of our 2022 Form 10-K for the year ended December 31, 2022.</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borrowed a total of $100 million pursuant to the variable rate delayed draw term loans available under the Credit Agreement, and we expect to continue to borrow under our Credit Agreement as needed to fund the Company's future capital expenditures. We expect to draw an additional $200.0 million against the Credit Agreement by June 2023. Fluctuations in interest rates on future borrowings could result in increased market risk.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$100.0 million of gross variable rate debt outstanding, bearing interest at an annualized weighted average effective rate of 7.08%. An increase in market interest rates of 1.00% would add approximately $1.0 million to annual interest expense. </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 xml:space="preserve">ITEM 4.CONTROLS AND PROCEDURES </w:t>
      </w:r>
    </w:p>
    <w:p>
      <w:pPr>
        <w:pStyle w:val="TextBody"/>
        <w:spacing w:before="0" w:after="0"/>
        <w:ind w:left="0" w:right="0" w:hanging="54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March 31, 2023. Our certifying officers concluded that our disclosure controls and procedures were effective as of March 31, 2023.</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fiscal quarter ended March 31, 2023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or results of operations. Regardless of final outcomes, however, any such proceedings, claims, and investigations may nonetheless impose a significant burden on management and employees and be costly to defend, with unfavorable preliminary or interim rulings.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jc w:val="both"/>
        <w:rPr/>
      </w:pPr>
      <w:r>
        <w:rPr>
          <w:rFonts w:ascii="Times New Roman;sans-serif" w:hAnsi="Times New Roman;sans-serif"/>
          <w:b/>
          <w:color w:val="000000"/>
          <w:sz w:val="20"/>
        </w:rPr>
        <w:t>ITEM 1A.</w:t>
      </w:r>
      <w:r>
        <w:rPr>
          <w:color w:val="000000"/>
        </w:rPr>
        <w:t xml:space="preserve"> </w:t>
      </w:r>
      <w:r>
        <w:rPr>
          <w:rFonts w:ascii="Times New Roman;sans-serif" w:hAnsi="Times New Roman;sans-serif"/>
          <w:b/>
          <w:color w:val="000000"/>
          <w:sz w:val="20"/>
        </w:rPr>
        <w:t>RISK FACTORS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in our Annual Report on Form 10-K various risks that may materially affect our business. We use this section to update this discussion to reflect material developments since our Form 10-K was filed. As of March 31, 2023, the Company has not identified any needed updates to the risk factors included in our most recent Form 10-K.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900"/>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Use of Proceeds from Registered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ind w:left="0" w:right="0" w:firstLine="90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 or Affiliated Purchasers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vesting of stock awards or exercise of stock options, the grantees may surrender awards necessary to cover the statutory tax withholding requirements and any amounts required to cover stock option strike prices associated with the transaction. The following table provides information about shares surrendered during the quarter ended March 31, 2023, to settle employee tax withholding obligations related to the vesting of stock awards.</w:t>
      </w:r>
    </w:p>
    <w:p>
      <w:pPr>
        <w:pStyle w:val="TextBody"/>
        <w:spacing w:before="0" w:after="0"/>
        <w:jc w:val="both"/>
        <w:rPr/>
      </w:pPr>
      <w:r>
        <w:rPr/>
      </w:r>
    </w:p>
    <w:tbl>
      <w:tblPr>
        <w:tblW w:w="6805" w:type="dxa"/>
        <w:jc w:val="left"/>
        <w:tblInd w:w="0" w:type="dxa"/>
        <w:tblCellMar>
          <w:top w:w="28" w:type="dxa"/>
          <w:left w:w="28" w:type="dxa"/>
          <w:bottom w:w="28" w:type="dxa"/>
          <w:right w:w="28" w:type="dxa"/>
        </w:tblCellMar>
      </w:tblPr>
      <w:tblGrid>
        <w:gridCol w:w="1248"/>
        <w:gridCol w:w="1097"/>
        <w:gridCol w:w="1104"/>
        <w:gridCol w:w="539"/>
        <w:gridCol w:w="539"/>
        <w:gridCol w:w="541"/>
        <w:gridCol w:w="109"/>
        <w:gridCol w:w="109"/>
        <w:gridCol w:w="109"/>
        <w:gridCol w:w="413"/>
        <w:gridCol w:w="413"/>
        <w:gridCol w:w="584"/>
      </w:tblGrid>
      <w:tr>
        <w:trPr/>
        <w:tc>
          <w:tcPr>
            <w:tcW w:w="1248"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amounts)</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br/>
              <w:t>Surrendered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Price</w:t>
              <w:br/>
              <w:t>Paid per Share</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to January 31</w:t>
            </w:r>
          </w:p>
        </w:tc>
        <w:tc>
          <w:tcPr>
            <w:tcW w:w="1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to February 28</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$19.31</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to March 31</w:t>
            </w:r>
          </w:p>
        </w:tc>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619"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rPr/>
      </w:pPr>
      <w:r>
        <w:rPr>
          <w:rFonts w:ascii="Times New Roman;sans-serif" w:hAnsi="Times New Roman;sans-serif"/>
          <w:b/>
          <w:color w:val="000000"/>
          <w:sz w:val="20"/>
        </w:rPr>
        <w:t>ITEM 6. </w:t>
      </w:r>
      <w:r>
        <w:rPr>
          <w:color w:val="000000"/>
        </w:rPr>
        <w:t>    </w:t>
      </w:r>
      <w:r>
        <w:rPr>
          <w:rFonts w:ascii="Times New Roman;sans-serif" w:hAnsi="Times New Roman;sans-serif"/>
          <w:b/>
          <w:color w:val="000000"/>
          <w:sz w:val="20"/>
        </w:rPr>
        <w:t>Exhibits Index</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30"/>
        <w:gridCol w:w="290"/>
        <w:gridCol w:w="291"/>
        <w:gridCol w:w="628"/>
        <w:gridCol w:w="558"/>
        <w:gridCol w:w="558"/>
        <w:gridCol w:w="1333"/>
        <w:gridCol w:w="1137"/>
        <w:gridCol w:w="1137"/>
        <w:gridCol w:w="1137"/>
        <w:gridCol w:w="1137"/>
        <w:gridCol w:w="1669"/>
      </w:tblGrid>
      <w:tr>
        <w:trPr/>
        <w:tc>
          <w:tcPr>
            <w:tcW w:w="33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669" w:type="dxa"/>
            <w:tcBorders/>
            <w:shd w:fill="auto" w:val="clear"/>
            <w:vAlign w:val="center"/>
          </w:tcPr>
          <w:p>
            <w:pPr>
              <w:pStyle w:val="TableContents"/>
              <w:spacing w:before="0" w:after="283"/>
              <w:rPr>
                <w:sz w:val="4"/>
                <w:szCs w:val="4"/>
              </w:rPr>
            </w:pPr>
            <w:r>
              <w:rPr>
                <w:sz w:val="4"/>
                <w:szCs w:val="4"/>
              </w:rPr>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929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Description</w:t>
            </w:r>
          </w:p>
        </w:tc>
      </w:tr>
      <w:tr>
        <w:trPr/>
        <w:tc>
          <w:tcPr>
            <w:tcW w:w="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shenex31103312023.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929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 13a-14(a) under the Securities Exchange Act of 1934.</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shenex31203312023.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929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 13a-14(a) under the Securities Exchange Act of 1934.</w:t>
            </w:r>
          </w:p>
        </w:tc>
      </w:tr>
      <w:tr>
        <w:trPr/>
        <w:tc>
          <w:tcPr>
            <w:tcW w:w="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shenex31303312023.htm">
              <w:r>
                <w:rPr>
                  <w:rStyle w:val="InternetLink"/>
                  <w:rFonts w:ascii="Times New Roman;sans-serif" w:hAnsi="Times New Roman;sans-serif"/>
                  <w:b w:val="false"/>
                  <w:color w:val="0000FF"/>
                  <w:sz w:val="20"/>
                  <w:u w:val="single"/>
                </w:rPr>
                <w:t>31.3</w:t>
              </w:r>
            </w:hyperlink>
            <w:r>
              <w:rPr>
                <w:rFonts w:ascii="Times New Roman;sans-serif" w:hAnsi="Times New Roman;sans-serif"/>
                <w:b w:val="false"/>
                <w:color w:val="000000"/>
                <w:sz w:val="20"/>
              </w:rPr>
              <w:t>*</w:t>
            </w:r>
          </w:p>
        </w:tc>
        <w:tc>
          <w:tcPr>
            <w:tcW w:w="929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Accounting Officer pursuant to Rule 13a-14(a) under the Securities Exchange Act of 1934.</w:t>
            </w:r>
          </w:p>
        </w:tc>
      </w:tr>
      <w:tr>
        <w:trPr/>
        <w:tc>
          <w:tcPr>
            <w:tcW w:w="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shenex3203312023.htm">
              <w:r>
                <w:rPr>
                  <w:rStyle w:val="InternetLink"/>
                  <w:rFonts w:ascii="Times New Roman;sans-serif" w:hAnsi="Times New Roman;sans-serif"/>
                  <w:b w:val="false"/>
                  <w:color w:val="0000FF"/>
                  <w:sz w:val="20"/>
                  <w:u w:val="single"/>
                </w:rPr>
                <w:t>32</w:t>
              </w:r>
            </w:hyperlink>
            <w:r>
              <w:rPr>
                <w:rFonts w:ascii="Times New Roman;sans-serif" w:hAnsi="Times New Roman;sans-serif"/>
                <w:b w:val="false"/>
                <w:color w:val="000000"/>
                <w:sz w:val="20"/>
              </w:rPr>
              <w:t>**</w:t>
            </w:r>
          </w:p>
        </w:tc>
        <w:tc>
          <w:tcPr>
            <w:tcW w:w="929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Certifications pursuant to Rule 13a-14(b) under the Securities Exchange Act of 1934 and 18 U.S.C. § 1350.</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29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Formatted in Inline XBRL (Extensible Business Reporting Language)</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6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755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29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spacing w:lineRule="auto" w:line="288" w:before="0" w:after="0"/>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32" w:space="0" w:color="444444"/>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200" w:after="20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cee1655322b04c7bb3ca4d7087f664e7_7">
        <w:r>
          <w:rPr>
            <w:rStyle w:val="InternetLink"/>
            <w:rFonts w:ascii="Times New Roman;sans-serif" w:hAnsi="Times New Roman;sans-serif"/>
            <w:b w:val="false"/>
            <w:i/>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112" w:type="dxa"/>
        <w:jc w:val="left"/>
        <w:tblInd w:w="0" w:type="dxa"/>
        <w:tblCellMar>
          <w:top w:w="28" w:type="dxa"/>
          <w:left w:w="28" w:type="dxa"/>
          <w:bottom w:w="28" w:type="dxa"/>
          <w:right w:w="28" w:type="dxa"/>
        </w:tblCellMar>
      </w:tblPr>
      <w:tblGrid>
        <w:gridCol w:w="124"/>
        <w:gridCol w:w="109"/>
        <w:gridCol w:w="109"/>
        <w:gridCol w:w="1396"/>
        <w:gridCol w:w="1396"/>
        <w:gridCol w:w="19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9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SHENANDOAH TELECOMMUNICATIONS COMPANY</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4526" w:type="dxa"/>
        <w:jc w:val="left"/>
        <w:tblInd w:w="0" w:type="dxa"/>
        <w:tblCellMar>
          <w:top w:w="28" w:type="dxa"/>
          <w:left w:w="28" w:type="dxa"/>
          <w:bottom w:w="28" w:type="dxa"/>
          <w:right w:w="28" w:type="dxa"/>
        </w:tblCellMar>
      </w:tblPr>
      <w:tblGrid>
        <w:gridCol w:w="124"/>
        <w:gridCol w:w="109"/>
        <w:gridCol w:w="109"/>
        <w:gridCol w:w="1218"/>
        <w:gridCol w:w="1218"/>
        <w:gridCol w:w="174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James J. Volk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Volk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and Chief Financial Officer </w:t>
            </w:r>
          </w:p>
          <w:p>
            <w:pPr>
              <w:pStyle w:val="TableContents"/>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E. French, certify that:</w:t>
      </w:r>
    </w:p>
    <w:p>
      <w:pPr>
        <w:pStyle w:val="TextBody"/>
        <w:spacing w:before="0" w:after="0"/>
        <w:ind w:left="0" w:right="0" w:firstLine="720"/>
        <w:jc w:val="both"/>
        <w:rPr/>
      </w:pPr>
      <w:r>
        <w:rPr/>
      </w:r>
    </w:p>
    <w:p>
      <w:pPr>
        <w:pStyle w:val="TextBody"/>
        <w:spacing w:lineRule="auto" w:line="288" w:before="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Shenandoah Telecommunications Company;</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720"/>
        <w:jc w:val="both"/>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w:t>
      </w:r>
      <w:r>
        <w:rPr>
          <w:color w:val="000000"/>
        </w:rPr>
        <w:t> </w:t>
      </w:r>
      <w:r>
        <w:rPr>
          <w:rFonts w:ascii="Times New Roman;sans-serif" w:hAnsi="Times New Roman;sans-serif"/>
          <w:b w:val="false"/>
          <w:color w:val="000000"/>
          <w:sz w:val="20"/>
        </w:rPr>
        <w:t>and internal control over financial reporting (as defined in Exchange Act Rules 13a-15(f) and 15d</w:t>
        <w:noBreakHyphen/>
        <w:t>15(f)) for the registrant and have: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(2)Any fraud, whether or not material, that involves management or other employees who have a significant role in the registrant’s internal control over financial reporting.</w:t>
      </w:r>
    </w:p>
    <w:p>
      <w:pPr>
        <w:pStyle w:val="TextBody"/>
        <w:spacing w:lineRule="auto" w:line="288" w:before="0" w:after="0"/>
        <w:jc w:val="both"/>
        <w:rPr>
          <w:color w:val="000000"/>
        </w:rPr>
      </w:pPr>
      <w:r>
        <w:rPr>
          <w:color w:val="000000"/>
        </w:rPr>
        <w:t> </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CHRISTOPHER E. FRENCH</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Christopher E. French, President and Chief Executive Officer</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p>
      <w:pPr>
        <w:pStyle w:val="TextBody"/>
        <w:spacing w:lineRule="auto" w:line="288" w:before="0" w:after="0"/>
        <w:rPr>
          <w:color w:val="000000"/>
        </w:rPr>
      </w:pPr>
      <w:r>
        <w:rPr>
          <w:color w:val="000000"/>
        </w:rPr>
        <w:t> </w:t>
      </w: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rPr>
          <w:color w:val="000000"/>
        </w:rPr>
      </w:pPr>
      <w:r>
        <w:rPr>
          <w:color w:val="000000"/>
        </w:rPr>
        <w:t> </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James J. Volk, certify that:</w:t>
      </w:r>
    </w:p>
    <w:p>
      <w:pPr>
        <w:pStyle w:val="TextBody"/>
        <w:spacing w:lineRule="auto" w:line="288" w:before="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Shenandoah Telecommunications Company;</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63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(2)Any fraud, whether or not material, that involves management or other employees who have a significant role in the registrant’s internal control over financial reporting. </w:t>
      </w:r>
    </w:p>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/s/JAMES J. VOLK</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James J. Volk, Senior Vice President – Chief Financial Officer</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Date: April 28, 2023</w:t>
      </w:r>
    </w:p>
    <w:p>
      <w:pPr>
        <w:pStyle w:val="TextBody"/>
        <w:spacing w:lineRule="auto" w:line="288" w:before="0" w:after="0"/>
        <w:rPr>
          <w:color w:val="000000"/>
        </w:rPr>
      </w:pPr>
      <w:r>
        <w:rPr>
          <w:color w:val="000000"/>
        </w:rPr>
        <w:t> </w:t>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spacing w:lineRule="auto" w:line="288" w:before="0" w:after="0"/>
        <w:jc w:val="right"/>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Dennis Romps, certify that:</w:t>
      </w:r>
    </w:p>
    <w:p>
      <w:pPr>
        <w:pStyle w:val="TextBody"/>
        <w:spacing w:lineRule="auto" w:line="288" w:before="0" w:after="12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Shenandoah Telecommunications Company;</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(2)Any fraud, whether or not material, that involves management or other employees who have a significant role in the registrant’s internal control over financial reporting.</w:t>
      </w:r>
    </w:p>
    <w:p>
      <w:pPr>
        <w:pStyle w:val="TextBody"/>
        <w:spacing w:before="0" w:after="0"/>
        <w:ind w:left="0" w:right="0" w:firstLine="720"/>
        <w:rPr/>
      </w:pPr>
      <w:r>
        <w:rPr/>
      </w:r>
    </w:p>
    <w:p>
      <w:pPr>
        <w:pStyle w:val="TextBody"/>
        <w:spacing w:before="0" w:after="0"/>
        <w:ind w:left="0" w:right="0" w:firstLine="720"/>
        <w:rPr/>
      </w:pPr>
      <w:r>
        <w:rPr/>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/s/DENNIS ROMPS</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Dennis Romps, Vice President - Chief Accounting Officer</w:t>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Officer)</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Date: April 28, 2023 </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Written Statement of Chief Executive Officer and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of the undersigned, the President and Chief Executive Officer and the Senior Vice President - Chief Financial Officer, of Shenandoah Telecommunications Company (the “Company”), hereby certifies that, on the date hereof:</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        The quarterly report on Form 10-Q of the Company for the three months ended March 31, 2023 filed on the date hereof with the Securities and Exchange Commission (the “Report”) fully complies with the requirements of Section 13(a) or 15(d) of the Securities Exchange Act of 1934; and</w:t>
      </w:r>
    </w:p>
    <w:p>
      <w:pPr>
        <w:pStyle w:val="TextBody"/>
        <w:spacing w:lineRule="auto" w:line="288" w:before="0" w:after="0"/>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        Information contained in the Report fairly presents, in all material respects, the financial condition and result of operations of the Company.</w:t>
      </w:r>
    </w:p>
    <w:p>
      <w:pPr>
        <w:pStyle w:val="TextBody"/>
        <w:spacing w:before="0" w:after="0"/>
        <w:rPr/>
      </w:pPr>
      <w:r>
        <w:rPr/>
      </w:r>
    </w:p>
    <w:tbl>
      <w:tblPr>
        <w:tblW w:w="4286" w:type="dxa"/>
        <w:jc w:val="left"/>
        <w:tblInd w:w="0" w:type="dxa"/>
        <w:tblCellMar>
          <w:top w:w="28" w:type="dxa"/>
          <w:left w:w="28" w:type="dxa"/>
          <w:bottom w:w="28" w:type="dxa"/>
          <w:right w:w="28" w:type="dxa"/>
        </w:tblCellMar>
      </w:tblPr>
      <w:tblGrid>
        <w:gridCol w:w="124"/>
        <w:gridCol w:w="109"/>
        <w:gridCol w:w="109"/>
        <w:gridCol w:w="1155"/>
        <w:gridCol w:w="1155"/>
        <w:gridCol w:w="16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/S/CHRISTOPHER E. FRENCH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E. French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/S/JAMES J. VOLK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J. Volk</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28, 2023</w:t>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pStyle w:val="TextBody"/>
        <w:spacing w:lineRule="auto" w:line="288" w:before="0" w:after="0"/>
        <w:rPr>
          <w:color w:val="000000"/>
        </w:rPr>
      </w:pPr>
      <w:r>
        <w:rPr>
          <w:color w:val="000000"/>
        </w:rPr>
        <w:t> </w:t>
      </w:r>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10993</Words>
  <CharactersWithSpaces>72179</CharactersWithSpaces>
  <Paragraphs>1818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