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left="360" w:right="2220" w:hanging="258"/>
        <w:spacing w:after="0" w:line="222"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QUARTERLY REPORT PURSUANT TO SECTION 13 OR 15(d) OF THE SECURITIES EXCHANGE ACT OF 1934 For the quarterly period ended September 30, 2021</w:t>
      </w:r>
    </w:p>
    <w:p>
      <w:pPr>
        <w:ind w:left="360" w:right="2200" w:hanging="258"/>
        <w:spacing w:after="0" w:line="221" w:lineRule="auto"/>
        <w:tabs>
          <w:tab w:leader="none" w:pos="36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184340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21"/>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Arial" w:cs="Arial" w:eastAsia="Arial" w:hAnsi="Arial"/>
                <w:sz w:val="18"/>
                <w:szCs w:val="18"/>
                <w:b w:val="1"/>
                <w:bCs w:val="1"/>
                <w:color w:val="auto"/>
                <w:w w:val="96"/>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Arial" w:cs="Arial" w:eastAsia="Arial" w:hAnsi="Arial"/>
                <w:sz w:val="18"/>
                <w:szCs w:val="18"/>
                <w:b w:val="1"/>
                <w:bCs w:val="1"/>
                <w:color w:val="auto"/>
              </w:rPr>
              <w:t>54-1162807</w:t>
            </w:r>
          </w:p>
        </w:tc>
        <w:tc>
          <w:tcPr>
            <w:tcW w:w="0" w:type="dxa"/>
            <w:vAlign w:val="bottom"/>
          </w:tcPr>
          <w:p>
            <w:pPr>
              <w:spacing w:after="0"/>
              <w:rPr>
                <w:sz w:val="1"/>
                <w:szCs w:val="1"/>
                <w:color w:val="auto"/>
              </w:rPr>
            </w:pPr>
          </w:p>
        </w:tc>
      </w:tr>
      <w:tr>
        <w:trPr>
          <w:trHeight w:val="230"/>
        </w:trPr>
        <w:tc>
          <w:tcPr>
            <w:tcW w:w="6280" w:type="dxa"/>
            <w:vAlign w:val="bottom"/>
            <w:gridSpan w:val="4"/>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60" w:type="dxa"/>
            <w:vAlign w:val="bottom"/>
          </w:tcPr>
          <w:p>
            <w:pPr>
              <w:jc w:val="center"/>
              <w:ind w:right="131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9"/>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 Shentel Way, Edinburg, Virginia</w:t>
            </w:r>
          </w:p>
        </w:tc>
        <w:tc>
          <w:tcPr>
            <w:tcW w:w="4460" w:type="dxa"/>
            <w:vAlign w:val="bottom"/>
          </w:tcPr>
          <w:p>
            <w:pPr>
              <w:jc w:val="right"/>
              <w:ind w:right="3798"/>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Arial" w:cs="Arial" w:eastAsia="Arial" w:hAnsi="Arial"/>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65"/>
        </w:trPr>
        <w:tc>
          <w:tcPr>
            <w:tcW w:w="184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1640" w:type="dxa"/>
            <w:vAlign w:val="bottom"/>
          </w:tcPr>
          <w:p>
            <w:pPr>
              <w:jc w:val="center"/>
              <w:ind w:left="338"/>
              <w:spacing w:after="0"/>
              <w:rPr>
                <w:sz w:val="20"/>
                <w:szCs w:val="20"/>
                <w:color w:val="auto"/>
              </w:rPr>
            </w:pPr>
            <w:r>
              <w:rPr>
                <w:rFonts w:ascii="Arial" w:cs="Arial" w:eastAsia="Arial" w:hAnsi="Arial"/>
                <w:sz w:val="14"/>
                <w:szCs w:val="14"/>
                <w:color w:val="auto"/>
                <w:w w:val="97"/>
              </w:rPr>
              <w:t>SHEN</w:t>
            </w:r>
          </w:p>
        </w:tc>
        <w:tc>
          <w:tcPr>
            <w:tcW w:w="2800" w:type="dxa"/>
            <w:vAlign w:val="bottom"/>
            <w:gridSpan w:val="2"/>
          </w:tcPr>
          <w:p>
            <w:pPr>
              <w:jc w:val="center"/>
              <w:ind w:left="239"/>
              <w:spacing w:after="0"/>
              <w:rPr>
                <w:sz w:val="20"/>
                <w:szCs w:val="20"/>
                <w:color w:val="auto"/>
              </w:rPr>
            </w:pPr>
            <w:r>
              <w:rPr>
                <w:rFonts w:ascii="Arial" w:cs="Arial" w:eastAsia="Arial" w:hAnsi="Arial"/>
                <w:sz w:val="14"/>
                <w:szCs w:val="14"/>
                <w:color w:val="auto"/>
                <w:w w:val="97"/>
              </w:rPr>
              <w:t>NASDAQ Global Select Market</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4"/>
              </w:rPr>
              <w:t>49,965,379</w:t>
            </w:r>
          </w:p>
        </w:tc>
        <w:tc>
          <w:tcPr>
            <w:tcW w:w="0" w:type="dxa"/>
            <w:vAlign w:val="bottom"/>
          </w:tcPr>
          <w:p>
            <w:pPr>
              <w:spacing w:after="0"/>
              <w:rPr>
                <w:sz w:val="1"/>
                <w:szCs w:val="1"/>
                <w:color w:val="auto"/>
              </w:rPr>
            </w:pPr>
          </w:p>
        </w:tc>
      </w:tr>
      <w:tr>
        <w:trPr>
          <w:trHeight w:val="147"/>
        </w:trPr>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(Title of Class)</w:t>
            </w:r>
          </w:p>
        </w:tc>
        <w:tc>
          <w:tcPr>
            <w:tcW w:w="1640" w:type="dxa"/>
            <w:vAlign w:val="bottom"/>
            <w:vMerge w:val="restart"/>
          </w:tcPr>
          <w:p>
            <w:pPr>
              <w:jc w:val="center"/>
              <w:ind w:left="338"/>
              <w:spacing w:after="0"/>
              <w:rPr>
                <w:sz w:val="20"/>
                <w:szCs w:val="20"/>
                <w:color w:val="auto"/>
              </w:rPr>
            </w:pPr>
            <w:r>
              <w:rPr>
                <w:rFonts w:ascii="Arial" w:cs="Arial" w:eastAsia="Arial" w:hAnsi="Arial"/>
                <w:sz w:val="14"/>
                <w:szCs w:val="14"/>
                <w:color w:val="auto"/>
                <w:w w:val="94"/>
              </w:rPr>
              <w:t>(Trading Symbol)</w:t>
            </w:r>
          </w:p>
        </w:tc>
        <w:tc>
          <w:tcPr>
            <w:tcW w:w="2800" w:type="dxa"/>
            <w:vAlign w:val="bottom"/>
            <w:gridSpan w:val="2"/>
            <w:vMerge w:val="restart"/>
          </w:tcPr>
          <w:p>
            <w:pPr>
              <w:jc w:val="center"/>
              <w:ind w:left="259"/>
              <w:spacing w:after="0"/>
              <w:rPr>
                <w:sz w:val="20"/>
                <w:szCs w:val="20"/>
                <w:color w:val="auto"/>
              </w:rPr>
            </w:pPr>
            <w:r>
              <w:rPr>
                <w:rFonts w:ascii="Arial" w:cs="Arial" w:eastAsia="Arial" w:hAnsi="Arial"/>
                <w:sz w:val="14"/>
                <w:szCs w:val="14"/>
                <w:color w:val="auto"/>
                <w:w w:val="93"/>
              </w:rPr>
              <w:t>(Name of Exchange on which Registered)</w:t>
            </w:r>
          </w:p>
        </w:tc>
        <w:tc>
          <w:tcPr>
            <w:tcW w:w="4460" w:type="dxa"/>
            <w:vAlign w:val="bottom"/>
          </w:tcPr>
          <w:p>
            <w:pPr>
              <w:jc w:val="center"/>
              <w:ind w:left="278"/>
              <w:spacing w:after="0" w:line="147" w:lineRule="exact"/>
              <w:rPr>
                <w:sz w:val="20"/>
                <w:szCs w:val="20"/>
                <w:color w:val="auto"/>
              </w:rPr>
            </w:pPr>
            <w:r>
              <w:rPr>
                <w:rFonts w:ascii="Arial" w:cs="Arial" w:eastAsia="Arial" w:hAnsi="Arial"/>
                <w:sz w:val="14"/>
                <w:szCs w:val="14"/>
                <w:color w:val="auto"/>
                <w:w w:val="92"/>
              </w:rPr>
              <w:t>(The number of shares of the registrant's common stock outstanding on</w:t>
            </w:r>
          </w:p>
        </w:tc>
        <w:tc>
          <w:tcPr>
            <w:tcW w:w="0" w:type="dxa"/>
            <w:vAlign w:val="bottom"/>
          </w:tcPr>
          <w:p>
            <w:pPr>
              <w:spacing w:after="0"/>
              <w:rPr>
                <w:sz w:val="1"/>
                <w:szCs w:val="1"/>
                <w:color w:val="auto"/>
              </w:rPr>
            </w:pPr>
          </w:p>
        </w:tc>
      </w:tr>
      <w:tr>
        <w:trPr>
          <w:trHeight w:val="110"/>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Arial" w:cs="Arial" w:eastAsia="Arial" w:hAnsi="Arial"/>
                <w:sz w:val="14"/>
                <w:szCs w:val="14"/>
                <w:color w:val="auto"/>
                <w:w w:val="93"/>
              </w:rPr>
              <w:t>October 22, 2021)</w:t>
            </w: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20"/>
        <w:spacing w:after="0" w:line="185" w:lineRule="exact"/>
        <w:tabs>
          <w:tab w:leader="none" w:pos="1660" w:val="left"/>
          <w:tab w:leader="none" w:pos="3320" w:val="left"/>
          <w:tab w:leader="none" w:pos="5280" w:val="left"/>
          <w:tab w:leader="none" w:pos="5660" w:val="left"/>
          <w:tab w:leader="none" w:pos="7640" w:val="left"/>
          <w:tab w:leader="none" w:pos="8040" w:val="left"/>
          <w:tab w:leader="none" w:pos="100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8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10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29"/>
        </w:trPr>
        <w:tc>
          <w:tcPr>
            <w:tcW w:w="800" w:type="dxa"/>
            <w:vAlign w:val="bottom"/>
            <w:vMerge w:val="continue"/>
          </w:tcPr>
          <w:p>
            <w:pPr>
              <w:spacing w:after="0"/>
              <w:rPr>
                <w:sz w:val="19"/>
                <w:szCs w:val="19"/>
                <w:color w:val="auto"/>
              </w:rPr>
            </w:pPr>
          </w:p>
        </w:tc>
        <w:tc>
          <w:tcPr>
            <w:tcW w:w="81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Comprehensive Income</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810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810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1880" w:type="dxa"/>
            <w:vAlign w:val="bottom"/>
            <w:gridSpan w:val="4"/>
          </w:tcPr>
          <w:p>
            <w:pPr>
              <w:jc w:val="center"/>
              <w:ind w:left="161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10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10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81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32"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1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180" w:type="dxa"/>
            <w:vAlign w:val="bottom"/>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532,544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195,397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 for doubtful accounts of $565 and $614, respectively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70,393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Current assets held for sale</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1,133,294</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574,033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1,408,715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525,799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440,427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Goodwill and Intangible assets,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106,759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50,387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2,031,707</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688,463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19,599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Advanced billings and customer deposits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452,202</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485,423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1,208,061</w:t>
            </w:r>
          </w:p>
        </w:tc>
        <w:tc>
          <w:tcPr>
            <w:tcW w:w="0" w:type="dxa"/>
            <w:vAlign w:val="bottom"/>
          </w:tcPr>
          <w:p>
            <w:pPr>
              <w:spacing w:after="0"/>
              <w:rPr>
                <w:sz w:val="1"/>
                <w:szCs w:val="1"/>
                <w:color w:val="auto"/>
              </w:rPr>
            </w:pPr>
          </w:p>
        </w:tc>
      </w:tr>
      <w:tr>
        <w:trPr>
          <w:trHeight w:val="20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Benefit plan obligations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14,645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46,095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2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158,901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241,252</w:t>
            </w:r>
          </w:p>
        </w:tc>
        <w:tc>
          <w:tcPr>
            <w:tcW w:w="0" w:type="dxa"/>
            <w:vAlign w:val="bottom"/>
          </w:tcPr>
          <w:p>
            <w:pPr>
              <w:spacing w:after="0"/>
              <w:rPr>
                <w:sz w:val="1"/>
                <w:szCs w:val="1"/>
                <w:color w:val="auto"/>
              </w:rPr>
            </w:pPr>
          </w:p>
        </w:tc>
      </w:tr>
      <w:tr>
        <w:trPr>
          <w:trHeight w:val="20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1"/>
              </w:rPr>
              <w:t>Common stock, no par value, authorized 96,000; 49,965 and 49,868 issued and outstanding at September 30,</w:t>
            </w:r>
          </w:p>
        </w:tc>
        <w:tc>
          <w:tcPr>
            <w:tcW w:w="160" w:type="dxa"/>
            <w:vAlign w:val="bottom"/>
          </w:tcPr>
          <w:p>
            <w:pPr>
              <w:spacing w:after="0"/>
              <w:rPr>
                <w:sz w:val="15"/>
                <w:szCs w:val="15"/>
                <w:color w:val="auto"/>
              </w:rPr>
            </w:pPr>
          </w:p>
        </w:tc>
        <w:tc>
          <w:tcPr>
            <w:tcW w:w="14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2021 and December 31, 2020, respectively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47,832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600,934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539,783</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 net of taxes</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648,766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582,394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440" w:type="dxa"/>
            <w:vAlign w:val="bottom"/>
          </w:tcPr>
          <w:p>
            <w:pPr>
              <w:spacing w:after="0"/>
              <w:rPr>
                <w:sz w:val="15"/>
                <w:szCs w:val="15"/>
                <w:color w:val="auto"/>
              </w:rPr>
            </w:pPr>
          </w:p>
        </w:tc>
        <w:tc>
          <w:tcPr>
            <w:tcW w:w="2560" w:type="dxa"/>
            <w:vAlign w:val="bottom"/>
            <w:gridSpan w:val="5"/>
          </w:tcPr>
          <w:p>
            <w:pPr>
              <w:ind w:left="200"/>
              <w:spacing w:after="0" w:line="182"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5"/>
                <w:szCs w:val="15"/>
                <w:color w:val="auto"/>
              </w:rPr>
            </w:pPr>
          </w:p>
        </w:tc>
        <w:tc>
          <w:tcPr>
            <w:tcW w:w="2600" w:type="dxa"/>
            <w:vAlign w:val="bottom"/>
            <w:gridSpan w:val="4"/>
          </w:tcPr>
          <w:p>
            <w:pPr>
              <w:jc w:val="right"/>
              <w:ind w:right="590"/>
              <w:spacing w:after="0" w:line="18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30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spacing w:after="0"/>
              <w:rPr>
                <w:sz w:val="20"/>
                <w:szCs w:val="20"/>
                <w:color w:val="auto"/>
              </w:rPr>
            </w:pPr>
            <w:r>
              <w:rPr>
                <w:rFonts w:ascii="Arial" w:cs="Arial" w:eastAsia="Arial" w:hAnsi="Arial"/>
                <w:sz w:val="18"/>
                <w:szCs w:val="18"/>
                <w:color w:val="auto"/>
              </w:rPr>
              <w:t>Service revenue and other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182,635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162,643</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65,167</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64,227</w:t>
            </w:r>
          </w:p>
        </w:tc>
        <w:tc>
          <w:tcPr>
            <w:tcW w:w="0" w:type="dxa"/>
            <w:vAlign w:val="bottom"/>
          </w:tcPr>
          <w:p>
            <w:pPr>
              <w:spacing w:after="0"/>
              <w:rPr>
                <w:sz w:val="1"/>
                <w:szCs w:val="1"/>
                <w:color w:val="auto"/>
              </w:rPr>
            </w:pPr>
          </w:p>
        </w:tc>
      </w:tr>
      <w:tr>
        <w:trPr>
          <w:trHeight w:val="229"/>
        </w:trPr>
        <w:tc>
          <w:tcPr>
            <w:tcW w:w="530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36,010</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176,389</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165,404</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22"/>
        </w:trPr>
        <w:tc>
          <w:tcPr>
            <w:tcW w:w="53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4"/>
        </w:trPr>
        <w:tc>
          <w:tcPr>
            <w:tcW w:w="53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00" w:type="dxa"/>
            <w:vAlign w:val="bottom"/>
          </w:tcPr>
          <w:p>
            <w:pPr>
              <w:ind w:left="220"/>
              <w:spacing w:after="0"/>
              <w:rPr>
                <w:sz w:val="20"/>
                <w:szCs w:val="20"/>
                <w:color w:val="auto"/>
              </w:rPr>
            </w:pPr>
            <w:r>
              <w:rPr>
                <w:rFonts w:ascii="Arial" w:cs="Arial" w:eastAsia="Arial" w:hAnsi="Arial"/>
                <w:sz w:val="16"/>
                <w:szCs w:val="16"/>
                <w:color w:val="auto"/>
              </w:rPr>
              <w:t>(Loss) income from discontinued operations, net of tax</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76,422</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6"/>
                <w:szCs w:val="16"/>
                <w:color w:val="auto"/>
              </w:rPr>
              <w:t>Gain on the sale of discontinued operations, net of tax</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886,732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886,732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320"/>
              <w:spacing w:after="0"/>
              <w:rPr>
                <w:sz w:val="20"/>
                <w:szCs w:val="20"/>
                <w:color w:val="auto"/>
              </w:rPr>
            </w:pPr>
            <w:r>
              <w:rPr>
                <w:rFonts w:ascii="Arial" w:cs="Arial" w:eastAsia="Arial" w:hAnsi="Arial"/>
                <w:sz w:val="18"/>
                <w:szCs w:val="18"/>
                <w:color w:val="auto"/>
              </w:rPr>
              <w:t>Total income from discontinued operations, net of tax</w:t>
            </w:r>
          </w:p>
        </w:tc>
        <w:tc>
          <w:tcPr>
            <w:tcW w:w="4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886,326</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986,364</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76,422</w:t>
            </w:r>
          </w:p>
        </w:tc>
        <w:tc>
          <w:tcPr>
            <w:tcW w:w="0" w:type="dxa"/>
            <w:vAlign w:val="bottom"/>
          </w:tcPr>
          <w:p>
            <w:pPr>
              <w:spacing w:after="0"/>
              <w:rPr>
                <w:sz w:val="1"/>
                <w:szCs w:val="1"/>
                <w:color w:val="auto"/>
              </w:rPr>
            </w:pPr>
          </w:p>
        </w:tc>
      </w:tr>
      <w:tr>
        <w:trPr>
          <w:trHeight w:val="223"/>
        </w:trPr>
        <w:tc>
          <w:tcPr>
            <w:tcW w:w="53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893,058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998,001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77,448</w:t>
            </w: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Net gains/(losses) on interest rate swaps, net of tax</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1,002,707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71,939</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income per share, basic and diluted:</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Basic - Income from continuing operations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Basic - Income from discontinued operations,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Basic net income per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300" w:type="dxa"/>
            <w:vAlign w:val="bottom"/>
          </w:tcPr>
          <w:p>
            <w:pPr>
              <w:ind w:left="120"/>
              <w:spacing w:after="0"/>
              <w:rPr>
                <w:sz w:val="20"/>
                <w:szCs w:val="20"/>
                <w:color w:val="auto"/>
              </w:rPr>
            </w:pPr>
            <w:r>
              <w:rPr>
                <w:rFonts w:ascii="Arial" w:cs="Arial" w:eastAsia="Arial" w:hAnsi="Arial"/>
                <w:sz w:val="18"/>
                <w:szCs w:val="18"/>
                <w:color w:val="auto"/>
              </w:rPr>
              <w:t>Diluted - Income from continuing operations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Diluted - Income from discontinued operations,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Diluted net income per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49,984</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50,049</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left="20" w:right="3560"/>
        <w:spacing w:after="0" w:line="266"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w:t>
      </w:r>
    </w:p>
    <w:tbl>
      <w:tblPr>
        <w:tblLayout w:type="fixed"/>
        <w:tblInd w:w="20" w:type="dxa"/>
        <w:tblCellMar>
          <w:top w:w="0" w:type="dxa"/>
          <w:left w:w="0" w:type="dxa"/>
          <w:bottom w:w="0" w:type="dxa"/>
          <w:right w:w="0" w:type="dxa"/>
        </w:tblCellMar>
      </w:tblP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49,950</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46,681</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644,726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687,787</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893,058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893,058</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gain, net of tax (Note 10)</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3,620</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Dividends declared ($18.75 per share)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(936,850)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(936,850)</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options exercised</w:t>
            </w: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5"/>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September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49,965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47,832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600,934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648,766</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49,868</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47,317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539,783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582,394</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998,001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998,001</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gain, net of tax (Note 10)</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4,706</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Dividends declared ($18.75 per share)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(936,850)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(936,850)</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options exercised</w:t>
            </w: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September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49,965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47,832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600,934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648,766</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49,852</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44,659</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472,537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(5,739)</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511,457</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34,921</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gain,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95"/>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September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45,925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507,458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548,182</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49,671</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430,010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472,428</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77,448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77,448</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loss,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(5,509)</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5,974</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(2,182)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182"/>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2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September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45,925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507,458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548,182</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right="5320"/>
        <w:spacing w:after="0" w:line="278" w:lineRule="auto"/>
        <w:rPr>
          <w:sz w:val="20"/>
          <w:szCs w:val="20"/>
          <w:color w:val="auto"/>
        </w:rPr>
      </w:pPr>
      <w:r>
        <w:rPr>
          <w:rFonts w:ascii="Arial" w:cs="Arial" w:eastAsia="Arial" w:hAnsi="Arial"/>
          <w:sz w:val="16"/>
          <w:szCs w:val="16"/>
          <w:b w:val="1"/>
          <w:bCs w:val="1"/>
          <w:color w:val="auto"/>
        </w:rPr>
        <w:t>SHENANDOAH TELECOMMUNICATIONS COMPANY AND SUBSIDIARIES UNAUDITED CONDENSED CONSOLIDATED STATEMENTS OF CASH FLOWS</w:t>
      </w:r>
    </w:p>
    <w:p>
      <w:pPr>
        <w:ind w:left="8980"/>
        <w:spacing w:after="0" w:line="228" w:lineRule="auto"/>
        <w:rPr>
          <w:sz w:val="20"/>
          <w:szCs w:val="20"/>
          <w:color w:val="auto"/>
        </w:rPr>
      </w:pPr>
      <w:r>
        <w:rPr>
          <w:rFonts w:ascii="Arial" w:cs="Arial" w:eastAsia="Arial" w:hAnsi="Arial"/>
          <w:sz w:val="18"/>
          <w:szCs w:val="18"/>
          <w:b w:val="1"/>
          <w:bCs w:val="1"/>
          <w:color w:val="auto"/>
        </w:rPr>
        <w:t>Nine Months Ended</w:t>
      </w:r>
    </w:p>
    <w:tbl>
      <w:tblPr>
        <w:tblLayout w:type="fixed"/>
        <w:tblInd w:w="20" w:type="dxa"/>
        <w:tblCellMar>
          <w:top w:w="0" w:type="dxa"/>
          <w:left w:w="0" w:type="dxa"/>
          <w:bottom w:w="0" w:type="dxa"/>
          <w:right w:w="0" w:type="dxa"/>
        </w:tblCellMar>
      </w:tblPr>
      <w:tr>
        <w:trPr>
          <w:trHeight w:val="214"/>
        </w:trPr>
        <w:tc>
          <w:tcPr>
            <w:tcW w:w="82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4"/>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95"/>
              </w:rPr>
              <w:t>2020</w:t>
            </w:r>
          </w:p>
        </w:tc>
      </w:tr>
      <w:tr>
        <w:trPr>
          <w:trHeight w:val="196"/>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998,001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77,448</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986,364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76,422</w:t>
            </w: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40,193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35,522</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Stock 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Gain from patronage and investments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6"/>
        </w:trPr>
        <w:tc>
          <w:tcPr>
            <w:tcW w:w="8220" w:type="dxa"/>
            <w:vAlign w:val="bottom"/>
          </w:tcPr>
          <w:p>
            <w:pPr>
              <w:ind w:left="240"/>
              <w:spacing w:after="0"/>
              <w:rPr>
                <w:sz w:val="20"/>
                <w:szCs w:val="20"/>
                <w:color w:val="auto"/>
              </w:rPr>
            </w:pPr>
            <w:r>
              <w:rPr>
                <w:rFonts w:ascii="Arial" w:cs="Arial" w:eastAsia="Arial" w:hAnsi="Arial"/>
                <w:sz w:val="16"/>
                <w:szCs w:val="16"/>
                <w:color w:val="auto"/>
              </w:rPr>
              <w:t>Amortization of long-term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(4,122)</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(5,626)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7,344</w:t>
            </w: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continuing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31,572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44,800</w:t>
            </w: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121,067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182,499</w:t>
            </w:r>
          </w:p>
        </w:tc>
      </w:tr>
      <w:tr>
        <w:trPr>
          <w:trHeight w:val="209"/>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152,639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227,299</w:t>
            </w: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(118,800)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(82,740)</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disbursed for deposit on FCC spectrum leases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(16,118)</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(118,600)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(98,606)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provided by investing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1,944,063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(17,794)</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1,825,463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(116,400)</w:t>
            </w: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Dividends paid, net of dividends reinvested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(936,850)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(2,182)</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(940,399)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(700,556)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(25,591)</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(1,640,955)</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337,147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82,399</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195,397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101,651</w:t>
            </w: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532,544</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184,050</w:t>
            </w:r>
          </w:p>
        </w:tc>
      </w:tr>
      <w:tr>
        <w:trPr>
          <w:trHeight w:val="24"/>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Arial" w:cs="Arial" w:eastAsia="Arial" w:hAnsi="Arial"/>
          <w:sz w:val="16"/>
          <w:szCs w:val="16"/>
          <w:color w:val="000000"/>
        </w:rPr>
        <w:t>year ended December 31, 2020.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preparation of the unaudited interim consolidated financial statements requires management of the Company to make estimates and assumptions that affect the reported amounts of assets, liabilities, revenues and expenses and the disclosure of contingencies at the date of the unaudited interim condensed consolidated financial statements. These estimates are inherently subject to judgment and actual results could differ.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Principles</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2020 Annual Report on Form 10-K, that would be expected to impact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for 90% of the “Entire Business Value” (as defined under our affiliate agreement and determined pursuant to the appraisal process set forth therein). Shortly thereafter, the Company committed to a plan to sell the discontinued Wireless operations.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 2021, pursuant to the previously announced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12529"/>
        </w:rPr>
        <w:t>The assets and liabilities that transferred in the sale (the "disposal group") were presented as held for sale within our historical unaudited condensed consolidated balance sheets, and discontinued operations within our historical unaudited condensed consolidated statements of comprehensive income.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The transaction was structured as an asset sale for income tax purposes. As a result, no current or deferred tax assets or liabilities were included within the disposal group. While our long-term debt did not transfer in the sale, its provisions required us to fully repay all of the debt concurrent with the consummation of the sale. Our debt was therefore presented outside of the disposal group as a current liability as of December 31, 2020. Our related interest rate swap liabilities were also presented outside of the disposal group as a current liability as of December 31, 2020, because management terminated them at consummation. Because repayment of the debt is contractually triggered by the sale, the related interest expense and debt extinguishment costs were presented within discontinued operations under the relevant authoritative guidance.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the major classes of assets and liabilities, classified as held for sale in the consolidated balance sheets, were as follows: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97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97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47,003</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299,647</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176,459</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421,586</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Arial" w:cs="Arial" w:eastAsia="Arial" w:hAnsi="Arial"/>
                <w:sz w:val="18"/>
                <w:szCs w:val="18"/>
                <w:color w:val="auto"/>
              </w:rPr>
              <w:t>Deferred charges and other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1,133,294</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9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409,887</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Arial" w:cs="Arial" w:eastAsia="Arial" w:hAnsi="Arial"/>
                <w:sz w:val="18"/>
                <w:szCs w:val="18"/>
                <w:color w:val="auto"/>
              </w:rPr>
              <w:t>Asset retirement obligations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33,545</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452,202</w:t>
            </w:r>
          </w:p>
        </w:tc>
        <w:tc>
          <w:tcPr>
            <w:tcW w:w="0" w:type="dxa"/>
            <w:vAlign w:val="bottom"/>
          </w:tcPr>
          <w:p>
            <w:pPr>
              <w:spacing w:after="0"/>
              <w:rPr>
                <w:sz w:val="1"/>
                <w:szCs w:val="1"/>
                <w:color w:val="auto"/>
              </w:rPr>
            </w:pPr>
          </w:p>
        </w:tc>
      </w:tr>
      <w:tr>
        <w:trPr>
          <w:trHeight w:val="21"/>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 net of tax in the consolidated statements of comprehensive income consist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7"/>
                <w:szCs w:val="17"/>
                <w:color w:val="auto"/>
              </w:rPr>
            </w:pPr>
          </w:p>
        </w:tc>
        <w:tc>
          <w:tcPr>
            <w:tcW w:w="28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Service revenue and 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100,963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201,076</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302,488</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Equipment revenue</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32,222</w:t>
            </w: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110,825</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213,329</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334,710</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95,242</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25,931</w:t>
            </w:r>
          </w:p>
        </w:tc>
        <w:tc>
          <w:tcPr>
            <w:tcW w:w="0" w:type="dxa"/>
            <w:vAlign w:val="bottom"/>
          </w:tcPr>
          <w:p>
            <w:pPr>
              <w:spacing w:after="0"/>
              <w:rPr>
                <w:sz w:val="1"/>
                <w:szCs w:val="1"/>
                <w:color w:val="auto"/>
              </w:rPr>
            </w:pPr>
          </w:p>
        </w:tc>
      </w:tr>
      <w:tr>
        <w:trPr>
          <w:trHeight w:val="229"/>
        </w:trPr>
        <w:tc>
          <w:tcPr>
            <w:tcW w:w="510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15,077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62,804</w:t>
            </w: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60,940</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68,087</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215,542</w:t>
            </w: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119,168</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(11,032)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(11,032)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100" w:type="dxa"/>
            <w:vAlign w:val="bottom"/>
          </w:tcPr>
          <w:p>
            <w:pPr>
              <w:ind w:left="120"/>
              <w:spacing w:after="0"/>
              <w:rPr>
                <w:sz w:val="20"/>
                <w:szCs w:val="20"/>
                <w:color w:val="auto"/>
              </w:rPr>
            </w:pPr>
            <w:r>
              <w:rPr>
                <w:rFonts w:ascii="Arial" w:cs="Arial" w:eastAsia="Arial" w:hAnsi="Arial"/>
                <w:sz w:val="16"/>
                <w:szCs w:val="16"/>
                <w:color w:val="auto"/>
              </w:rPr>
              <w:t>Debt extinguishment</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6"/>
                <w:szCs w:val="16"/>
                <w:color w:val="auto"/>
              </w:rPr>
              <w:t>Gain on sale of disposition of Wireless assets and operations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1,224,815</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1,224,815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1,213,050</w:t>
            </w:r>
          </w:p>
        </w:tc>
        <w:tc>
          <w:tcPr>
            <w:tcW w:w="1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45,377</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1,349,591</w:t>
            </w: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103,691</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326,724</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363,227</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27,269</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886,326</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986,364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Consummation of the sale triggered the recognition of approximately $21 million of incremental selling costs during the three months ended September 30, 2021, for contingent deal advisory fees and severance expenses, which are netted against the gain on sale of disposition of Wireless assets and operations. Additionally, also triggered by the disposition event, we recognized an $11.0 million loss on debt extinguishment and incurred interest expense of approximately $2.6 million on the termination of our interest rate swaps.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six years.</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$3.8 million at September 30, 2021, is expected to be recognized into revenue at the rate of approximately $0.2 million per year.</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Broadband segment also leases dedicated fiber optic strands to customers as part of “dark fiber” agreements, which are accounted for as leases under Accounting Standards Codification 842, Leases, ("ASC 842").</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Tower segment leases space on owned cell towers to our Broadband segment, and to other wireless carriers. Revenue from these leases is accounted for under ASC 842.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for a summary of these revenue streams.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Broadband segment's capitalized contract acquisition and fulfillment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15,290</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Contract payments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Contract 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16,098</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Note 4. Investments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5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SERP Investments at fair value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SERP Investments at Fair Value: </w:t>
      </w:r>
      <w:r>
        <w:rPr>
          <w:rFonts w:ascii="Arial" w:cs="Arial" w:eastAsia="Arial" w:hAnsi="Arial"/>
          <w:sz w:val="18"/>
          <w:szCs w:val="18"/>
          <w:color w:val="auto"/>
        </w:rPr>
        <w:t>The Supplemental Executive Retirement Plan (“SERP”) is a benefit plan that provides deferred compensation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Company holds the related investments in a rabbi trust as a source of funding for future payments under the plan. The SERP’s investments were designated as trading securities and will be liquidated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paid out to the participants upon retirement. The benefit obligation to participants is always equal to the value of the SERP assets under ASC 710, </w:t>
      </w:r>
      <w:r>
        <w:rPr>
          <w:rFonts w:ascii="Arial" w:cs="Arial" w:eastAsia="Arial" w:hAnsi="Arial"/>
          <w:sz w:val="17"/>
          <w:szCs w:val="17"/>
          <w:i w:val="1"/>
          <w:iCs w:val="1"/>
          <w:color w:val="auto"/>
        </w:rPr>
        <w:t>Compensation</w:t>
      </w:r>
      <w:r>
        <w:rPr>
          <w:rFonts w:ascii="Arial" w:cs="Arial" w:eastAsia="Arial" w:hAnsi="Arial"/>
          <w:sz w:val="17"/>
          <w:szCs w:val="17"/>
          <w:color w:val="auto"/>
        </w:rPr>
        <w:t>. Changes to the investments' fair value are presented in Other income (expense), while the reciprocal changes in the liability are presented in</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general and administrative expense. At September 30, 2021, an additional $0.9 million of SERP investments were presented as prepaid expenses and other (current assets) as we intend to liquidate certain investments to pay the current portion of our SERP obligation.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Method Investments</w:t>
      </w:r>
      <w:r>
        <w:rPr>
          <w:rFonts w:ascii="Arial" w:cs="Arial" w:eastAsia="Arial" w:hAnsi="Arial"/>
          <w:sz w:val="18"/>
          <w:szCs w:val="18"/>
          <w:color w:val="auto"/>
        </w:rPr>
        <w:t>: Our investment in CoBank ACB’s Class A common stock represented substantially all of our cost method investments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$10.1 million and $9.8 million at September 30, 2021 and December 31, 2020, respectively. We recognized approximately $0.5 million and $1.0 million of patronage income in Other income (expense) during the three months ended September 30, 2021 and 2020, respectively, and approximately $1.5 million and $3.0 million during the nine months ended September 30, 2021 and 2020, respectively. Historically, approximately 75% of the patronage distributions were collected in cash and 25% in equity.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At September 30, 2021, the Company had a 20.0% ownership interest in Valley Network Partnership (“ValleyNet”).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ValleyNet purchase capacity on one another’s fiber network. We recognized revenue of $0.2 million from providing service to ValleyNet during each of the three months ended September 30, 2021, and 2020, respectively, and $0.5 million and $0.7 million during the nine months ended September 30, 2021, and 2020, respectively. We recognized cost of service of $30 thousand and $0.7 million for the use of ValleyNet’s network during the three months ended September 30, 2021, and 2020, respectively, and $1.1 million and $2.2 million during the nine months ended September 30, 2021 and 2020,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8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Estimated Useful</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64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Lives</w:t>
            </w:r>
          </w:p>
        </w:tc>
        <w:tc>
          <w:tcPr>
            <w:tcW w:w="16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6480" w:type="dxa"/>
            <w:vAlign w:val="bottom"/>
          </w:tcPr>
          <w:p>
            <w:pPr>
              <w:ind w:left="20"/>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Buildings and structures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- 40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91,335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Cable and fiber</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- 30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428,055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390,209</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- 8 years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331,047</w:t>
            </w:r>
          </w:p>
        </w:tc>
        <w:tc>
          <w:tcPr>
            <w:tcW w:w="0" w:type="dxa"/>
            <w:vAlign w:val="bottom"/>
          </w:tcPr>
          <w:p>
            <w:pPr>
              <w:spacing w:after="0"/>
              <w:rPr>
                <w:sz w:val="1"/>
                <w:szCs w:val="1"/>
                <w:color w:val="auto"/>
              </w:rPr>
            </w:pPr>
          </w:p>
        </w:tc>
      </w:tr>
      <w:tr>
        <w:trPr>
          <w:trHeight w:val="222"/>
        </w:trPr>
        <w:tc>
          <w:tcPr>
            <w:tcW w:w="6480" w:type="dxa"/>
            <w:vAlign w:val="bottom"/>
          </w:tcPr>
          <w:p>
            <w:pPr>
              <w:ind w:left="140"/>
              <w:spacing w:after="0"/>
              <w:rPr>
                <w:sz w:val="20"/>
                <w:szCs w:val="20"/>
                <w:color w:val="auto"/>
              </w:rPr>
            </w:pPr>
            <w:r>
              <w:rPr>
                <w:rFonts w:ascii="Arial" w:cs="Arial" w:eastAsia="Arial" w:hAnsi="Arial"/>
                <w:sz w:val="18"/>
                <w:szCs w:val="18"/>
                <w:color w:val="auto"/>
              </w:rPr>
              <w:t>Plant in service</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903,525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819,410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Plant under construction</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w:t>
            </w:r>
          </w:p>
        </w:tc>
        <w:tc>
          <w:tcPr>
            <w:tcW w:w="0" w:type="dxa"/>
            <w:vAlign w:val="bottom"/>
          </w:tcPr>
          <w:p>
            <w:pPr>
              <w:spacing w:after="0"/>
              <w:rPr>
                <w:sz w:val="1"/>
                <w:szCs w:val="1"/>
                <w:color w:val="auto"/>
              </w:rPr>
            </w:pPr>
          </w:p>
        </w:tc>
      </w:tr>
      <w:tr>
        <w:trPr>
          <w:trHeight w:val="222"/>
        </w:trPr>
        <w:tc>
          <w:tcPr>
            <w:tcW w:w="6480" w:type="dxa"/>
            <w:vAlign w:val="bottom"/>
          </w:tcPr>
          <w:p>
            <w:pPr>
              <w:ind w:left="140"/>
              <w:spacing w:after="0"/>
              <w:rPr>
                <w:sz w:val="20"/>
                <w:szCs w:val="20"/>
                <w:color w:val="auto"/>
              </w:rPr>
            </w:pPr>
            <w:r>
              <w:rPr>
                <w:rFonts w:ascii="Arial" w:cs="Arial" w:eastAsia="Arial" w:hAnsi="Arial"/>
                <w:sz w:val="18"/>
                <w:szCs w:val="18"/>
                <w:color w:val="auto"/>
              </w:rPr>
              <w:t>Total property, plant and equipment</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988,256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868,827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462,457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428,400</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440,427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net, increased due primarily to capital expenditures in the Broadband segment driven by our Glo Fiber and Beam market expansions.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3"/>
              </w:rPr>
              <w:t>September 30, 2021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December 31, 2020</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5"/>
                <w:szCs w:val="15"/>
                <w:color w:val="auto"/>
              </w:rPr>
            </w:pPr>
          </w:p>
        </w:tc>
        <w:tc>
          <w:tcPr>
            <w:tcW w:w="150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9"/>
              </w:rPr>
              <w:t>Amortization and</w:t>
            </w:r>
          </w:p>
        </w:tc>
        <w:tc>
          <w:tcPr>
            <w:tcW w:w="22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Cable franchise rights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29,958</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Railroad crossing rights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0" w:type="dxa"/>
            <w:vAlign w:val="bottom"/>
          </w:tcPr>
          <w:p>
            <w:pPr>
              <w:spacing w:after="0"/>
              <w:rPr>
                <w:sz w:val="1"/>
                <w:szCs w:val="1"/>
                <w:color w:val="auto"/>
              </w:rPr>
            </w:pPr>
          </w:p>
        </w:tc>
      </w:tr>
      <w:tr>
        <w:trPr>
          <w:trHeight w:val="479"/>
        </w:trPr>
        <w:tc>
          <w:tcPr>
            <w:tcW w:w="3720" w:type="dxa"/>
            <w:vAlign w:val="bottom"/>
          </w:tcPr>
          <w:p>
            <w:pPr>
              <w:spacing w:after="0"/>
              <w:rPr>
                <w:sz w:val="20"/>
                <w:szCs w:val="20"/>
                <w:color w:val="auto"/>
              </w:rPr>
            </w:pPr>
            <w:r>
              <w:rPr>
                <w:rFonts w:ascii="Arial" w:cs="Arial" w:eastAsia="Arial" w:hAnsi="Arial"/>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$0.2 million during both of the three months ended September 30, 2021 and 2020, and $0.6 million and $0.5 million for the nine months ended September 30, 2021 and 2020, respectively.</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Federal Communications Commission ("FCC") has delayed the issuance of Citizen Broadband Radio Service (CBRS) Priority Access Licenses acquired by the Company for $16.2 million in September 2020. The delay stems from a FCC review of the aggregate ownership of CBRS spectrum by certain shareholders of the Company. The Company is in the process of resolving this issue. The Company does not believe that it is probable or reasonably possible of a material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Note 7.   Other Assets and Accrued Liabilities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1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Prepaid maintenance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Broadband contract acquisition and fulfillment costs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SERP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4660" w:type="dxa"/>
            <w:vAlign w:val="bottom"/>
            <w:vMerge w:val="continue"/>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Broadband contract acquisition and fulfillment costs</w:t>
            </w:r>
          </w:p>
        </w:tc>
        <w:tc>
          <w:tcPr>
            <w:tcW w:w="34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3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3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480" w:type="dxa"/>
            <w:vAlign w:val="bottom"/>
            <w:vMerge w:val="restart"/>
          </w:tcPr>
          <w:p>
            <w:pPr>
              <w:jc w:val="right"/>
              <w:ind w:right="23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6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3"/>
        </w:trPr>
        <w:tc>
          <w:tcPr>
            <w:tcW w:w="8100" w:type="dxa"/>
            <w:vAlign w:val="bottom"/>
            <w:gridSpan w:val="2"/>
          </w:tcPr>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Accrued programming costs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Sales and property taxes payable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Restructuring accrual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810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1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100" w:type="dxa"/>
            <w:vAlign w:val="bottom"/>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Noncurrent portion of deferred lease revenue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19,066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FCC spectrum license obligations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Noncurrent portion of financing leases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810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we implemented a restructuring plan whereby certain employees were notified of their pending dismissal under the workforce reduction program. The following table identifies the activity that has occurred as a result of the plan:</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6"/>
                <w:szCs w:val="16"/>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178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Nine Months Ended</w:t>
            </w:r>
          </w:p>
        </w:tc>
        <w:tc>
          <w:tcPr>
            <w:tcW w:w="0" w:type="dxa"/>
            <w:vAlign w:val="bottom"/>
          </w:tcPr>
          <w:p>
            <w:pPr>
              <w:spacing w:after="0"/>
              <w:rPr>
                <w:sz w:val="1"/>
                <w:szCs w:val="1"/>
                <w:color w:val="auto"/>
              </w:rPr>
            </w:pPr>
          </w:p>
        </w:tc>
      </w:tr>
      <w:tr>
        <w:trPr>
          <w:trHeight w:val="216"/>
        </w:trPr>
        <w:tc>
          <w:tcPr>
            <w:tcW w:w="7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2021</w:t>
            </w:r>
          </w:p>
        </w:tc>
        <w:tc>
          <w:tcPr>
            <w:tcW w:w="200" w:type="dxa"/>
            <w:vAlign w:val="bottom"/>
          </w:tcPr>
          <w:p>
            <w:pPr>
              <w:spacing w:after="0"/>
              <w:rPr>
                <w:sz w:val="18"/>
                <w:szCs w:val="18"/>
                <w:color w:val="auto"/>
              </w:rPr>
            </w:pPr>
          </w:p>
        </w:tc>
        <w:tc>
          <w:tcPr>
            <w:tcW w:w="178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September 30, 2021</w:t>
            </w:r>
          </w:p>
        </w:tc>
        <w:tc>
          <w:tcPr>
            <w:tcW w:w="0" w:type="dxa"/>
            <w:vAlign w:val="bottom"/>
          </w:tcPr>
          <w:p>
            <w:pPr>
              <w:spacing w:after="0"/>
              <w:rPr>
                <w:sz w:val="1"/>
                <w:szCs w:val="1"/>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Beginning Balance June 30, 2021 and January 1, 2021, respectively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Expense (1)</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Payments (2)</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3"/>
        </w:trPr>
        <w:tc>
          <w:tcPr>
            <w:tcW w:w="7140" w:type="dxa"/>
            <w:vAlign w:val="bottom"/>
          </w:tcPr>
          <w:p>
            <w:pPr>
              <w:ind w:left="120"/>
              <w:spacing w:after="0"/>
              <w:rPr>
                <w:sz w:val="20"/>
                <w:szCs w:val="20"/>
                <w:color w:val="auto"/>
              </w:rPr>
            </w:pPr>
            <w:r>
              <w:rPr>
                <w:rFonts w:ascii="Arial" w:cs="Arial" w:eastAsia="Arial" w:hAnsi="Arial"/>
                <w:sz w:val="18"/>
                <w:szCs w:val="18"/>
                <w:color w:val="auto"/>
              </w:rPr>
              <w:t>Ending Balance -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40" w:hanging="308"/>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2021, respectively, approximately $2.2 million and $2.5 million of expense was recognized within discontinued operations.</w:t>
      </w:r>
    </w:p>
    <w:p>
      <w:pPr>
        <w:spacing w:after="0" w:line="12" w:lineRule="exact"/>
        <w:rPr>
          <w:rFonts w:ascii="Arial" w:cs="Arial" w:eastAsia="Arial" w:hAnsi="Arial"/>
          <w:sz w:val="13"/>
          <w:szCs w:val="13"/>
          <w:color w:val="auto"/>
        </w:rPr>
      </w:pPr>
    </w:p>
    <w:p>
      <w:pPr>
        <w:ind w:left="640" w:hanging="308"/>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2021, respectively, approximately $1.1 million and $1.2 million of payments were attributable to discontinued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various broadband network and telecommunications sites, fiber optic cable routes,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right of use asset.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At September 30, 2021, our operating leases had a weighted average remaining lease term of 20.2 years and a weighted average discount rate of 4.4%. Our finance leases had a weighted average remaining lease term of 13.5 years and a weighted average discount rate of 5.2%.</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each of the three months ended September 30, 2021 and 2020, we recognized $2.3 million and $2.3 million of operating lease expense, respectively. We recognized $0.1 million and $0.1 million of interest and depreciation expense on finance leases during the three months ended September 30, 2021 and 2020, respectively. Operating lease expense is presented in cost of</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or selling, general and administrative expense based on the use of the relevant facility. Variable lease payments and short-term lease expense were both immaterial. We remitted $1.4 million and $1.2 million of operating lease payments during the three months ended September 30, 2021 and 2020, respectively. We also obtained $2.2 million and $2.4 million of leased assets in exchange for new operating lease liabilities recognized during the three months ended September 30, 2021 and 2020,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4"/>
          </w:tcPr>
          <w:p>
            <w:pPr>
              <w:spacing w:after="0"/>
              <w:rPr>
                <w:sz w:val="20"/>
                <w:szCs w:val="20"/>
                <w:color w:val="auto"/>
              </w:rPr>
            </w:pPr>
            <w:r>
              <w:rPr>
                <w:rFonts w:ascii="Arial" w:cs="Arial" w:eastAsia="Arial" w:hAnsi="Arial"/>
                <w:sz w:val="18"/>
                <w:szCs w:val="18"/>
                <w:color w:val="auto"/>
                <w:w w:val="93"/>
              </w:rPr>
              <w:t>The following table summarizes the expected maturity of lease liabilities at September 30, 2021:</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Leases</w:t>
            </w:r>
          </w:p>
        </w:tc>
        <w:tc>
          <w:tcPr>
            <w:tcW w:w="44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5,737</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5,191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4,840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4,638</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70,185</w:t>
            </w: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92,141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36,035</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56,106</w:t>
            </w: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$2.4 million and $2.7 million of operating lease revenue during the three months ended September 30, 2021 and 2020, respectively, related to the cell site colocation space and dedicated fiber optic strands that we lease to our customers, which is included in Service revenue and other in the consolidated statements of comprehensive income. Substantially all of our lease revenue relates to fixed lease payments.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Below is a summary of our minimum rental receipts under the lease agreements in place at September 30, 2021:</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Operating Leases</w:t>
            </w:r>
          </w:p>
        </w:tc>
      </w:tr>
      <w:tr>
        <w:trPr>
          <w:trHeight w:val="222"/>
        </w:trPr>
        <w:tc>
          <w:tcPr>
            <w:tcW w:w="926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3,474</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13,749</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12,363</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11,614</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10,659</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36,957</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88,816</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Our cash payments for interest were $10.4 million and $14.5 million during the nine months ended September 30, 2021 and 2020, respectively.</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upon consummation of the Transaction, the Company used approximately $681 million of the proceeds received from the sale to fully repay all outstanding principal amounts under, and terminate, the Credit Agreement existing as of June 30, 2021 ("Prior Credit Agreement").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 2021, the Company entered into a Credit Agreement (the “Credit Agreement”) with various financial institutions thereto (the “Lenders”) and CoBank, ACB, as administrative agent for the Lenders (in such capacity, the “Administrative Agent”). The Credit Agreement provides for three credit facilities (collectively, the “Facilities”), in an aggregate amount equal to $400 million: (i) a $100 million five-year revolving credit facility (the “Revolver”), (ii) a $150 million five-year delay draw amortizing term loan (the “Term Loan A-1”) and (iii) a $150 million seven-year delay draw amortizing term loan (the “Term Loan A-2” and, together with the Term Loan A-1, the “Term Loans”). The Credit Agreement includes a provision under which the Company may request that additional term loans be made to it in an amount not to exceed the sum of (1) the greater of (a) $75 million and (b) 100% of Consolidated EBIDTA (as defined in the Credit Agreement), calculated on a pro forma basis in accordance with the Credit Agreement, plus (2) an additional unlimited amount subject to a maximum Total Net Leverage Ratio (as defined in the Credit Agreement) of 4.00:1.00, calculated on a pro forma basis in accordance with the Credit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receipt of commitments from one or more lenders for any such additional term loans and other customary conditions.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availability of the Facilities to the Company is subject to the satisfaction or waiver of certain customary conditions set forth in the Credit Agreement. The Company may use the proceeds from the Revolver and the Term Loans to finance capital expenditures, provide working capital, and for other general corporate purposes of the Company and its subsidiaries, including the payment of fees and expenses in connection with the foregoing. The Term Loans will be repaid in quarterly principal installments commencing on September 30, 2023, with the unpaid balance of the Term Loans due at maturity, as set forth in the Credit Agreement.</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Rates for borrowing under the Credit Agreement are based, at the Company’s election, upon whether the borrowing is a LIBOR loan or a base rate loan. LIBOR loans will bear interest at an adjusted LIBOR rate (which shall be no less than 0.00%) plus an applicable margin ranging from 1.50% to 2.75% for the Term Loan A-1 and the Revolver and from 1.50% to 3.00% for the Term Loan A-2, depending on the Company’s Total Net Leverage Ratio. Base rate loans will bear interest at a base rate plus an applicable margin ranging from 0.50% to 1.75% for the Term Loan A-1 and the Revolver and from 0.50% to 2.00% for the Term Loan A-2, depending on the Company’s Total Net Leverage Ratio. In addition, under the terms of the Credit Agreement, the Company agrees to pay the Lenders a fee on undrawn portions of the Term Loans and Revolver from time to time. This fee rate is dependent on the Company’s Total Net Leverage Ratio and ranges from a rate per annum equal to 0.200% to 0.375%.</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contains representations and warranties, and affirmative and negative financial covenants usual and customary for similar secured credit facilities, each of which are applicable to the Company and its subsidiaries, including covenants governing the ability of the Company and its subsidiaries, subject to negotiated exceptions, to incur additional indebtedness and additional liens on their assets, engage in mergers or acquisitions or dispose of assets, pay dividends or make other distributions, enter into transactions with affiliated persons, make investments or change the nature of the Company’s and its subsidiaries’ businesses. The Company is also subject to certain financial covenants to be measured on a trailing twelve month basis on the last day of each calendar quarter. These covenants include:</w:t>
      </w:r>
    </w:p>
    <w:p>
      <w:pPr>
        <w:spacing w:after="0" w:line="219"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Total Net Leverage Ratio (as defined in the Credit Agreement) not greater than 4.25 to 1.00 (subject to customary increased leverage periods following certain qualifying acquisitions);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Debt Service Coverage Ratio (as defined in the Credit Agreement) not less than 2.00 to 1.00.</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Indebtedness outstanding under any of the Facilities may be accelerated upon the occurrence of an Event of Default (as defined in the Credit Agreement). As of September 30, 2021, the Company had not drawn on the Term Loans or the Revolver and was in compliance with the financial covenants in its credit agreements.</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 quotations provided by a group of banks that sustain LIBOR will no longer be required after 2021. As a result, it is uncertain whether LIBOR will continue to be quoted after 2021. Our term loans and revolver identify LIBOR as a reference rate and mature after 2021. Alternative reference rates that replace LIBOR may not yield the same or similar economic results over the terms of the financial instruments. The transition from LIBOR could result in us paying higher or lower interest rates on our current LIBOR-indexed term loans. Our Credit Agreement includes provisions that provide for the identification of a LIBOR replacement rate. Due to the uncertainty regarding the transition from LIBOR-indexed financial instruments, including when it will happen, and the manner in which an alternative reference rate will apply, we cannot yet reasonably estimate the expected financial impact of the LIBOR transition.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upon consummation of the Transaction, the Company used approximately $3 million of the proceeds received from the sale to fully satisfy its obligations under, and terminate, the interest rate swaps. Amounts reclassified from accumulated other comprehensive income (loss) are presented as part of income from discontinued operations.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changes in accumulated other comprehensive income (loss) by component, including the reclassification from accumulated other comprehensive income (loss) into earnings following the swap termination: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Table of Contents</w:t>
              </w:r>
            </w:hyperlink>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Gains (Losses) on</w:t>
            </w:r>
          </w:p>
        </w:tc>
        <w:tc>
          <w:tcPr>
            <w:tcW w:w="240" w:type="dxa"/>
            <w:vAlign w:val="bottom"/>
          </w:tcPr>
          <w:p>
            <w:pPr>
              <w:spacing w:after="0"/>
              <w:rPr>
                <w:sz w:val="15"/>
                <w:szCs w:val="15"/>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176"/>
        </w:trPr>
        <w:tc>
          <w:tcPr>
            <w:tcW w:w="6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8"/>
              </w:rPr>
              <w:t>Cash Flow</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Income (Loss), net</w:t>
            </w:r>
          </w:p>
        </w:tc>
        <w:tc>
          <w:tcPr>
            <w:tcW w:w="0" w:type="dxa"/>
            <w:vAlign w:val="bottom"/>
          </w:tcPr>
          <w:p>
            <w:pPr>
              <w:spacing w:after="0"/>
              <w:rPr>
                <w:sz w:val="1"/>
                <w:szCs w:val="1"/>
                <w:color w:val="auto"/>
              </w:rPr>
            </w:pPr>
          </w:p>
        </w:tc>
      </w:tr>
      <w:tr>
        <w:trPr>
          <w:trHeight w:val="229"/>
        </w:trPr>
        <w:tc>
          <w:tcPr>
            <w:tcW w:w="6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taxes</w:t>
            </w:r>
          </w:p>
        </w:tc>
        <w:tc>
          <w:tcPr>
            <w:tcW w:w="0" w:type="dxa"/>
            <w:vAlign w:val="bottom"/>
          </w:tcPr>
          <w:p>
            <w:pPr>
              <w:spacing w:after="0"/>
              <w:rPr>
                <w:sz w:val="1"/>
                <w:szCs w:val="1"/>
                <w:color w:val="auto"/>
              </w:rPr>
            </w:pPr>
          </w:p>
        </w:tc>
      </w:tr>
      <w:tr>
        <w:trPr>
          <w:trHeight w:val="222"/>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176"/>
        </w:trPr>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 (loss) to</w:t>
            </w: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earnings as a result of swap termination</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September 30, 2021. The Company's returns are generally open to examination from 2017 forward and the net operating losses acquired in the acquisition of nTelos are open to examination from 2002 forward.</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three months ended September 30, 2021 and 2020, differ from the statutory U.S. federal income tax rate of 21% primarily due to the state income taxes, excess tax benefits and other discrete items.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6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2"/>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Expected tax expense (benefit) at federal statutory</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Revaluation of deferred tax liabilities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(7,675)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w w:val="92"/>
              </w:rPr>
              <w:t>Stranded tax effects reclassified from other comprehensive income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20" w:type="dxa"/>
            <w:vAlign w:val="bottom"/>
          </w:tcPr>
          <w:p>
            <w:pPr>
              <w:spacing w:after="0" w:line="176" w:lineRule="exact"/>
              <w:rPr>
                <w:sz w:val="20"/>
                <w:szCs w:val="20"/>
                <w:color w:val="auto"/>
              </w:rPr>
            </w:pPr>
            <w:r>
              <w:rPr>
                <w:rFonts w:ascii="Arial" w:cs="Arial" w:eastAsia="Arial" w:hAnsi="Arial"/>
                <w:sz w:val="18"/>
                <w:szCs w:val="18"/>
                <w:color w:val="auto"/>
              </w:rPr>
              <w:t>Excess tax benefit from share based compensation and other</w:t>
            </w:r>
          </w:p>
        </w:tc>
        <w:tc>
          <w:tcPr>
            <w:tcW w:w="9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expense, net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(5,422)</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cash payments for income taxes were approximately $24.9 million and $5.4 million for the nine months ended September 30, 2021 and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disposition of Wireless assets and operations, (see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triggered a reduction in the Company’s future estimated tax rate as apportionable income and expenses for higher tax rate jurisdictions was reduced, resulting in a revaluation of deferred tax liabilities with a $7.7 million benefit recognized during the three months ended September 30,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The disposition of Wireless assets and operations triggered the recognition of an estimated current tax liability of </w:t>
      </w:r>
      <w:r>
        <w:rPr>
          <w:rFonts w:ascii="Arial" w:cs="Arial" w:eastAsia="Arial" w:hAnsi="Arial"/>
          <w:sz w:val="18"/>
          <w:szCs w:val="18"/>
          <w:color w:val="000000"/>
        </w:rPr>
        <w:t>$428 million scheduled to be paid during</w:t>
      </w:r>
      <w:r>
        <w:rPr>
          <w:rFonts w:ascii="Arial" w:cs="Arial" w:eastAsia="Arial" w:hAnsi="Arial"/>
          <w:sz w:val="18"/>
          <w:szCs w:val="18"/>
          <w:color w:val="212529"/>
        </w:rPr>
        <w:t xml:space="preserve"> </w:t>
      </w:r>
      <w:r>
        <w:rPr>
          <w:rFonts w:ascii="Arial" w:cs="Arial" w:eastAsia="Arial" w:hAnsi="Arial"/>
          <w:sz w:val="18"/>
          <w:szCs w:val="18"/>
          <w:color w:val="000000"/>
        </w:rPr>
        <w:t xml:space="preserve">the remainder of 2021. </w:t>
      </w:r>
      <w:r>
        <w:rPr>
          <w:rFonts w:ascii="Arial" w:cs="Arial" w:eastAsia="Arial" w:hAnsi="Arial"/>
          <w:sz w:val="18"/>
          <w:szCs w:val="18"/>
          <w:color w:val="212529"/>
        </w:rPr>
        <w:t>The tax liability is subject to change pending the final purchase price allocation.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utilize the treasury stock method to calculate the impact on diluted earnings per share that potentially dilutive stock-based compensation awards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Calculation of net income per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11,637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Total income from discontinued operations, net of tax</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886,326</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986,364</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76,422</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893,058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998,001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77,448</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Basic net income per share - continuing operations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Basic net income per share - discontinued operations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Basic net income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Effect from dilutive shares and options outstanding</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50,049</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Diluted net income per share - continuing operations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Diluted net income per share - discontinued operations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 2021, the Company’s Board of Directors declared a special dividend of $18.75 per share on the issued and outstanding shares of the Company’s common stock (the “Special Dividend”). The Special Dividend was paid on August 2, 2021. The total payout to Shentel shareholders, including amounts reinvested in the Company’s stock via the Company’s Dividend Reinvestment Plan, was approximately $937 million.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4, 2021, in accordance with the 2014 Equity Incentive Plan, the Company's Board of Directors adopted a resolution to modify the outstanding equity awards to offset the loss in intrinsic value caused by the disposition of wireless and the decline in the Company's share price following the special dividend. No other terms or conditions of the outstanding equity awards were modified, no incremental expense was required to be recognized, and there was no significant impact to dilutive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are committed to make payments to satisfy our lease liabilities. The scheduled payments under those obligations are summarized in Note 8, </w:t>
      </w:r>
      <w:r>
        <w:rPr>
          <w:rFonts w:ascii="Arial" w:cs="Arial" w:eastAsia="Arial" w:hAnsi="Arial"/>
          <w:sz w:val="17"/>
          <w:szCs w:val="17"/>
          <w:i w:val="1"/>
          <w:iCs w:val="1"/>
          <w:color w:val="auto"/>
        </w:rPr>
        <w:t>Leases</w:t>
      </w:r>
      <w:r>
        <w:rPr>
          <w:rFonts w:ascii="Arial" w:cs="Arial" w:eastAsia="Arial" w:hAnsi="Arial"/>
          <w:sz w:val="17"/>
          <w:szCs w:val="17"/>
          <w:color w:val="auto"/>
        </w:rPr>
        <w:t>. We are also committed to make annual payments of approximately $108.0 thousand on our FCC spectrum license obligation through 2039.</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divestiture of our Wireless operations represents a strategic shift in the Company’s business and qualifies as a discontinued operation. As a result, for all periods presented, the operating results and cash flows related to the Wireless segment were reflected as discontinued operations in our Unaudited Condensed Consolidated Statements of Comprehensive Income and the Unaudited Condensed Consolidated Statements of Cash Flows. The tables below reflect the results of operations of the Company's reportable segments in continuing operations, consistent with internal reporting used by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9"/>
        </w:trPr>
        <w:tc>
          <w:tcPr>
            <w:tcW w:w="4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44,783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44,783</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22"/>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57,814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62,170</w:t>
            </w:r>
          </w:p>
        </w:tc>
        <w:tc>
          <w:tcPr>
            <w:tcW w:w="0" w:type="dxa"/>
            <w:vAlign w:val="bottom"/>
          </w:tcPr>
          <w:p>
            <w:pPr>
              <w:spacing w:after="0"/>
              <w:rPr>
                <w:sz w:val="1"/>
                <w:szCs w:val="1"/>
                <w:color w:val="auto"/>
              </w:rPr>
            </w:pPr>
          </w:p>
        </w:tc>
      </w:tr>
      <w:tr>
        <w:trPr>
          <w:trHeight w:val="176"/>
        </w:trPr>
        <w:tc>
          <w:tcPr>
            <w:tcW w:w="49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62,244</w:t>
            </w: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25,426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20,238</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61,072</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0"/>
        </w:trPr>
        <w:tc>
          <w:tcPr>
            <w:tcW w:w="4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39,477</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22"/>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50,474</w:t>
            </w:r>
          </w:p>
        </w:tc>
        <w:tc>
          <w:tcPr>
            <w:tcW w:w="0" w:type="dxa"/>
            <w:vAlign w:val="bottom"/>
          </w:tcPr>
          <w:p>
            <w:pPr>
              <w:spacing w:after="0"/>
              <w:rPr>
                <w:sz w:val="1"/>
                <w:szCs w:val="1"/>
                <w:color w:val="auto"/>
              </w:rPr>
            </w:pPr>
          </w:p>
        </w:tc>
      </w:tr>
      <w:tr>
        <w:trPr>
          <w:trHeight w:val="176"/>
        </w:trPr>
        <w:tc>
          <w:tcPr>
            <w:tcW w:w="49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55,173</w:t>
            </w: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22,669</w:t>
            </w: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54,703</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9"/>
        </w:trPr>
        <w:tc>
          <w:tcPr>
            <w:tcW w:w="4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131,702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131,702</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21,975</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11,208</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164,885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173,410</w:t>
            </w: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9,225</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169,294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182,635</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60,711</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176,389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4"/>
                <w:szCs w:val="24"/>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24"/>
                <w:szCs w:val="24"/>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0"/>
        </w:trPr>
        <w:tc>
          <w:tcPr>
            <w:tcW w:w="4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114,170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114,170</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17,762</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143,812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149,302</w:t>
            </w: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162,643</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65,167</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64,227</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87"/>
              </w:rPr>
              <w:t>September 30,</w:t>
            </w:r>
          </w:p>
        </w:tc>
        <w:tc>
          <w:tcPr>
            <w:tcW w:w="900" w:type="dxa"/>
            <w:vAlign w:val="bottom"/>
            <w:tcBorders>
              <w:bottom w:val="single" w:sz="8" w:color="auto"/>
            </w:tcBorders>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2020</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1,172</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620"/>
              <w:spacing w:after="0"/>
              <w:rPr>
                <w:sz w:val="20"/>
                <w:szCs w:val="20"/>
                <w:color w:val="auto"/>
              </w:rPr>
            </w:pPr>
            <w:r>
              <w:rPr>
                <w:rFonts w:ascii="Arial" w:cs="Arial" w:eastAsia="Arial" w:hAnsi="Arial"/>
                <w:sz w:val="18"/>
                <w:szCs w:val="18"/>
                <w:color w:val="auto"/>
                <w:w w:val="97"/>
              </w:rPr>
              <w:t>6,246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1,083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7"/>
              </w:rPr>
              <w:t>3,076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1,310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7"/>
              </w:rPr>
              <w:t>9,322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1"/>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Declaration</w:t>
      </w:r>
    </w:p>
    <w:p>
      <w:pPr>
        <w:jc w:val="both"/>
        <w:spacing w:after="0" w:line="233" w:lineRule="auto"/>
        <w:rPr>
          <w:sz w:val="20"/>
          <w:szCs w:val="20"/>
          <w:color w:val="auto"/>
        </w:rPr>
      </w:pPr>
      <w:r>
        <w:rPr>
          <w:rFonts w:ascii="Arial" w:cs="Arial" w:eastAsia="Arial" w:hAnsi="Arial"/>
          <w:sz w:val="18"/>
          <w:szCs w:val="18"/>
          <w:color w:val="auto"/>
        </w:rPr>
        <w:t>On October 26, 2021, the Company's Board of Directors approved a dividend of $0.07 per common share. The dividend will be payable on December 1, 2021 to shareholders of record as of the close of business on November 8, 2021.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 Termination</w:t>
      </w:r>
    </w:p>
    <w:p>
      <w:pPr>
        <w:jc w:val="both"/>
        <w:spacing w:after="0" w:line="226" w:lineRule="auto"/>
        <w:rPr>
          <w:sz w:val="20"/>
          <w:szCs w:val="20"/>
          <w:color w:val="auto"/>
        </w:rPr>
      </w:pPr>
      <w:r>
        <w:rPr>
          <w:rFonts w:ascii="Arial" w:cs="Arial" w:eastAsia="Arial" w:hAnsi="Arial"/>
          <w:sz w:val="18"/>
          <w:szCs w:val="18"/>
          <w:color w:val="auto"/>
        </w:rPr>
        <w:t>The Company assumed a non-contributory defined benefit pension plan in the 2016 acquisition of nTelos, which was fully integrated into the former Wireless segment, and covered all employees who met eligibility requirements and were employed by nTelos prior to October 1, 2003. This pension plan was closed to nTelos employees hired on or after October 1, 2003 and frozen. As of September 30, 2021, the plan obligation was approximately $6.2 million.</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October 13, 2021, the Company adopted a resolution to terminate its pension plan effective December 31, 2021. Following adoption of the resolution, on October 28, 2021, the Company provided notice of intent to terminate the pension plan to participants. The Company is currently in the process of determining the impacts of the plan termination.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including information concerning our response to COVID-19,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2020 as well as natural disasters, pandemics and outbreaks of contagious diseases and other adverse public health developments, such as COVID-19, changes in general economic conditions, increases in costs, changes in regulation and other competitive factors.</w:t>
      </w:r>
    </w:p>
    <w:p>
      <w:pPr>
        <w:spacing w:after="0" w:line="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Annual Report on Form 10-K for its fiscal year ended December 31, 2020, including the consolidated financial statements and related notes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Management’s Discussion and Analysis is organized around our reporting segments. Refer to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in our unaudited condensed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2021, pursuant to the previously announced Asset Purchase Agreement (the “Purchase Agreement”), dated May 28, 2021, between Shentel and T-Mobile USA, Inc. (“T-Mobile”), Shentel completed the sale to T-Mobile of its Wireless assets and operations for cash consideration of approximately $1.94 billion, inclusive of the approximately $60 million settlement of the waived management fees by Sprint Corporation, an indirect subsidiary of T-Mobile (“Sprint”), and net of certain transaction expenses (the “Transaction”). The Company’s Wireless assets and operations were classified as discontinued operations after Sprint delivered notice to the Company exercising its option to purchase the Wireless assets and operations on August 26,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with the Three Months Ended September 30, 2020</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ind w:right="886"/>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62,244</w:t>
            </w: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55,173</w:t>
            </w: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7,071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w:t>
            </w:r>
          </w:p>
        </w:tc>
        <w:tc>
          <w:tcPr>
            <w:tcW w:w="11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w:t>
            </w:r>
          </w:p>
        </w:tc>
        <w:tc>
          <w:tcPr>
            <w:tcW w:w="1220" w:type="dxa"/>
            <w:vAlign w:val="bottom"/>
          </w:tcPr>
          <w:p>
            <w:pPr>
              <w:jc w:val="right"/>
              <w:spacing w:after="0"/>
              <w:rPr>
                <w:sz w:val="20"/>
                <w:szCs w:val="20"/>
                <w:color w:val="auto"/>
              </w:rPr>
            </w:pPr>
            <w:r>
              <w:rPr>
                <w:rFonts w:ascii="Arial" w:cs="Arial" w:eastAsia="Arial" w:hAnsi="Arial"/>
                <w:sz w:val="14"/>
                <w:szCs w:val="14"/>
                <w:color w:val="auto"/>
              </w:rPr>
              <w:t>0.9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(87.3)</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1,310</w:t>
            </w:r>
          </w:p>
        </w:tc>
        <w:tc>
          <w:tcPr>
            <w:tcW w:w="11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w:t>
            </w: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(5,563)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9"/>
              </w:rPr>
              <w:t>(3,945.4)</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6,732</w:t>
            </w:r>
          </w:p>
        </w:tc>
        <w:tc>
          <w:tcPr>
            <w:tcW w:w="11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1,412</w:t>
            </w:r>
          </w:p>
        </w:tc>
        <w:tc>
          <w:tcPr>
            <w:tcW w:w="1220" w:type="dxa"/>
            <w:vAlign w:val="bottom"/>
          </w:tcPr>
          <w:p>
            <w:pPr>
              <w:jc w:val="right"/>
              <w:spacing w:after="0"/>
              <w:rPr>
                <w:sz w:val="20"/>
                <w:szCs w:val="20"/>
                <w:color w:val="auto"/>
              </w:rPr>
            </w:pPr>
            <w:r>
              <w:rPr>
                <w:rFonts w:ascii="Arial" w:cs="Arial" w:eastAsia="Arial" w:hAnsi="Arial"/>
                <w:sz w:val="14"/>
                <w:szCs w:val="14"/>
                <w:color w:val="auto"/>
              </w:rPr>
              <w:t>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376.8</w:t>
            </w: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852,817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2,545.0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893,058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858,137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2,457.4</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approximately $7.1 million, or 12.8%, during the three months ended September 30, 2021 compared with the three months ended September 30, 2020, driven by growth of $7.2 million, or 14.2%, in the Broadband segment and offset by a decline of $0.1 million, or 1.2%, in the Tower segment. Refer to the discussion of the results of operations for the Tower and Broadband segments, included within this quarterly report,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increased approximately $6.4 million, or 11.6%, during the three months ended September 30, 2021 compared with the three months ended September 30, 2020, driven by $7.0 million in incremental Broadband operating expenses incurred primarily to support the expansion of our Glo Fiber and Beam services partially offset by a $0.8 million decline in Corporate employee compensation expenses primarily as a result of the workforce reduction program and lower expected incentive bonus.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benefit was $5.4 million during the three months ended September 30, 2021 compared with an income tax expense of $0.1 million for the three months ended September 30, 2020, primarily due to a $7.7 million non-cash tax benefit for revaluation of deferred tax liabilities driven by the change in our estimated state tax rate that was triggered by the disposition of our Wireless assets and operations, partially offset by a $1.6 million reclassification of income taxes from other comprehensive income as a result of terminating our interest rate swaps, and changes in taxable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discontinued operations, net of tax, increased by $0.9 billion during the three months ended September 30, 2021 as compared with the three months ended September 30, 2020, primarily due to the completion of the disposition of our Wireless assets and operations for proceeds of approximately $1.9 billion resulting in recognition of a $1.2 billion gain, net of approximately $0.3 billion of income tax expense.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 2021 Compared with the Nine Months Ended September 30, 2020</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6740" w:type="dxa"/>
            <w:vAlign w:val="bottom"/>
            <w:gridSpan w:val="5"/>
          </w:tcPr>
          <w:p>
            <w:pPr>
              <w:spacing w:after="0"/>
              <w:rPr>
                <w:sz w:val="20"/>
                <w:szCs w:val="20"/>
                <w:color w:val="auto"/>
              </w:rPr>
            </w:pPr>
            <w:r>
              <w:rPr>
                <w:rFonts w:ascii="Arial" w:cs="Arial" w:eastAsia="Arial" w:hAnsi="Arial"/>
                <w:sz w:val="18"/>
                <w:szCs w:val="18"/>
                <w:color w:val="auto"/>
              </w:rPr>
              <w:t>The Company’s consolidated results from operations are summarized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right"/>
              <w:ind w:right="946"/>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22"/>
        </w:trPr>
        <w:tc>
          <w:tcPr>
            <w:tcW w:w="4360" w:type="dxa"/>
            <w:vAlign w:val="bottom"/>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182,635</w:t>
            </w: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162,643</w:t>
            </w: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10,985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6,246</w:t>
            </w:r>
          </w:p>
        </w:tc>
        <w:tc>
          <w:tcPr>
            <w:tcW w:w="11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(2,761)</w:t>
            </w:r>
          </w:p>
        </w:tc>
        <w:tc>
          <w:tcPr>
            <w:tcW w:w="1200" w:type="dxa"/>
            <w:vAlign w:val="bottom"/>
          </w:tcPr>
          <w:p>
            <w:pPr>
              <w:jc w:val="right"/>
              <w:spacing w:after="0"/>
              <w:rPr>
                <w:sz w:val="20"/>
                <w:szCs w:val="20"/>
                <w:color w:val="auto"/>
              </w:rPr>
            </w:pPr>
            <w:r>
              <w:rPr>
                <w:rFonts w:ascii="Arial" w:cs="Arial" w:eastAsia="Arial" w:hAnsi="Arial"/>
                <w:sz w:val="14"/>
                <w:szCs w:val="14"/>
                <w:color w:val="auto"/>
              </w:rPr>
              <w:t>(1.7)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326.2</w:t>
            </w:r>
          </w:p>
        </w:tc>
      </w:tr>
      <w:tr>
        <w:trPr>
          <w:trHeight w:val="499"/>
        </w:trPr>
        <w:tc>
          <w:tcPr>
            <w:tcW w:w="43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22"/>
        </w:trPr>
        <w:tc>
          <w:tcPr>
            <w:tcW w:w="436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9,322</w:t>
            </w: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1200" w:type="dxa"/>
            <w:vAlign w:val="bottom"/>
          </w:tcPr>
          <w:p>
            <w:pPr>
              <w:jc w:val="right"/>
              <w:spacing w:after="0"/>
              <w:rPr>
                <w:sz w:val="20"/>
                <w:szCs w:val="20"/>
                <w:color w:val="auto"/>
              </w:rPr>
            </w:pPr>
            <w:r>
              <w:rPr>
                <w:rFonts w:ascii="Arial" w:cs="Arial" w:eastAsia="Arial" w:hAnsi="Arial"/>
                <w:sz w:val="14"/>
                <w:szCs w:val="14"/>
                <w:color w:val="auto"/>
              </w:rPr>
              <w:t>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8,980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9"/>
              </w:rPr>
              <w:t>(2,625.7)</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(238.5)</w:t>
            </w: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11,637</w:t>
            </w:r>
          </w:p>
        </w:tc>
        <w:tc>
          <w:tcPr>
            <w:tcW w:w="11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1,026</w:t>
            </w:r>
          </w:p>
        </w:tc>
        <w:tc>
          <w:tcPr>
            <w:tcW w:w="1200" w:type="dxa"/>
            <w:vAlign w:val="bottom"/>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1,034.2</w:t>
            </w:r>
          </w:p>
        </w:tc>
      </w:tr>
      <w:tr>
        <w:trPr>
          <w:trHeight w:val="499"/>
        </w:trPr>
        <w:tc>
          <w:tcPr>
            <w:tcW w:w="436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909,942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1,190.7</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920,553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1,188.6</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increased approximately $20.0 million, or 12.3%, during the nine months ended September 30, 2021 compared with the nine months ended September 30, 2020, driven by growth of $18.7 million, or 12.4%, in the Broadband segment and $1.2 million, or 9.9%, in the Tower segment. Refer to the discussion of the results of operations for the Tower and Broadband segments, included within this quarterly report,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Operating expenses increased approximately $11.0 million, or 6.6%, during the nine months ended September 30, 2021 compared with the nine months ended September 30, 2020, driven by $19.7 million incremental Broadband operating expenses incurred primarily to support the expansion of Glo Fiber and Beam services partially offset by an $9.2 million decline in Corporate expenses primarily driven by lower employee compensation expense as a result of the workforce reduction program and lower expected incentive bonus.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Income tax expense of approximately $2.3 million decreased approximately $1.6 million during the nine months ended September 30, 2021 compared with the nine months ended September 30, 2020, primarily due to a $7.7 million non-cash tax benefit for revaluation of deferred tax liabilities driven by change in our estimated tax rate that was triggered by the disposition of our Wireless assets and operations, partially offset by a $1.6 million reclassification of income taxes from other comprehensive income as a result of terminating our interest rate swaps, a $1.0 million non-cash charge related to the revaluation of deferred tax liabilities for a change in tax law in the state of West Virginia and $3.4 million of additional expense attributable to changes in taxable income, excess tax benefits from share based compensation and other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2" w:lineRule="exact"/>
        <w:rPr>
          <w:sz w:val="20"/>
          <w:szCs w:val="20"/>
          <w:color w:val="auto"/>
        </w:rPr>
      </w:pPr>
    </w:p>
    <w:p>
      <w:pPr>
        <w:jc w:val="both"/>
        <w:ind w:right="20"/>
        <w:spacing w:after="0" w:line="228" w:lineRule="auto"/>
        <w:rPr>
          <w:sz w:val="20"/>
          <w:szCs w:val="20"/>
          <w:color w:val="auto"/>
        </w:rPr>
      </w:pPr>
      <w:r>
        <w:rPr>
          <w:rFonts w:ascii="Arial" w:cs="Arial" w:eastAsia="Arial" w:hAnsi="Arial"/>
          <w:sz w:val="18"/>
          <w:szCs w:val="18"/>
          <w:color w:val="auto"/>
        </w:rPr>
        <w:t>Income from discontinued operations, net of tax, increased by $0.9 billion during the nine months ended September 30, 2021 as compared with the nine months ended September 30, 2020, primarily due to the completion of the disposition of our Wireless assets and operations for proceeds of approximately $1.9 billion resulting in recognition of a $1.2 billion gain, net of approximately $0.3 billion of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The Broadband segment also provides voice and DSL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telephone services to customers in Virginia’s Shenandoah County and portions of adjacent counties as a Rural Local Exchange Carrier (“RLEC”). These integrated networks are connected by over 7,200 fiber route mile network.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following table indicates selected operating statistics of our Broadband segment:</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3"/>
        </w:trPr>
        <w:tc>
          <w:tcPr>
            <w:tcW w:w="7800" w:type="dxa"/>
            <w:vAlign w:val="bottom"/>
          </w:tcPr>
          <w:p>
            <w:pPr>
              <w:spacing w:after="0"/>
              <w:rPr>
                <w:sz w:val="17"/>
                <w:szCs w:val="17"/>
                <w:color w:val="auto"/>
              </w:rPr>
            </w:pPr>
          </w:p>
        </w:tc>
        <w:tc>
          <w:tcPr>
            <w:tcW w:w="180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auto"/>
              </w:rPr>
              <w:t>September 30,</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30"/>
        </w:trPr>
        <w:tc>
          <w:tcPr>
            <w:tcW w:w="7800" w:type="dxa"/>
            <w:vAlign w:val="bottom"/>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2"/>
        </w:trPr>
        <w:tc>
          <w:tcPr>
            <w:tcW w:w="7800" w:type="dxa"/>
            <w:vAlign w:val="bottom"/>
          </w:tcPr>
          <w:p>
            <w:pPr>
              <w:ind w:left="20"/>
              <w:spacing w:after="0"/>
              <w:rPr>
                <w:sz w:val="20"/>
                <w:szCs w:val="20"/>
                <w:color w:val="auto"/>
              </w:rPr>
            </w:pPr>
            <w:r>
              <w:rPr>
                <w:rFonts w:ascii="Arial" w:cs="Arial" w:eastAsia="Arial" w:hAnsi="Arial"/>
                <w:sz w:val="18"/>
                <w:szCs w:val="18"/>
                <w:color w:val="auto"/>
              </w:rPr>
              <w:t>Broadband homes and businesses passed (1)</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296,196</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230,002</w:t>
            </w: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Incumbent Cable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211,013</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207,655</w:t>
            </w:r>
          </w:p>
        </w:tc>
      </w:tr>
      <w:tr>
        <w:trPr>
          <w:trHeight w:val="229"/>
        </w:trPr>
        <w:tc>
          <w:tcPr>
            <w:tcW w:w="7800" w:type="dxa"/>
            <w:vAlign w:val="bottom"/>
          </w:tcPr>
          <w:p>
            <w:pPr>
              <w:ind w:left="340"/>
              <w:spacing w:after="0"/>
              <w:rPr>
                <w:sz w:val="20"/>
                <w:szCs w:val="20"/>
                <w:color w:val="auto"/>
              </w:rPr>
            </w:pPr>
            <w:r>
              <w:rPr>
                <w:rFonts w:ascii="Arial" w:cs="Arial" w:eastAsia="Arial" w:hAnsi="Arial"/>
                <w:sz w:val="18"/>
                <w:szCs w:val="18"/>
                <w:color w:val="auto"/>
              </w:rPr>
              <w:t>Glo Fiber</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60,836</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22,347</w:t>
            </w: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Beam</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24,347</w:t>
            </w:r>
          </w:p>
        </w:tc>
        <w:tc>
          <w:tcPr>
            <w:tcW w:w="140" w:type="dxa"/>
            <w:vAlign w:val="bottom"/>
          </w:tcPr>
          <w:p>
            <w:pPr>
              <w:spacing w:after="0"/>
              <w:rPr>
                <w:sz w:val="20"/>
                <w:szCs w:val="20"/>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338"/>
        </w:trPr>
        <w:tc>
          <w:tcPr>
            <w:tcW w:w="7800" w:type="dxa"/>
            <w:vAlign w:val="bottom"/>
          </w:tcPr>
          <w:p>
            <w:pPr>
              <w:ind w:left="20"/>
              <w:spacing w:after="0"/>
              <w:rPr>
                <w:sz w:val="20"/>
                <w:szCs w:val="20"/>
                <w:color w:val="auto"/>
              </w:rPr>
            </w:pPr>
            <w:r>
              <w:rPr>
                <w:rFonts w:ascii="Arial" w:cs="Arial" w:eastAsia="Arial" w:hAnsi="Arial"/>
                <w:sz w:val="18"/>
                <w:szCs w:val="18"/>
                <w:color w:val="auto"/>
              </w:rPr>
              <w:t>Broadband customer relationships (3)</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118,143</w:t>
            </w:r>
          </w:p>
        </w:tc>
        <w:tc>
          <w:tcPr>
            <w:tcW w:w="140" w:type="dxa"/>
            <w:vAlign w:val="bottom"/>
          </w:tcPr>
          <w:p>
            <w:pPr>
              <w:spacing w:after="0"/>
              <w:rPr>
                <w:sz w:val="24"/>
                <w:szCs w:val="24"/>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106,314</w:t>
            </w:r>
          </w:p>
        </w:tc>
      </w:tr>
      <w:tr>
        <w:trPr>
          <w:trHeight w:val="337"/>
        </w:trPr>
        <w:tc>
          <w:tcPr>
            <w:tcW w:w="7800" w:type="dxa"/>
            <w:vAlign w:val="bottom"/>
          </w:tcPr>
          <w:p>
            <w:pPr>
              <w:ind w:left="20"/>
              <w:spacing w:after="0"/>
              <w:rPr>
                <w:sz w:val="20"/>
                <w:szCs w:val="20"/>
                <w:color w:val="auto"/>
              </w:rPr>
            </w:pPr>
            <w:r>
              <w:rPr>
                <w:rFonts w:ascii="Arial" w:cs="Arial" w:eastAsia="Arial" w:hAnsi="Arial"/>
                <w:sz w:val="18"/>
                <w:szCs w:val="18"/>
                <w:color w:val="auto"/>
              </w:rPr>
              <w:t>Residential &amp; Small and Medium Business ("SMB") RGUs: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Broadband Data</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115,579</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98,764</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Incumbent Cable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105,116</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95,962</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Glo Fiber</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9,272</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2,802</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Beam</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1,191</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Video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50,652</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53,647</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Voice (2)</w:t>
            </w: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34,592</w:t>
            </w:r>
          </w:p>
        </w:tc>
        <w:tc>
          <w:tcPr>
            <w:tcW w:w="140" w:type="dxa"/>
            <w:vAlign w:val="bottom"/>
          </w:tcPr>
          <w:p>
            <w:pPr>
              <w:spacing w:after="0"/>
              <w:rPr>
                <w:sz w:val="20"/>
                <w:szCs w:val="20"/>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33,019</w:t>
            </w:r>
          </w:p>
        </w:tc>
      </w:tr>
      <w:tr>
        <w:trPr>
          <w:trHeight w:val="224"/>
        </w:trPr>
        <w:tc>
          <w:tcPr>
            <w:tcW w:w="7800" w:type="dxa"/>
            <w:vAlign w:val="bottom"/>
          </w:tcPr>
          <w:p>
            <w:pPr>
              <w:ind w:left="20"/>
              <w:spacing w:after="0"/>
              <w:rPr>
                <w:sz w:val="20"/>
                <w:szCs w:val="20"/>
                <w:color w:val="auto"/>
              </w:rPr>
            </w:pPr>
            <w:r>
              <w:rPr>
                <w:rFonts w:ascii="Arial" w:cs="Arial" w:eastAsia="Arial" w:hAnsi="Arial"/>
                <w:sz w:val="18"/>
                <w:szCs w:val="18"/>
                <w:color w:val="auto"/>
              </w:rPr>
              <w:t>Total Residential &amp; SMB RGUs (excludes RLEC)</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200,823</w:t>
            </w:r>
          </w:p>
        </w:tc>
        <w:tc>
          <w:tcPr>
            <w:tcW w:w="14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185,430</w:t>
            </w:r>
          </w:p>
        </w:tc>
      </w:tr>
    </w:tbl>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Residential &amp; SMB Penetration (4)</w:t>
            </w:r>
          </w:p>
        </w:tc>
        <w:tc>
          <w:tcPr>
            <w:tcW w:w="4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Broadband Data</w:t>
            </w:r>
          </w:p>
        </w:tc>
        <w:tc>
          <w:tcPr>
            <w:tcW w:w="4340" w:type="dxa"/>
            <w:vAlign w:val="bottom"/>
          </w:tcPr>
          <w:p>
            <w:pPr>
              <w:jc w:val="right"/>
              <w:ind w:right="550"/>
              <w:spacing w:after="0"/>
              <w:rPr>
                <w:sz w:val="20"/>
                <w:szCs w:val="20"/>
                <w:color w:val="auto"/>
              </w:rPr>
            </w:pPr>
            <w:r>
              <w:rPr>
                <w:rFonts w:ascii="Arial" w:cs="Arial" w:eastAsia="Arial" w:hAnsi="Arial"/>
                <w:sz w:val="18"/>
                <w:szCs w:val="18"/>
                <w:color w:val="auto"/>
              </w:rPr>
              <w:t>39.0 %</w:t>
            </w:r>
          </w:p>
        </w:tc>
        <w:tc>
          <w:tcPr>
            <w:tcW w:w="1140" w:type="dxa"/>
            <w:vAlign w:val="bottom"/>
          </w:tcPr>
          <w:p>
            <w:pPr>
              <w:jc w:val="right"/>
              <w:spacing w:after="0"/>
              <w:rPr>
                <w:sz w:val="20"/>
                <w:szCs w:val="20"/>
                <w:color w:val="auto"/>
              </w:rPr>
            </w:pPr>
            <w:r>
              <w:rPr>
                <w:rFonts w:ascii="Arial" w:cs="Arial" w:eastAsia="Arial" w:hAnsi="Arial"/>
                <w:sz w:val="18"/>
                <w:szCs w:val="18"/>
                <w:color w:val="auto"/>
              </w:rPr>
              <w:t>42.9 %</w:t>
            </w: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Incumbent Cable</w:t>
            </w:r>
          </w:p>
        </w:tc>
        <w:tc>
          <w:tcPr>
            <w:tcW w:w="4340" w:type="dxa"/>
            <w:vAlign w:val="bottom"/>
          </w:tcPr>
          <w:p>
            <w:pPr>
              <w:jc w:val="right"/>
              <w:ind w:right="550"/>
              <w:spacing w:after="0"/>
              <w:rPr>
                <w:sz w:val="20"/>
                <w:szCs w:val="20"/>
                <w:color w:val="auto"/>
              </w:rPr>
            </w:pPr>
            <w:r>
              <w:rPr>
                <w:rFonts w:ascii="Arial" w:cs="Arial" w:eastAsia="Arial" w:hAnsi="Arial"/>
                <w:sz w:val="18"/>
                <w:szCs w:val="18"/>
                <w:color w:val="auto"/>
              </w:rPr>
              <w:t>49.8 %</w:t>
            </w:r>
          </w:p>
        </w:tc>
        <w:tc>
          <w:tcPr>
            <w:tcW w:w="1140" w:type="dxa"/>
            <w:vAlign w:val="bottom"/>
          </w:tcPr>
          <w:p>
            <w:pPr>
              <w:jc w:val="right"/>
              <w:spacing w:after="0"/>
              <w:rPr>
                <w:sz w:val="20"/>
                <w:szCs w:val="20"/>
                <w:color w:val="auto"/>
              </w:rPr>
            </w:pPr>
            <w:r>
              <w:rPr>
                <w:rFonts w:ascii="Arial" w:cs="Arial" w:eastAsia="Arial" w:hAnsi="Arial"/>
                <w:sz w:val="18"/>
                <w:szCs w:val="18"/>
                <w:color w:val="auto"/>
              </w:rPr>
              <w:t>46.2 %</w:t>
            </w: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Glo Fiber</w:t>
            </w:r>
          </w:p>
        </w:tc>
        <w:tc>
          <w:tcPr>
            <w:tcW w:w="4340" w:type="dxa"/>
            <w:vAlign w:val="bottom"/>
          </w:tcPr>
          <w:p>
            <w:pPr>
              <w:jc w:val="right"/>
              <w:ind w:right="550"/>
              <w:spacing w:after="0"/>
              <w:rPr>
                <w:sz w:val="20"/>
                <w:szCs w:val="20"/>
                <w:color w:val="auto"/>
              </w:rPr>
            </w:pPr>
            <w:r>
              <w:rPr>
                <w:rFonts w:ascii="Arial" w:cs="Arial" w:eastAsia="Arial" w:hAnsi="Arial"/>
                <w:sz w:val="18"/>
                <w:szCs w:val="18"/>
                <w:color w:val="auto"/>
              </w:rPr>
              <w:t>15.2 %</w:t>
            </w:r>
          </w:p>
        </w:tc>
        <w:tc>
          <w:tcPr>
            <w:tcW w:w="114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Beam</w:t>
            </w:r>
          </w:p>
        </w:tc>
        <w:tc>
          <w:tcPr>
            <w:tcW w:w="4340" w:type="dxa"/>
            <w:vAlign w:val="bottom"/>
          </w:tcPr>
          <w:p>
            <w:pPr>
              <w:jc w:val="right"/>
              <w:ind w:right="550"/>
              <w:spacing w:after="0"/>
              <w:rPr>
                <w:sz w:val="20"/>
                <w:szCs w:val="20"/>
                <w:color w:val="auto"/>
              </w:rPr>
            </w:pPr>
            <w:r>
              <w:rPr>
                <w:rFonts w:ascii="Arial" w:cs="Arial" w:eastAsia="Arial" w:hAnsi="Arial"/>
                <w:sz w:val="18"/>
                <w:szCs w:val="18"/>
                <w:color w:val="auto"/>
              </w:rPr>
              <w:t>4.9 %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Video</w:t>
            </w:r>
          </w:p>
        </w:tc>
        <w:tc>
          <w:tcPr>
            <w:tcW w:w="4340" w:type="dxa"/>
            <w:vAlign w:val="bottom"/>
          </w:tcPr>
          <w:p>
            <w:pPr>
              <w:jc w:val="right"/>
              <w:ind w:right="550"/>
              <w:spacing w:after="0"/>
              <w:rPr>
                <w:sz w:val="20"/>
                <w:szCs w:val="20"/>
                <w:color w:val="auto"/>
              </w:rPr>
            </w:pPr>
            <w:r>
              <w:rPr>
                <w:rFonts w:ascii="Arial" w:cs="Arial" w:eastAsia="Arial" w:hAnsi="Arial"/>
                <w:sz w:val="18"/>
                <w:szCs w:val="18"/>
                <w:color w:val="auto"/>
              </w:rPr>
              <w:t>17.1 %</w:t>
            </w:r>
          </w:p>
        </w:tc>
        <w:tc>
          <w:tcPr>
            <w:tcW w:w="1140" w:type="dxa"/>
            <w:vAlign w:val="bottom"/>
          </w:tcPr>
          <w:p>
            <w:pPr>
              <w:jc w:val="right"/>
              <w:spacing w:after="0"/>
              <w:rPr>
                <w:sz w:val="20"/>
                <w:szCs w:val="20"/>
                <w:color w:val="auto"/>
              </w:rPr>
            </w:pPr>
            <w:r>
              <w:rPr>
                <w:rFonts w:ascii="Arial" w:cs="Arial" w:eastAsia="Arial" w:hAnsi="Arial"/>
                <w:sz w:val="18"/>
                <w:szCs w:val="18"/>
                <w:color w:val="auto"/>
              </w:rPr>
              <w:t>23.3 %</w:t>
            </w: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Voice</w:t>
            </w:r>
          </w:p>
        </w:tc>
        <w:tc>
          <w:tcPr>
            <w:tcW w:w="4340" w:type="dxa"/>
            <w:vAlign w:val="bottom"/>
          </w:tcPr>
          <w:p>
            <w:pPr>
              <w:jc w:val="right"/>
              <w:ind w:right="550"/>
              <w:spacing w:after="0"/>
              <w:rPr>
                <w:sz w:val="20"/>
                <w:szCs w:val="20"/>
                <w:color w:val="auto"/>
              </w:rPr>
            </w:pPr>
            <w:r>
              <w:rPr>
                <w:rFonts w:ascii="Arial" w:cs="Arial" w:eastAsia="Arial" w:hAnsi="Arial"/>
                <w:sz w:val="18"/>
                <w:szCs w:val="18"/>
                <w:color w:val="auto"/>
              </w:rPr>
              <w:t>13.6 %</w:t>
            </w:r>
          </w:p>
        </w:tc>
        <w:tc>
          <w:tcPr>
            <w:tcW w:w="1140" w:type="dxa"/>
            <w:vAlign w:val="bottom"/>
          </w:tcPr>
          <w:p>
            <w:pPr>
              <w:jc w:val="right"/>
              <w:spacing w:after="0"/>
              <w:rPr>
                <w:sz w:val="20"/>
                <w:szCs w:val="20"/>
                <w:color w:val="auto"/>
              </w:rPr>
            </w:pPr>
            <w:r>
              <w:rPr>
                <w:rFonts w:ascii="Arial" w:cs="Arial" w:eastAsia="Arial" w:hAnsi="Arial"/>
                <w:sz w:val="18"/>
                <w:szCs w:val="18"/>
                <w:color w:val="auto"/>
              </w:rPr>
              <w:t>15.5 %</w:t>
            </w:r>
          </w:p>
        </w:tc>
      </w:tr>
    </w:tbl>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Residential &amp; SMB ARPU (5)</w:t>
            </w:r>
          </w:p>
        </w:tc>
        <w:tc>
          <w:tcPr>
            <w:tcW w:w="3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000" w:type="dxa"/>
            <w:vAlign w:val="bottom"/>
          </w:tcPr>
          <w:p>
            <w:pPr>
              <w:ind w:left="120"/>
              <w:spacing w:after="0"/>
              <w:rPr>
                <w:sz w:val="20"/>
                <w:szCs w:val="20"/>
                <w:color w:val="auto"/>
              </w:rPr>
            </w:pPr>
            <w:r>
              <w:rPr>
                <w:rFonts w:ascii="Arial" w:cs="Arial" w:eastAsia="Arial" w:hAnsi="Arial"/>
                <w:sz w:val="18"/>
                <w:szCs w:val="18"/>
                <w:color w:val="auto"/>
              </w:rPr>
              <w:t>Broadband Data</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78.33</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77.85</w:t>
            </w:r>
          </w:p>
        </w:tc>
      </w:tr>
      <w:tr>
        <w:trPr>
          <w:trHeight w:val="229"/>
        </w:trPr>
        <w:tc>
          <w:tcPr>
            <w:tcW w:w="5000" w:type="dxa"/>
            <w:vAlign w:val="bottom"/>
          </w:tcPr>
          <w:p>
            <w:pPr>
              <w:ind w:left="340"/>
              <w:spacing w:after="0"/>
              <w:rPr>
                <w:sz w:val="20"/>
                <w:szCs w:val="20"/>
                <w:color w:val="auto"/>
              </w:rPr>
            </w:pPr>
            <w:r>
              <w:rPr>
                <w:rFonts w:ascii="Arial" w:cs="Arial" w:eastAsia="Arial" w:hAnsi="Arial"/>
                <w:sz w:val="18"/>
                <w:szCs w:val="18"/>
                <w:color w:val="auto"/>
              </w:rPr>
              <w:t>Incumbent Cable</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78.64</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77.82</w:t>
            </w:r>
          </w:p>
        </w:tc>
      </w:tr>
      <w:tr>
        <w:trPr>
          <w:trHeight w:val="230"/>
        </w:trPr>
        <w:tc>
          <w:tcPr>
            <w:tcW w:w="5000" w:type="dxa"/>
            <w:vAlign w:val="bottom"/>
          </w:tcPr>
          <w:p>
            <w:pPr>
              <w:ind w:left="340"/>
              <w:spacing w:after="0"/>
              <w:rPr>
                <w:sz w:val="20"/>
                <w:szCs w:val="20"/>
                <w:color w:val="auto"/>
              </w:rPr>
            </w:pPr>
            <w:r>
              <w:rPr>
                <w:rFonts w:ascii="Arial" w:cs="Arial" w:eastAsia="Arial" w:hAnsi="Arial"/>
                <w:sz w:val="18"/>
                <w:szCs w:val="18"/>
                <w:color w:val="auto"/>
              </w:rPr>
              <w:t>Glo Fiber</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73.82</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80.80</w:t>
            </w:r>
          </w:p>
        </w:tc>
      </w:tr>
      <w:tr>
        <w:trPr>
          <w:trHeight w:val="230"/>
        </w:trPr>
        <w:tc>
          <w:tcPr>
            <w:tcW w:w="5000" w:type="dxa"/>
            <w:vAlign w:val="bottom"/>
          </w:tcPr>
          <w:p>
            <w:pPr>
              <w:ind w:left="340"/>
              <w:spacing w:after="0"/>
              <w:rPr>
                <w:sz w:val="20"/>
                <w:szCs w:val="20"/>
                <w:color w:val="auto"/>
              </w:rPr>
            </w:pPr>
            <w:r>
              <w:rPr>
                <w:rFonts w:ascii="Arial" w:cs="Arial" w:eastAsia="Arial" w:hAnsi="Arial"/>
                <w:sz w:val="18"/>
                <w:szCs w:val="18"/>
                <w:color w:val="auto"/>
              </w:rPr>
              <w:t>Beam</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72.80</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ind w:left="120"/>
              <w:spacing w:after="0"/>
              <w:rPr>
                <w:sz w:val="20"/>
                <w:szCs w:val="20"/>
                <w:color w:val="auto"/>
              </w:rPr>
            </w:pPr>
            <w:r>
              <w:rPr>
                <w:rFonts w:ascii="Arial" w:cs="Arial" w:eastAsia="Arial" w:hAnsi="Arial"/>
                <w:sz w:val="18"/>
                <w:szCs w:val="18"/>
                <w:color w:val="auto"/>
              </w:rPr>
              <w:t>Video</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100.28</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93.35</w:t>
            </w:r>
          </w:p>
        </w:tc>
      </w:tr>
      <w:tr>
        <w:trPr>
          <w:trHeight w:val="230"/>
        </w:trPr>
        <w:tc>
          <w:tcPr>
            <w:tcW w:w="5000" w:type="dxa"/>
            <w:vAlign w:val="bottom"/>
          </w:tcPr>
          <w:p>
            <w:pPr>
              <w:ind w:left="120"/>
              <w:spacing w:after="0"/>
              <w:rPr>
                <w:sz w:val="20"/>
                <w:szCs w:val="20"/>
                <w:color w:val="auto"/>
              </w:rPr>
            </w:pPr>
            <w:r>
              <w:rPr>
                <w:rFonts w:ascii="Arial" w:cs="Arial" w:eastAsia="Arial" w:hAnsi="Arial"/>
                <w:sz w:val="18"/>
                <w:szCs w:val="18"/>
                <w:color w:val="auto"/>
              </w:rPr>
              <w:t>Voice</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28.71</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29.55</w:t>
            </w:r>
          </w:p>
        </w:tc>
      </w:tr>
      <w:tr>
        <w:trPr>
          <w:trHeight w:val="337"/>
        </w:trPr>
        <w:tc>
          <w:tcPr>
            <w:tcW w:w="5000" w:type="dxa"/>
            <w:vAlign w:val="bottom"/>
          </w:tcPr>
          <w:p>
            <w:pPr>
              <w:spacing w:after="0"/>
              <w:rPr>
                <w:sz w:val="20"/>
                <w:szCs w:val="20"/>
                <w:color w:val="auto"/>
              </w:rPr>
            </w:pPr>
            <w:r>
              <w:rPr>
                <w:rFonts w:ascii="Arial" w:cs="Arial" w:eastAsia="Arial" w:hAnsi="Arial"/>
                <w:sz w:val="18"/>
                <w:szCs w:val="18"/>
                <w:color w:val="auto"/>
              </w:rPr>
              <w:t>Fiber route miles</w:t>
            </w:r>
          </w:p>
        </w:tc>
        <w:tc>
          <w:tcPr>
            <w:tcW w:w="32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7,219</w:t>
            </w: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6,705</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Total fiber miles (6)</w:t>
            </w:r>
          </w:p>
        </w:tc>
        <w:tc>
          <w:tcPr>
            <w:tcW w:w="3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469,387</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367,154</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hanging="328"/>
        <w:spacing w:after="0" w:line="241" w:lineRule="auto"/>
        <w:tabs>
          <w:tab w:leader="none" w:pos="652"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network without further extending the distribution system. Homes passed is an estimate based upon the best available information. Homes passed will vary among video, broadband data and voice services.</w:t>
      </w: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acquired Canaan Cable on December 31, 2020 adding 1,100 homes passed, 512 data RGUs, 324 video RGUs and 164 voice RGUs.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Revenue Per RGU calculation = (Residential &amp; SMB Revenue * 1,000) / average RGUs / 3 months</w:t>
      </w:r>
    </w:p>
    <w:p>
      <w:pPr>
        <w:spacing w:after="0" w:line="1" w:lineRule="exact"/>
        <w:rPr>
          <w:rFonts w:ascii="Arial" w:cs="Arial" w:eastAsia="Arial" w:hAnsi="Arial"/>
          <w:sz w:val="14"/>
          <w:szCs w:val="14"/>
          <w:color w:val="auto"/>
        </w:rPr>
      </w:pPr>
    </w:p>
    <w:p>
      <w:pPr>
        <w:ind w:left="660" w:hanging="328"/>
        <w:spacing w:after="0" w:line="255" w:lineRule="auto"/>
        <w:tabs>
          <w:tab w:leader="none" w:pos="652"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September 30, 2021 Compared with the Three Months Ended September 30, 2020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00" w:type="dxa"/>
            <w:vAlign w:val="bottom"/>
            <w:gridSpan w:val="2"/>
          </w:tcPr>
          <w:p>
            <w:pPr>
              <w:spacing w:after="0"/>
              <w:rPr>
                <w:sz w:val="20"/>
                <w:szCs w:val="20"/>
                <w:color w:val="auto"/>
              </w:rPr>
            </w:pPr>
            <w:r>
              <w:rPr>
                <w:rFonts w:ascii="Arial" w:cs="Arial" w:eastAsia="Arial" w:hAnsi="Arial"/>
                <w:sz w:val="18"/>
                <w:szCs w:val="18"/>
                <w:color w:val="auto"/>
                <w:w w:val="91"/>
              </w:rPr>
              <w:t>Broadband results from operations are summarized as follows: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6"/>
        </w:trPr>
        <w:tc>
          <w:tcPr>
            <w:tcW w:w="4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gridSpan w:val="6"/>
          </w:tcPr>
          <w:p>
            <w:pPr>
              <w:jc w:val="right"/>
              <w:ind w:right="926"/>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2"/>
                <w:szCs w:val="22"/>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2"/>
                <w:szCs w:val="22"/>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ind w:right="46"/>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Residential &amp; SMB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44,783</w:t>
            </w:r>
          </w:p>
        </w:tc>
        <w:tc>
          <w:tcPr>
            <w:tcW w:w="118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39,477</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77.8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9,059</w:t>
            </w:r>
          </w:p>
        </w:tc>
        <w:tc>
          <w:tcPr>
            <w:tcW w:w="118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7,308</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14.4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3,925</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7.7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2"/>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57,913</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50,710</w:t>
            </w:r>
          </w:p>
        </w:tc>
        <w:tc>
          <w:tcPr>
            <w:tcW w:w="1280" w:type="dxa"/>
            <w:vAlign w:val="bottom"/>
          </w:tcPr>
          <w:p>
            <w:pPr>
              <w:jc w:val="right"/>
              <w:spacing w:after="0"/>
              <w:rPr>
                <w:sz w:val="20"/>
                <w:szCs w:val="20"/>
                <w:color w:val="auto"/>
              </w:rPr>
            </w:pPr>
            <w:r>
              <w:rPr>
                <w:rFonts w:ascii="Arial" w:cs="Arial" w:eastAsia="Arial" w:hAnsi="Arial"/>
                <w:sz w:val="14"/>
                <w:szCs w:val="14"/>
                <w:color w:val="auto"/>
              </w:rPr>
              <w:t>100.0 %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24,012</w:t>
            </w:r>
          </w:p>
        </w:tc>
        <w:tc>
          <w:tcPr>
            <w:tcW w:w="118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21,326</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42.1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11,898</w:t>
            </w:r>
          </w:p>
        </w:tc>
        <w:tc>
          <w:tcPr>
            <w:tcW w:w="118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9,792</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19.3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10,106</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19.9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41,224</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9,486</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18.7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Residential &amp; SMB revenue increased approximately $5.3 million, or 13.4%, during the three months ended September 30, 2021, compared to September 30, 2020, primarily driven by 17.0% year-over-year growth in broadband data revenue generating units ("RGUs") driven by demand for higher speed data service and the expansion of our Glo Fiber and Beam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Commercial Fiber revenue increased approximately $1.8 million due to initiating service for new enterprise connections, $0.7 million non-recurring amortized revenue reduction in 2020 and $0.5 million in non-recurring dark fiber sales-type leases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services increased approximately $2.7 million, or 12.6%, compared with the three months ended September 30, 2020, primarily driven by the expansion of our Glo Fiber and Beam services. This included a $1.6 million increase in maintenance, and installation expenses, higher video programming costs of $0.5 million, and an increase in line costs of $0.5 million from an increase off-network circuits.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Due to the continued growth of our Broadband segment, our selling, general and administrative expense increased $2.1 million or 21.5% compared with the three months ended September 30, 2020, driven by a $0.6 million increase in Glo Fiber and Beam advertising, a $0.6 million increase in software and professional fees from enhancements to our back-office systems, a $0.3 million increase in bad debt expense due to the 2020 Keep Americans Connected pledge that delayed bad debt disconnects, a $0.3 million non-recurring increase related to a special one-time expense related to the sale of Wireless assets and operations, and a $0.2 million increase in commissions expense from higher sales volume arising from our Glo Fiber and Beam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Depreciation and amortization increased $2.1 million or 20.8%, compared with the three months ended September 30, 2020, primarily as a result of our Glo Fiber and Beam network expansion.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 2021 Compared with the Nine Months Ended September 30, 2020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00" w:type="dxa"/>
            <w:vAlign w:val="bottom"/>
            <w:gridSpan w:val="2"/>
          </w:tcPr>
          <w:p>
            <w:pPr>
              <w:spacing w:after="0"/>
              <w:rPr>
                <w:sz w:val="20"/>
                <w:szCs w:val="20"/>
                <w:color w:val="auto"/>
              </w:rPr>
            </w:pPr>
            <w:r>
              <w:rPr>
                <w:rFonts w:ascii="Arial" w:cs="Arial" w:eastAsia="Arial" w:hAnsi="Arial"/>
                <w:sz w:val="18"/>
                <w:szCs w:val="18"/>
                <w:color w:val="auto"/>
                <w:w w:val="91"/>
              </w:rPr>
              <w:t>Broadband results from operations are summarized as follows:</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right"/>
              <w:ind w:right="966"/>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60" w:type="dxa"/>
            <w:vAlign w:val="bottom"/>
          </w:tcPr>
          <w:p>
            <w:pPr>
              <w:jc w:val="right"/>
              <w:ind w:right="46"/>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Residential &amp; SMB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131,702</w:t>
            </w:r>
          </w:p>
        </w:tc>
        <w:tc>
          <w:tcPr>
            <w:tcW w:w="1220" w:type="dxa"/>
            <w:vAlign w:val="bottom"/>
          </w:tcPr>
          <w:p>
            <w:pPr>
              <w:jc w:val="right"/>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114,170</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75.8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26,061</w:t>
            </w: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24,044</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16.0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12,416</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2"/>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169,294</w:t>
            </w: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150,630</w:t>
            </w:r>
          </w:p>
        </w:tc>
        <w:tc>
          <w:tcPr>
            <w:tcW w:w="1260" w:type="dxa"/>
            <w:vAlign w:val="bottom"/>
          </w:tcPr>
          <w:p>
            <w:pPr>
              <w:jc w:val="right"/>
              <w:spacing w:after="0"/>
              <w:rPr>
                <w:sz w:val="20"/>
                <w:szCs w:val="20"/>
                <w:color w:val="auto"/>
              </w:rPr>
            </w:pPr>
            <w:r>
              <w:rPr>
                <w:rFonts w:ascii="Arial" w:cs="Arial" w:eastAsia="Arial" w:hAnsi="Arial"/>
                <w:sz w:val="14"/>
                <w:szCs w:val="14"/>
                <w:color w:val="auto"/>
              </w:rPr>
              <w:t>100.0 %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18,664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69,275</w:t>
            </w:r>
          </w:p>
        </w:tc>
        <w:tc>
          <w:tcPr>
            <w:tcW w:w="122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61,572</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40.9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35,429</w:t>
            </w:r>
          </w:p>
        </w:tc>
        <w:tc>
          <w:tcPr>
            <w:tcW w:w="12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28,960</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19.2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w:t>
            </w: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30,448</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5,299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140,654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120,980</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29,650</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19.7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(small &amp; medium business) revenue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Residential &amp; SMB revenue increased approximately $17.5 million, or 15.4%, during the nine months ended September 30, 2021 primarily driven by 17.0% year-over-year growth in broadband RGUs, driven by demand for higher speed data service and the rollout of our Glo Fiber and Beam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ind w:right="560"/>
        <w:spacing w:after="0" w:line="245" w:lineRule="auto"/>
        <w:rPr>
          <w:sz w:val="20"/>
          <w:szCs w:val="20"/>
          <w:color w:val="auto"/>
        </w:rPr>
      </w:pPr>
      <w:r>
        <w:rPr>
          <w:rFonts w:ascii="Arial" w:cs="Arial" w:eastAsia="Arial" w:hAnsi="Arial"/>
          <w:sz w:val="18"/>
          <w:szCs w:val="18"/>
          <w:color w:val="auto"/>
        </w:rPr>
        <w:t>Commercial Fiber revenue increased approximately $2.0 million due to initiating service for new enterprise connections, $0.7 million non-recurring amortized revenue reduction in 2020 and $0.5 million in non-recurring dark fiber sales-type leases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RLEC &amp; Other revenue</w:t>
      </w:r>
    </w:p>
    <w:p>
      <w:pPr>
        <w:spacing w:after="0" w:line="2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RLEC &amp; Other revenue decreased approximately $0.9 million, or 7.1%, compared with the nine months ended September 30, 2020 due primarily to a decline in residential DSL subscribers and lower governmental support. We expect RLEC revenue to continue to decline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services increased approximately $7.7 million, or 12.5%, compared with the nine months ended September 30, 2020, primarily driven by expansion of our Glo Fiber and Beam networks. This included a $2.6 million increase in maintenance and installation expenses, a $2.3 million increase in compensation expense from increased staffing, a $1.5 million increase in video programming costs, and a $0.7 million increase in line costs from an increase off-network circuits.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Selling, general and administrative expense increased $6.5 million, or 22.3%, compared with the nine months ended September 30, 2020, driven by a $2.4 million increase in software and professional fees, $1.3 million increase in advertising and telemarketing fees, $1.0 million of one-time costs for severance and expenses related to the sale of Wireless, a $0.9 million increase in commissions expense from higher sales volume arising from our Glo Fiber and Beam services, and $0.4 million increase in compensation expense from higher staffing to support our Glo Fiber and Beam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Earlier in the year, we implemented a workforce reduction program that impacted certain broadband employees and as a result we incurred $0.2 million of severance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Depreciation and amortization increased $5.3 million or 17.4%, compared with the nine months ended September 30, 2020, primarily as a result of our network expansion of Glo Fiber and Beam networks.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Tower segment owns cell towers and leases colocation space on the towers to wireless communications providers. Substantially all of our owned towers are built on ground that we lease from the respective landlords.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following table indicates selected operating statistics of the Tower segment: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r>
      <w:tr>
        <w:trPr>
          <w:trHeight w:val="229"/>
        </w:trPr>
        <w:tc>
          <w:tcPr>
            <w:tcW w:w="8080" w:type="dxa"/>
            <w:vAlign w:val="bottom"/>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Macro tower sites</w:t>
            </w: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Tenants (1)</w:t>
            </w:r>
          </w:p>
        </w:tc>
        <w:tc>
          <w:tcPr>
            <w:tcW w:w="15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Average tenants per tower</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34 and 208 tenants for our Wireless operations, (reported as a discontinued operation), and Broadband operations, as of September 30, 2021 and 2020,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with the Three Months Ended September 30, 2020</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6"/>
          </w:tcPr>
          <w:p>
            <w:pPr>
              <w:jc w:val="right"/>
              <w:ind w:right="924"/>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ind w:right="44"/>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Arial" w:cs="Arial" w:eastAsia="Arial" w:hAnsi="Arial"/>
                <w:sz w:val="18"/>
                <w:szCs w:val="18"/>
                <w:b w:val="1"/>
                <w:bCs w:val="1"/>
                <w:color w:val="auto"/>
              </w:rPr>
              <w:t>%</w:t>
            </w:r>
          </w:p>
        </w:tc>
      </w:tr>
      <w:tr>
        <w:trPr>
          <w:trHeight w:val="222"/>
        </w:trPr>
        <w:tc>
          <w:tcPr>
            <w:tcW w:w="4280" w:type="dxa"/>
            <w:vAlign w:val="bottom"/>
          </w:tcPr>
          <w:p>
            <w:pPr>
              <w:ind w:left="12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2,080</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2,421</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 was consistent with the prior 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consistent with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with the Nine Months Ended September 30,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Tower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964"/>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ind w:right="44"/>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Arial" w:cs="Arial" w:eastAsia="Arial" w:hAnsi="Arial"/>
                <w:sz w:val="18"/>
                <w:szCs w:val="18"/>
                <w:b w:val="1"/>
                <w:bCs w:val="1"/>
                <w:color w:val="auto"/>
              </w:rPr>
              <w:t>%</w:t>
            </w:r>
          </w:p>
        </w:tc>
      </w:tr>
      <w:tr>
        <w:trPr>
          <w:trHeight w:val="222"/>
        </w:trPr>
        <w:tc>
          <w:tcPr>
            <w:tcW w:w="4280" w:type="dxa"/>
            <w:vAlign w:val="bottom"/>
          </w:tcPr>
          <w:p>
            <w:pPr>
              <w:ind w:left="12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12,490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1,238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6,046</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6,444</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increased approximately $1.2 million, or 9.9%, during the nine months ended September 30, 2021 compared with the nine months ended September 30, 2020, primarily due to a 13.5% increase in tenants.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consistent with the prior year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 2021, pursuant to the Purchase Agreement, Shentel completed the sale to T-Mobile of its Wireless assets and operations for cash consideration of approximately $1.94 billion, inclusive of the approximately $60 million settlement of the waived management fees by Sprint, net of certain transaction expenses. The Company used approximately $684 million of the proceeds received from the sale to fully repay all outstanding principal amounts under, and terminate, the then-existing credit agreement (the "Prior Credit Agreement"), refer to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 for additional information, and to fully repay and terminate our interest rate swaps, refer to Note 10, </w:t>
      </w:r>
      <w:r>
        <w:rPr>
          <w:rFonts w:ascii="Arial" w:cs="Arial" w:eastAsia="Arial" w:hAnsi="Arial"/>
          <w:sz w:val="18"/>
          <w:szCs w:val="18"/>
          <w:i w:val="1"/>
          <w:iCs w:val="1"/>
          <w:color w:val="auto"/>
        </w:rPr>
        <w:t>Derivatives and Hedging.</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and proceeds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Credit Agreement.</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30, 2021 our cash and cash equivalents totaled $532.5 million and the availability under our delayed draw term loans and revolving line of credit was $400.0 million, for total available liquidity of $932.5 million.</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from continuing operations generated approximately $31.6 million during the nine months ended September 30, 2021, representing a decrease of $13.2 million compared with 2020, driven by changes in working capital.</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activities from discontinued operations generated $121.1 million during the nine months ended September 30, 2021, as compared to $182.5 million during the nine months ended September 30, 2020 due to six months of operations in 2021 as compared to nine months of operation in 2020.</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for continuing operations increased $20.0 million during the nine months ended September 30, 2021, compared with the nine months ended September 30, 2020, primarily due to $36.1 million increase in capital expenditures due primarily to higher spending in the Broadband segment to enable our Glo Fiber and Beam market expansions, partially offset by a $16.1 million decline in spectrum purchases.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received from the July 1, 2021, disposition of our Wireless asset and operations or, net cash provided by investing activities for discontinued operations, were $1.9 billion.</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increased approximately $1.6 billion due to the dividend distributions of $0.9 billion for continuing operations, and repayment of approximately $0.7 billion of debt for discontinued operations, during the nine months ended September 30, 2021.</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Indebtedness</w:t>
      </w:r>
      <w:r>
        <w:rPr>
          <w:rFonts w:ascii="Arial" w:cs="Arial" w:eastAsia="Arial" w:hAnsi="Arial"/>
          <w:sz w:val="17"/>
          <w:szCs w:val="17"/>
          <w:color w:val="auto"/>
        </w:rPr>
        <w:t>: On July 1, 2021, we entered into a Credit Agreement (the “Credit Agreement”) with various financial institutions party thereto.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provides for the following three credit facilities (collectively, the “Facilities”), in an aggregate amount equal to $400 million: (i) a $100 million five-year revolving credit facility (the “Revolver”), (ii) a $150 million five-year delayed draw amortizing term loan (the “Term Loan A-1”) and (iii) a $150 million seven-year delayed draw amortizing term loan (the “Term Loan A-2” and, together with the Term Loan A-1, the “Term Loans”). The Credit Agreement includes a provision under which the Company may request that additional term loans be made to it in an amount not to exceed the sum of (1) the greater of (a) $75 million and (b) 100% of Consolidated EBITDA (as defined in the Credit Agreement), calculated on a pro forma basis in accordance with the Credit Agreement, plus (2) an additional unlimited amount subject to a maximum Total Net Leverage Ratio (as defined in the Credit Agreement) of 4.00:1.00, calculated on a pro forma basis in accordance with the Credit Agreement, subject to the receipt of commitments from one or more lenders for any such additional term loans and other customary conditions.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availability of the Facilities to the Company is subject to the satisfaction or waiver of certain customary conditions set forth in the Credit Agreement. The Company may use the proceeds from the Revolver and the Term Loans to finance capital expenditures, provide working capital, and for other general corporate purposes, including but not limited to, funding any underfunded amounts of the Ntelos pension plan to enable its termination, of the Company and its subsidiaries. If drawn on, the Term Loans are required to be repaid in quarterly principal installments commencing on September 30, 2023, with the unpaid balance of the Term Loans due at maturity, as set forth in the Credit Agreement.</w:t>
      </w: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not made any borrowing under the Credit Agreement as of this date. We do not expect to draw upon any portion of the Credit Agreement until the first quarter of 2022.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Disposition of Wireless</w:t>
      </w:r>
      <w:r>
        <w:rPr>
          <w:rFonts w:ascii="Arial" w:cs="Arial" w:eastAsia="Arial" w:hAnsi="Arial"/>
          <w:sz w:val="18"/>
          <w:szCs w:val="18"/>
          <w:color w:val="auto"/>
        </w:rPr>
        <w:t>: The after-tax proceeds from the July 1, 2021, sale of our Wireless assets and operations for gross proceeds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$1.94 billion will be approximately $1.5 billion. We currently expect to pay approximately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$428 million in income tax payments on the transaction in December 2021. The transaction was accounted for as an asset sale for income tax purposes. Cash proceeds from the sale were required to be used to immediately repay our outstanding indebtedness. Principal payments on our debt were therefore presented as cash used to finance our discontinued operations. The Company used a portion of the after-tax proceeds from the sale of our Wireless assets and operations to, among other things:</w:t>
      </w:r>
    </w:p>
    <w:p>
      <w:pPr>
        <w:spacing w:after="0" w:line="2" w:lineRule="exact"/>
        <w:rPr>
          <w:sz w:val="20"/>
          <w:szCs w:val="20"/>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 and terminate approximately $684 million of outstanding term loans under our Prior Credit Agreement, and associated interest rate swap liabilities, concurrent with the closing of the disposition;</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Issue a special dividend of $18.75 per share to Company shareholders, or approximately $937 million in the aggregate (the "Special Dividend").</w:t>
      </w:r>
    </w:p>
    <w:p>
      <w:pPr>
        <w:spacing w:after="0" w:line="2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our cash on hand, cash flow from continuing operations, and availability of funds from our Credit Agreement,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w:t>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expect our capital expenditures to exceed the cash flow provided from continuing operations through 2025, as we shift our focus to expand our Glo Fiber broadband services to our newly targeted markets covering over 450,000 homes passed.</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actual amount and timing of our future capital requirements may differ materially from our estimate depending on the demand for our products and services, new market developments and expansion opportunities.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cash flows from continuing operations could be adversely affected by events outside our control, including, without limitation, changes in overall economic conditions,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as previously disclosed in Part II, Item 8 of our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outstanding term loans under the Prior Credit Agreement, and associated interest rate swap liabilities, were repaid and terminated on July 1, 2021. We have not drawn on the Credit Agreement as of September 30, 2021. As a result, our exposure to significant risks concerning fluctuating variable interest rates has been mitigated.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disclosed in our Annual Report on Form 10-K for our fiscal year ended </w:t>
      </w:r>
      <w:r>
        <w:rPr>
          <w:rFonts w:ascii="Arial" w:cs="Arial" w:eastAsia="Arial" w:hAnsi="Arial"/>
          <w:sz w:val="17"/>
          <w:szCs w:val="17"/>
          <w:color w:val="212529"/>
        </w:rPr>
        <w:t>December 31, 2020</w:t>
      </w:r>
      <w:r>
        <w:rPr>
          <w:rFonts w:ascii="Arial" w:cs="Arial" w:eastAsia="Arial" w:hAnsi="Arial"/>
          <w:sz w:val="17"/>
          <w:szCs w:val="17"/>
          <w:color w:val="auto"/>
        </w:rPr>
        <w:t>,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our Senior Vice President - Finance, and Chief Financial Officer and our Vice President and Chief Accounting Officer have concluded that our disclosure controls and procedures continued to be ineffective as of September 30, 2021.</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During the three months ended September 30, 2021,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ind w:left="820"/>
        <w:spacing w:after="0" w:line="22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September 30, 2021, the Company has not identified any needed updates to the risk factors included in our most recent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conjunction with the vesting of shares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second quarter ended September 30, 2021, to settle employee tax withholding obligations related to the vesting of stock awards.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40" w:type="dxa"/>
            <w:vAlign w:val="bottom"/>
          </w:tcPr>
          <w:p>
            <w:pPr>
              <w:spacing w:after="0"/>
              <w:rPr>
                <w:sz w:val="18"/>
                <w:szCs w:val="18"/>
                <w:color w:val="auto"/>
              </w:rPr>
            </w:pPr>
          </w:p>
        </w:tc>
        <w:tc>
          <w:tcPr>
            <w:tcW w:w="25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Approximate Dollar Value that</w:t>
            </w:r>
          </w:p>
        </w:tc>
        <w:tc>
          <w:tcPr>
            <w:tcW w:w="0" w:type="dxa"/>
            <w:vAlign w:val="bottom"/>
          </w:tcPr>
          <w:p>
            <w:pPr>
              <w:spacing w:after="0"/>
              <w:rPr>
                <w:sz w:val="1"/>
                <w:szCs w:val="1"/>
                <w:color w:val="auto"/>
              </w:rPr>
            </w:pPr>
          </w:p>
        </w:tc>
      </w:tr>
      <w:tr>
        <w:trPr>
          <w:trHeight w:val="175"/>
        </w:trPr>
        <w:tc>
          <w:tcPr>
            <w:tcW w:w="302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 except per share</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Average Price</w:t>
            </w: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4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140" w:type="dxa"/>
            <w:vAlign w:val="bottom"/>
          </w:tcPr>
          <w:p>
            <w:pPr>
              <w:spacing w:after="0"/>
              <w:rPr>
                <w:sz w:val="15"/>
                <w:szCs w:val="15"/>
                <w:color w:val="auto"/>
              </w:rPr>
            </w:pPr>
          </w:p>
        </w:tc>
        <w:tc>
          <w:tcPr>
            <w:tcW w:w="254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5"/>
              </w:rPr>
              <w:t>May Yet be Purchased under</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i w:val="1"/>
                <w:iCs w:val="1"/>
                <w:color w:val="auto"/>
              </w:rPr>
              <w:t>amounts)</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Surrendered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per Share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 (1)</w:t>
            </w:r>
          </w:p>
        </w:tc>
        <w:tc>
          <w:tcPr>
            <w:tcW w:w="140" w:type="dxa"/>
            <w:vAlign w:val="bottom"/>
          </w:tcPr>
          <w:p>
            <w:pPr>
              <w:spacing w:after="0"/>
              <w:rPr>
                <w:sz w:val="19"/>
                <w:szCs w:val="19"/>
                <w:color w:val="auto"/>
              </w:rPr>
            </w:pPr>
          </w:p>
        </w:tc>
        <w:tc>
          <w:tcPr>
            <w:tcW w:w="2540" w:type="dxa"/>
            <w:vAlign w:val="bottom"/>
          </w:tcPr>
          <w:p>
            <w:pPr>
              <w:jc w:val="right"/>
              <w:ind w:right="310"/>
              <w:spacing w:after="0"/>
              <w:rPr>
                <w:sz w:val="20"/>
                <w:szCs w:val="20"/>
                <w:color w:val="auto"/>
              </w:rPr>
            </w:pPr>
            <w:r>
              <w:rPr>
                <w:rFonts w:ascii="Arial" w:cs="Arial" w:eastAsia="Arial" w:hAnsi="Arial"/>
                <w:sz w:val="18"/>
                <w:szCs w:val="18"/>
                <w:b w:val="1"/>
                <w:bCs w:val="1"/>
                <w:color w:val="auto"/>
              </w:rPr>
              <w:t>the Plans or Programs</w:t>
            </w:r>
          </w:p>
        </w:tc>
        <w:tc>
          <w:tcPr>
            <w:tcW w:w="0" w:type="dxa"/>
            <w:vAlign w:val="bottom"/>
          </w:tcPr>
          <w:p>
            <w:pPr>
              <w:spacing w:after="0"/>
              <w:rPr>
                <w:sz w:val="1"/>
                <w:szCs w:val="1"/>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July 1 to July 31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1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August 1 to August 31</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479,305</w:t>
            </w:r>
          </w:p>
        </w:tc>
        <w:tc>
          <w:tcPr>
            <w:tcW w:w="14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September 1 to September 30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479,305</w:t>
            </w:r>
          </w:p>
        </w:tc>
        <w:tc>
          <w:tcPr>
            <w:tcW w:w="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Reinvestment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dividend reinvestment plan (the “DRIP”) for the benefit of its shareholders. Shares repurchased by the Company pursuant to the DRIP were obtained in open market transactions and were provided to the DRIP participants in connection with the Special Dividend. In the quarter ended September 30, 2021, we purchased 497,305 shares in open market transactions to reinvest dividends for DRIP participants in relation to the Special Dividend.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322" w:lineRule="exact"/>
        <w:rPr>
          <w:sz w:val="20"/>
          <w:szCs w:val="20"/>
          <w:color w:val="auto"/>
        </w:rPr>
      </w:pPr>
    </w:p>
    <w:p>
      <w:pPr>
        <w:ind w:left="480"/>
        <w:spacing w:after="0"/>
        <w:tabs>
          <w:tab w:leader="none" w:pos="120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2.1</w:t>
        </w:r>
      </w:hyperlink>
      <w:r>
        <w:rPr>
          <w:rFonts w:ascii="Arial" w:cs="Arial" w:eastAsia="Arial" w:hAnsi="Arial"/>
          <w:sz w:val="18"/>
          <w:szCs w:val="18"/>
          <w:color w:val="0000FF"/>
        </w:rPr>
        <w:tab/>
      </w:r>
      <w:r>
        <w:rPr>
          <w:rFonts w:ascii="Arial" w:cs="Arial" w:eastAsia="Arial" w:hAnsi="Arial"/>
          <w:sz w:val="16"/>
          <w:szCs w:val="16"/>
          <w:color w:val="0000FF"/>
        </w:rPr>
        <w:t>Asset Purchase Agreement, dated May 28, 2021, between Shenandoah Telecommunications Company and T-Mobile USA, Inc.</w:t>
      </w:r>
    </w:p>
    <w:p>
      <w:pPr>
        <w:ind w:left="1220"/>
        <w:spacing w:after="0"/>
        <w:rPr>
          <w:sz w:val="20"/>
          <w:szCs w:val="20"/>
          <w:color w:val="auto"/>
        </w:rPr>
      </w:pPr>
      <w:r>
        <w:rPr>
          <w:rFonts w:ascii="Arial" w:cs="Arial" w:eastAsia="Arial" w:hAnsi="Arial"/>
          <w:sz w:val="18"/>
          <w:szCs w:val="18"/>
          <w:color w:val="auto"/>
        </w:rPr>
        <w:t>(incorporated by reference from Exhibit 2.1 to the Company's Current Report on Form 8-K filed on June 1, 2021).</w:t>
      </w:r>
    </w:p>
    <w:p>
      <w:pPr>
        <w:spacing w:after="0" w:line="317" w:lineRule="exact"/>
        <w:rPr>
          <w:sz w:val="20"/>
          <w:szCs w:val="20"/>
          <w:color w:val="auto"/>
        </w:rPr>
      </w:pPr>
    </w:p>
    <w:p>
      <w:pPr>
        <w:ind w:left="1220" w:right="140" w:hanging="768"/>
        <w:spacing w:after="0" w:line="224" w:lineRule="auto"/>
        <w:tabs>
          <w:tab w:leader="none" w:pos="120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10.1</w:t>
        </w:r>
      </w:hyperlink>
      <w:r>
        <w:rPr>
          <w:rFonts w:ascii="Arial" w:cs="Arial" w:eastAsia="Arial" w:hAnsi="Arial"/>
          <w:sz w:val="18"/>
          <w:szCs w:val="18"/>
          <w:color w:val="0000FF"/>
        </w:rPr>
        <w:tab/>
        <w:t>Credit Agreement, dated July 1, 2021, by and among Shenandoah Telecommunications Company, certain of its subsidiaries as guarantors, CoBank ACB, as administrative agent, and the other lenders party thereto (incorporated by reference from Exhibit 10.1 to the Company's Current Report on Form 8-K filed on July 1, 2021).</w:t>
      </w:r>
    </w:p>
    <w:p>
      <w:pPr>
        <w:spacing w:after="0" w:line="271"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33">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34">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35">
        <w:r>
          <w:rPr>
            <w:rFonts w:ascii="Arial" w:cs="Arial" w:eastAsia="Arial" w:hAnsi="Arial"/>
            <w:sz w:val="18"/>
            <w:szCs w:val="18"/>
            <w:u w:val="single" w:color="auto"/>
            <w:color w:val="0000FF"/>
          </w:rPr>
          <w:t>31.3</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rFonts w:ascii="Arial" w:cs="Arial" w:eastAsia="Arial" w:hAnsi="Arial"/>
          <w:sz w:val="18"/>
          <w:szCs w:val="18"/>
          <w:color w:val="0000FF"/>
        </w:rPr>
      </w:pPr>
      <w:hyperlink w:anchor="page36">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Formatted in Inline XBRL (Extensible Business Reporting Language)</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8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w:t>
            </w:r>
          </w:p>
        </w:tc>
      </w:tr>
      <w:tr>
        <w:trPr>
          <w:trHeight w:val="230"/>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tags are embedded within the Inline XBRL document</w:t>
            </w:r>
          </w:p>
        </w:tc>
      </w:tr>
      <w:tr>
        <w:trPr>
          <w:trHeight w:val="45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right="4240" w:firstLine="467"/>
        <w:spacing w:after="0" w:line="641" w:lineRule="auto"/>
        <w:tabs>
          <w:tab w:leader="none" w:pos="1206"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660" w:hanging="652"/>
        <w:spacing w:after="0" w:line="263" w:lineRule="auto"/>
        <w:tabs>
          <w:tab w:leader="none" w:pos="4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-902335</wp:posOffset>
            </wp:positionV>
            <wp:extent cx="54864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and Chief Financial Officer</w:t>
      </w:r>
    </w:p>
    <w:p>
      <w:pPr>
        <w:ind w:left="1280"/>
        <w:spacing w:after="0"/>
        <w:rPr>
          <w:sz w:val="20"/>
          <w:szCs w:val="20"/>
          <w:color w:val="auto"/>
        </w:rPr>
      </w:pPr>
      <w:r>
        <w:rPr>
          <w:rFonts w:ascii="Arial" w:cs="Arial" w:eastAsia="Arial" w:hAnsi="Arial"/>
          <w:sz w:val="18"/>
          <w:szCs w:val="18"/>
          <w:i w:val="1"/>
          <w:iCs w:val="1"/>
          <w:color w:val="auto"/>
        </w:rPr>
        <w:t>(Principal Financial Officer)</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October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2"/>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2"/>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/s/DENNIS ROMPS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97" w:lineRule="exact"/>
        <w:rPr>
          <w:sz w:val="20"/>
          <w:szCs w:val="20"/>
          <w:color w:val="auto"/>
        </w:rPr>
      </w:pPr>
    </w:p>
    <w:p>
      <w:pPr>
        <w:jc w:val="both"/>
        <w:ind w:right="420" w:firstLine="656"/>
        <w:spacing w:after="0" w:line="263" w:lineRule="auto"/>
        <w:tabs>
          <w:tab w:leader="none" w:pos="12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three months ended September 30, 2021 filed on the date hereof with the Securities and Exchange Commission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October 28, 2021</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October 28, 2021</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20"/>
      </w:cols>
      <w:pgMar w:left="320" w:top="11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2">
    <w:nsid w:val="109CF92E"/>
    <w:multiLevelType w:val="hybridMultilevel"/>
    <w:lvl w:ilvl="0">
      <w:lvlJc w:val="left"/>
      <w:lvlText w:val="%1."/>
      <w:numFmt w:val="decimal"/>
      <w:start w:val="1"/>
    </w:lvl>
    <w:lvl w:ilvl="1">
      <w:lvlJc w:val="left"/>
      <w:lvlText w:val="(%2)"/>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6" Type="http://schemas.openxmlformats.org/officeDocument/2006/relationships/hyperlink" Target="https://www.sec.gov/ix?doc=/Archives/edgar/data/354963/000117184321003912/f8k_060121.htm" TargetMode="External"/><Relationship Id="rId47" Type="http://schemas.openxmlformats.org/officeDocument/2006/relationships/hyperlink" Target="https://www.sec.gov/ix?doc=/Archives/edgar/data/354963/000117184321004676/f8k_070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2021-10-28T15:40:25Z</dcterms:created>
  <dcterms:modified xsi:type="dcterms:W3CDTF">2021-10-28T15:40:25Z</dcterms:modified>
</cp:coreProperties>
</file>