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 C. 20549</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51"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quarterly period ended March 31, 2019</w:t>
      </w:r>
    </w:p>
    <w:p>
      <w:pPr>
        <w:spacing w:after="0" w:line="198" w:lineRule="exact"/>
        <w:rPr>
          <w:sz w:val="24"/>
          <w:szCs w:val="24"/>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transition period from__________ to __________</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17145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SHENANDOAH TELECOMMUNICATIONS COMPANY</w:t>
      </w:r>
    </w:p>
    <w:p>
      <w:pPr>
        <w:spacing w:after="0" w:line="51"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50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60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60" w:type="dxa"/>
            <w:vAlign w:val="bottom"/>
          </w:tcPr>
          <w:p>
            <w:pPr>
              <w:jc w:val="right"/>
              <w:ind w:right="2082"/>
              <w:spacing w:after="0"/>
              <w:rPr>
                <w:sz w:val="20"/>
                <w:szCs w:val="20"/>
                <w:color w:val="auto"/>
              </w:rPr>
            </w:pPr>
            <w:r>
              <w:rPr>
                <w:rFonts w:ascii="Times New Roman" w:cs="Times New Roman" w:eastAsia="Times New Roman" w:hAnsi="Times New Roman"/>
                <w:sz w:val="18"/>
                <w:szCs w:val="18"/>
                <w:b w:val="1"/>
                <w:bCs w:val="1"/>
                <w:color w:val="auto"/>
              </w:rPr>
              <w:t>54-1162807</w:t>
            </w:r>
          </w:p>
        </w:tc>
        <w:tc>
          <w:tcPr>
            <w:tcW w:w="0" w:type="dxa"/>
            <w:vAlign w:val="bottom"/>
          </w:tcPr>
          <w:p>
            <w:pPr>
              <w:spacing w:after="0"/>
              <w:rPr>
                <w:sz w:val="1"/>
                <w:szCs w:val="1"/>
                <w:color w:val="auto"/>
              </w:rPr>
            </w:pPr>
          </w:p>
        </w:tc>
      </w:tr>
      <w:tr>
        <w:trPr>
          <w:trHeight w:val="270"/>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420" w:type="dxa"/>
            <w:vAlign w:val="bottom"/>
          </w:tcPr>
          <w:p>
            <w:pPr>
              <w:spacing w:after="0"/>
              <w:rPr>
                <w:sz w:val="23"/>
                <w:szCs w:val="23"/>
                <w:color w:val="auto"/>
              </w:rPr>
            </w:pPr>
          </w:p>
        </w:tc>
        <w:tc>
          <w:tcPr>
            <w:tcW w:w="4080" w:type="dxa"/>
            <w:vAlign w:val="bottom"/>
            <w:gridSpan w:val="2"/>
          </w:tcPr>
          <w:p>
            <w:pPr>
              <w:jc w:val="center"/>
              <w:ind w:right="1022"/>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41"/>
        </w:trPr>
        <w:tc>
          <w:tcPr>
            <w:tcW w:w="2600" w:type="dxa"/>
            <w:vAlign w:val="bottom"/>
          </w:tcPr>
          <w:p>
            <w:pPr>
              <w:spacing w:after="0"/>
              <w:rPr>
                <w:sz w:val="24"/>
                <w:szCs w:val="24"/>
                <w:color w:val="auto"/>
              </w:rPr>
            </w:pPr>
          </w:p>
        </w:tc>
        <w:tc>
          <w:tcPr>
            <w:tcW w:w="36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500 Shentel Way, Edinburg, Virginia</w:t>
            </w:r>
          </w:p>
        </w:tc>
        <w:tc>
          <w:tcPr>
            <w:tcW w:w="14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22824</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36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w w:val="98"/>
              </w:rPr>
              <w:t>(Zip Code)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gridSpan w:val="2"/>
          </w:tcPr>
          <w:p>
            <w:pPr>
              <w:jc w:val="center"/>
              <w:ind w:left="139"/>
              <w:spacing w:after="0"/>
              <w:rPr>
                <w:sz w:val="20"/>
                <w:szCs w:val="20"/>
                <w:color w:val="auto"/>
              </w:rPr>
            </w:pPr>
            <w:r>
              <w:rPr>
                <w:rFonts w:ascii="Times New Roman" w:cs="Times New Roman" w:eastAsia="Times New Roman" w:hAnsi="Times New Roman"/>
                <w:sz w:val="18"/>
                <w:szCs w:val="18"/>
                <w:color w:val="auto"/>
                <w:w w:val="99"/>
              </w:rPr>
              <w:t>(540) 984-4141</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50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1440" w:type="dxa"/>
            <w:vAlign w:val="bottom"/>
            <w:gridSpan w:val="2"/>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600" w:type="dxa"/>
            <w:vAlign w:val="bottom"/>
          </w:tcPr>
          <w:p>
            <w:pPr>
              <w:spacing w:after="0"/>
              <w:rPr>
                <w:sz w:val="24"/>
                <w:szCs w:val="24"/>
                <w:color w:val="auto"/>
              </w:rPr>
            </w:pPr>
          </w:p>
        </w:tc>
        <w:tc>
          <w:tcPr>
            <w:tcW w:w="50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color w:val="auto"/>
                <w:w w:val="98"/>
              </w:rPr>
              <w:t>SHEN</w:t>
            </w:r>
          </w:p>
        </w:tc>
        <w:tc>
          <w:tcPr>
            <w:tcW w:w="220" w:type="dxa"/>
            <w:vAlign w:val="bottom"/>
          </w:tcPr>
          <w:p>
            <w:pPr>
              <w:spacing w:after="0"/>
              <w:rPr>
                <w:sz w:val="24"/>
                <w:szCs w:val="24"/>
                <w:color w:val="auto"/>
              </w:rPr>
            </w:pPr>
          </w:p>
        </w:tc>
        <w:tc>
          <w:tcPr>
            <w:tcW w:w="21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60" w:type="dxa"/>
            <w:vAlign w:val="bottom"/>
          </w:tcPr>
          <w:p>
            <w:pPr>
              <w:jc w:val="center"/>
              <w:ind w:right="802"/>
              <w:spacing w:after="0"/>
              <w:rPr>
                <w:sz w:val="20"/>
                <w:szCs w:val="20"/>
                <w:color w:val="auto"/>
              </w:rPr>
            </w:pPr>
            <w:r>
              <w:rPr>
                <w:rFonts w:ascii="Times New Roman" w:cs="Times New Roman" w:eastAsia="Times New Roman" w:hAnsi="Times New Roman"/>
                <w:sz w:val="14"/>
                <w:szCs w:val="14"/>
                <w:color w:val="auto"/>
              </w:rPr>
              <w:t>49,845,597</w:t>
            </w:r>
          </w:p>
        </w:tc>
        <w:tc>
          <w:tcPr>
            <w:tcW w:w="0" w:type="dxa"/>
            <w:vAlign w:val="bottom"/>
          </w:tcPr>
          <w:p>
            <w:pPr>
              <w:spacing w:after="0"/>
              <w:rPr>
                <w:sz w:val="1"/>
                <w:szCs w:val="1"/>
                <w:color w:val="auto"/>
              </w:rPr>
            </w:pPr>
          </w:p>
        </w:tc>
      </w:tr>
      <w:tr>
        <w:trPr>
          <w:trHeight w:val="163"/>
        </w:trPr>
        <w:tc>
          <w:tcPr>
            <w:tcW w:w="26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(Title of Class)</w:t>
            </w:r>
          </w:p>
        </w:tc>
        <w:tc>
          <w:tcPr>
            <w:tcW w:w="12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color w:val="auto"/>
              </w:rPr>
              <w:t>(Trading Symbol)</w:t>
            </w:r>
          </w:p>
        </w:tc>
        <w:tc>
          <w:tcPr>
            <w:tcW w:w="2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08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w:t>
            </w:r>
          </w:p>
        </w:tc>
        <w:tc>
          <w:tcPr>
            <w:tcW w:w="0" w:type="dxa"/>
            <w:vAlign w:val="bottom"/>
          </w:tcPr>
          <w:p>
            <w:pPr>
              <w:spacing w:after="0"/>
              <w:rPr>
                <w:sz w:val="1"/>
                <w:szCs w:val="1"/>
                <w:color w:val="auto"/>
              </w:rPr>
            </w:pPr>
          </w:p>
        </w:tc>
      </w:tr>
      <w:tr>
        <w:trPr>
          <w:trHeight w:val="107"/>
        </w:trPr>
        <w:tc>
          <w:tcPr>
            <w:tcW w:w="26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276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3060" w:type="dxa"/>
            <w:vAlign w:val="bottom"/>
            <w:vMerge w:val="restart"/>
          </w:tcPr>
          <w:p>
            <w:pPr>
              <w:jc w:val="center"/>
              <w:ind w:right="802"/>
              <w:spacing w:after="0"/>
              <w:rPr>
                <w:sz w:val="20"/>
                <w:szCs w:val="20"/>
                <w:color w:val="auto"/>
              </w:rPr>
            </w:pPr>
            <w:r>
              <w:rPr>
                <w:rFonts w:ascii="Times New Roman" w:cs="Times New Roman" w:eastAsia="Times New Roman" w:hAnsi="Times New Roman"/>
                <w:sz w:val="14"/>
                <w:szCs w:val="14"/>
                <w:color w:val="auto"/>
              </w:rPr>
              <w:t>on April 30, 2019)</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p>
      <w:pPr>
        <w:ind w:left="40"/>
        <w:spacing w:after="0" w:line="161" w:lineRule="exact"/>
        <w:tabs>
          <w:tab w:leader="none" w:pos="2280" w:val="left"/>
          <w:tab w:leader="none" w:pos="4200" w:val="left"/>
          <w:tab w:leader="none" w:pos="6240" w:val="left"/>
          <w:tab w:leader="none" w:pos="84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rFonts w:ascii="MS PGothic" w:cs="MS PGothic" w:eastAsia="MS PGothic" w:hAnsi="MS PGothic"/>
          <w:sz w:val="14"/>
          <w:szCs w:val="14"/>
          <w:color w:val="auto"/>
        </w:rPr>
        <w:t>☐</w:t>
      </w:r>
    </w:p>
    <w:p>
      <w:pPr>
        <w:spacing w:after="0" w:line="65"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6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22" w:right="29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INDEX</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Numbers</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tcPr>
          <w:p>
            <w:pPr>
              <w:spacing w:after="0"/>
              <w:rPr>
                <w:sz w:val="24"/>
                <w:szCs w:val="24"/>
                <w:color w:val="auto"/>
              </w:rPr>
            </w:pPr>
          </w:p>
        </w:tc>
        <w:tc>
          <w:tcPr>
            <w:tcW w:w="3740" w:type="dxa"/>
            <w:vAlign w:val="bottom"/>
            <w:gridSpan w:val="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Condensed Consolidated Balance Sheets</w:t>
              </w:r>
            </w:hyperlink>
          </w:p>
        </w:tc>
        <w:tc>
          <w:tcPr>
            <w:tcW w:w="4620" w:type="dxa"/>
            <w:vAlign w:val="bottom"/>
            <w:gridSpan w:val="8"/>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360" w:type="dxa"/>
            <w:vAlign w:val="bottom"/>
            <w:gridSpan w:val="1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Operations and Comprehensive Income (Loss)</w:t>
              </w:r>
            </w:hyperlink>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5200" w:type="dxa"/>
            <w:vAlign w:val="bottom"/>
            <w:gridSpan w:val="10"/>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Condensed Consolidated Statements of Shareholders’ Equity</w:t>
              </w:r>
            </w:hyperlink>
          </w:p>
        </w:tc>
        <w:tc>
          <w:tcPr>
            <w:tcW w:w="182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4520" w:type="dxa"/>
            <w:vAlign w:val="bottom"/>
            <w:gridSpan w:val="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Condensed Consolidated Statements of Cash Flows</w:t>
              </w:r>
            </w:hyperlink>
          </w:p>
        </w:tc>
        <w:tc>
          <w:tcPr>
            <w:tcW w:w="680" w:type="dxa"/>
            <w:vAlign w:val="bottom"/>
            <w:gridSpan w:val="2"/>
          </w:tcPr>
          <w:p>
            <w:pPr>
              <w:spacing w:after="0"/>
              <w:rPr>
                <w:sz w:val="24"/>
                <w:szCs w:val="24"/>
                <w:color w:val="auto"/>
              </w:rPr>
            </w:pPr>
          </w:p>
        </w:tc>
        <w:tc>
          <w:tcPr>
            <w:tcW w:w="3160" w:type="dxa"/>
            <w:vAlign w:val="bottom"/>
            <w:gridSpan w:val="3"/>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center"/>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4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Unaudited Condensed Consolidated Financial Statements</w:t>
              </w:r>
            </w:hyperlink>
          </w:p>
        </w:tc>
        <w:tc>
          <w:tcPr>
            <w:tcW w:w="3560" w:type="dxa"/>
            <w:vAlign w:val="bottom"/>
            <w:gridSpan w:val="4"/>
          </w:tcPr>
          <w:p>
            <w:pPr>
              <w:spacing w:after="0"/>
              <w:rPr>
                <w:sz w:val="24"/>
                <w:szCs w:val="24"/>
                <w:color w:val="auto"/>
              </w:rPr>
            </w:pPr>
          </w:p>
        </w:tc>
        <w:tc>
          <w:tcPr>
            <w:tcW w:w="1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8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18</w:t>
              </w:r>
            </w:hyperlink>
          </w:p>
        </w:tc>
      </w:tr>
      <w:tr>
        <w:trPr>
          <w:trHeight w:val="52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360" w:type="dxa"/>
            <w:vAlign w:val="bottom"/>
            <w:gridSpan w:val="1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620" w:type="dxa"/>
            <w:vAlign w:val="bottom"/>
            <w:gridSpan w:val="4"/>
          </w:tcPr>
          <w:p>
            <w:pPr>
              <w:jc w:val="right"/>
              <w:ind w:right="8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19</w:t>
              </w:r>
            </w:hyperlink>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4"/>
                <w:szCs w:val="24"/>
                <w:color w:val="auto"/>
              </w:rPr>
            </w:pPr>
          </w:p>
        </w:tc>
        <w:tc>
          <w:tcPr>
            <w:tcW w:w="200" w:type="dxa"/>
            <w:vAlign w:val="bottom"/>
            <w:gridSpan w:val="2"/>
          </w:tcPr>
          <w:p>
            <w:pPr>
              <w:jc w:val="right"/>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29</w:t>
              </w:r>
            </w:hyperlink>
          </w:p>
        </w:tc>
      </w:tr>
      <w:tr>
        <w:trPr>
          <w:trHeight w:val="52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tcBorders>
            <w:gridSpan w:val="6"/>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5"/>
          </w:tcPr>
          <w:p>
            <w:pPr>
              <w:spacing w:after="0"/>
              <w:rPr>
                <w:sz w:val="24"/>
                <w:szCs w:val="24"/>
                <w:color w:val="auto"/>
              </w:rPr>
            </w:pPr>
          </w:p>
        </w:tc>
        <w:tc>
          <w:tcPr>
            <w:tcW w:w="19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Times New Roman" w:cs="Times New Roman" w:eastAsia="Times New Roman" w:hAnsi="Times New Roman"/>
                <w:sz w:val="17"/>
                <w:szCs w:val="17"/>
                <w:color w:val="0000EE"/>
                <w:w w:val="70"/>
              </w:rPr>
            </w:pPr>
            <w:hyperlink w:anchor="page30">
              <w:r>
                <w:rPr>
                  <w:rFonts w:ascii="Times New Roman" w:cs="Times New Roman" w:eastAsia="Times New Roman" w:hAnsi="Times New Roman"/>
                  <w:sz w:val="17"/>
                  <w:szCs w:val="17"/>
                  <w:color w:val="0000EE"/>
                  <w:w w:val="70"/>
                </w:rPr>
                <w:t>30</w:t>
              </w:r>
            </w:hyperlink>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Controls and Procedures</w:t>
              </w:r>
            </w:hyperlink>
          </w:p>
        </w:tc>
        <w:tc>
          <w:tcPr>
            <w:tcW w:w="2540" w:type="dxa"/>
            <w:vAlign w:val="bottom"/>
            <w:gridSpan w:val="2"/>
          </w:tcPr>
          <w:p>
            <w:pPr>
              <w:spacing w:after="0"/>
              <w:rPr>
                <w:sz w:val="24"/>
                <w:szCs w:val="24"/>
                <w:color w:val="auto"/>
              </w:rPr>
            </w:pPr>
          </w:p>
        </w:tc>
        <w:tc>
          <w:tcPr>
            <w:tcW w:w="4040" w:type="dxa"/>
            <w:vAlign w:val="bottom"/>
            <w:gridSpan w:val="7"/>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Times New Roman" w:cs="Times New Roman" w:eastAsia="Times New Roman" w:hAnsi="Times New Roman"/>
                <w:sz w:val="17"/>
                <w:szCs w:val="17"/>
                <w:color w:val="0000EE"/>
                <w:w w:val="70"/>
              </w:rPr>
            </w:pPr>
            <w:hyperlink w:anchor="page31">
              <w:r>
                <w:rPr>
                  <w:rFonts w:ascii="Times New Roman" w:cs="Times New Roman" w:eastAsia="Times New Roman" w:hAnsi="Times New Roman"/>
                  <w:sz w:val="17"/>
                  <w:szCs w:val="17"/>
                  <w:color w:val="0000EE"/>
                  <w:w w:val="70"/>
                </w:rPr>
                <w:t>31</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6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Risk Factors</w:t>
              </w:r>
            </w:hyperlink>
          </w:p>
        </w:tc>
        <w:tc>
          <w:tcPr>
            <w:tcW w:w="7440" w:type="dxa"/>
            <w:vAlign w:val="bottom"/>
            <w:gridSpan w:val="10"/>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Times New Roman" w:cs="Times New Roman" w:eastAsia="Times New Roman" w:hAnsi="Times New Roman"/>
                <w:sz w:val="17"/>
                <w:szCs w:val="17"/>
                <w:color w:val="0000EE"/>
                <w:w w:val="70"/>
              </w:rPr>
            </w:pPr>
            <w:hyperlink w:anchor="page32">
              <w:r>
                <w:rPr>
                  <w:rFonts w:ascii="Times New Roman" w:cs="Times New Roman" w:eastAsia="Times New Roman" w:hAnsi="Times New Roman"/>
                  <w:sz w:val="17"/>
                  <w:szCs w:val="17"/>
                  <w:color w:val="0000EE"/>
                  <w:w w:val="70"/>
                </w:rPr>
                <w:t>32</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7"/>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Unregistered Sales of Equity Securities and Use of Proceeds</w:t>
              </w:r>
            </w:hyperlink>
          </w:p>
        </w:tc>
        <w:tc>
          <w:tcPr>
            <w:tcW w:w="400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Times New Roman" w:cs="Times New Roman" w:eastAsia="Times New Roman" w:hAnsi="Times New Roman"/>
                <w:sz w:val="17"/>
                <w:szCs w:val="17"/>
                <w:color w:val="0000EE"/>
                <w:w w:val="70"/>
              </w:rPr>
            </w:pPr>
            <w:hyperlink w:anchor="page32">
              <w:r>
                <w:rPr>
                  <w:rFonts w:ascii="Times New Roman" w:cs="Times New Roman" w:eastAsia="Times New Roman" w:hAnsi="Times New Roman"/>
                  <w:sz w:val="17"/>
                  <w:szCs w:val="17"/>
                  <w:color w:val="0000EE"/>
                  <w:w w:val="70"/>
                </w:rPr>
                <w:t>32</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4360" w:type="dxa"/>
            <w:vAlign w:val="bottom"/>
            <w:gridSpan w:val="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Exhibits</w:t>
              </w:r>
            </w:hyperlink>
          </w:p>
        </w:tc>
        <w:tc>
          <w:tcPr>
            <w:tcW w:w="400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Times New Roman" w:cs="Times New Roman" w:eastAsia="Times New Roman" w:hAnsi="Times New Roman"/>
                <w:sz w:val="17"/>
                <w:szCs w:val="17"/>
                <w:color w:val="0000EE"/>
                <w:w w:val="70"/>
              </w:rPr>
            </w:pPr>
            <w:hyperlink w:anchor="page33">
              <w:r>
                <w:rPr>
                  <w:rFonts w:ascii="Times New Roman" w:cs="Times New Roman" w:eastAsia="Times New Roman" w:hAnsi="Times New Roman"/>
                  <w:sz w:val="17"/>
                  <w:szCs w:val="17"/>
                  <w:color w:val="0000EE"/>
                  <w:w w:val="70"/>
                </w:rPr>
                <w:t>33</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8360" w:type="dxa"/>
            <w:vAlign w:val="bottom"/>
            <w:gridSpan w:val="13"/>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Signatures</w:t>
              </w:r>
            </w:hyperlink>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Times New Roman" w:cs="Times New Roman" w:eastAsia="Times New Roman" w:hAnsi="Times New Roman"/>
                <w:sz w:val="17"/>
                <w:szCs w:val="17"/>
                <w:color w:val="0000EE"/>
                <w:w w:val="70"/>
              </w:rPr>
            </w:pPr>
            <w:hyperlink w:anchor="page35">
              <w:r>
                <w:rPr>
                  <w:rFonts w:ascii="Times New Roman" w:cs="Times New Roman" w:eastAsia="Times New Roman" w:hAnsi="Times New Roman"/>
                  <w:sz w:val="17"/>
                  <w:szCs w:val="17"/>
                  <w:color w:val="0000EE"/>
                  <w:w w:val="70"/>
                </w:rPr>
                <w:t>35</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140"/>
          </w:cols>
          <w:pgMar w:left="280" w:top="580" w:right="479" w:bottom="1440" w:gutter="0" w:footer="0" w:header="0"/>
        </w:sectPr>
      </w:pPr>
    </w:p>
    <w:bookmarkStart w:id="2" w:name="page3"/>
    <w:bookmarkEnd w:id="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w:t>
            </w: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69,859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85,086</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$464 and $534, respectively</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58,153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54,407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23"/>
                <w:szCs w:val="23"/>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5,282</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Inventory, net of allowances of $81 and $113, respectively</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5,265</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60,162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187,785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210,202</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10,788</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701,980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701,359</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339,714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366,029</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149,070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146,497</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361,564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48,325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49,891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1,799,712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1,484,766</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 net of unamortized loan fees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24,293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20,618</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35,987</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7,919</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9,452</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14,563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88,539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less current maturities, net of unamortized loan fees</w:t>
            </w:r>
          </w:p>
        </w:tc>
        <w:tc>
          <w:tcPr>
            <w:tcW w:w="3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726,970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749,624</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123,169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127,453</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lease</w:t>
            </w:r>
          </w:p>
        </w:tc>
        <w:tc>
          <w:tcPr>
            <w:tcW w:w="300" w:type="dxa"/>
            <w:vAlign w:val="bottom"/>
          </w:tcPr>
          <w:p>
            <w:pPr>
              <w:spacing w:after="0"/>
              <w:rPr>
                <w:sz w:val="23"/>
                <w:szCs w:val="23"/>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22,436</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28,584</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plan obligations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11,519</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322,635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14,364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3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501,007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204,356</w:t>
            </w:r>
          </w:p>
        </w:tc>
        <w:tc>
          <w:tcPr>
            <w:tcW w:w="0" w:type="dxa"/>
            <w:vAlign w:val="bottom"/>
          </w:tcPr>
          <w:p>
            <w:pPr>
              <w:spacing w:after="0"/>
              <w:rPr>
                <w:sz w:val="1"/>
                <w:szCs w:val="1"/>
                <w:color w:val="auto"/>
              </w:rPr>
            </w:pPr>
          </w:p>
        </w:tc>
      </w:tr>
      <w:tr>
        <w:trPr>
          <w:trHeight w:val="33"/>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no par value, authorized 96,000; 49,844 and 49,630 issued and outstanding at March 31, 2019 and</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2018, respectively</w:t>
            </w:r>
          </w:p>
        </w:tc>
        <w:tc>
          <w:tcPr>
            <w:tcW w:w="3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46,641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47,456</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400,421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386,511</w:t>
            </w: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 net of taxes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8,280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452,614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442,247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1,799,712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1,484,766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ectPr>
          <w:pgSz w:w="11900" w:h="16838" w:orient="portrait"/>
          <w:cols w:equalWidth="0" w:num="1">
            <w:col w:w="11420"/>
          </w:cols>
          <w:pgMar w:left="240" w:top="119"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9"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OPERATIONS AND COMPREHENSIVE INCOME (LOSS)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revenue and other</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143,231</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136,559</w:t>
            </w: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revenue</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17,579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revenue</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158,843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154,138</w:t>
            </w:r>
          </w:p>
        </w:tc>
        <w:tc>
          <w:tcPr>
            <w:tcW w:w="0" w:type="dxa"/>
            <w:vAlign w:val="bottom"/>
          </w:tcPr>
          <w:p>
            <w:pPr>
              <w:spacing w:after="0"/>
              <w:rPr>
                <w:sz w:val="1"/>
                <w:szCs w:val="1"/>
                <w:color w:val="auto"/>
              </w:rPr>
            </w:pPr>
          </w:p>
        </w:tc>
      </w:tr>
      <w:tr>
        <w:trPr>
          <w:trHeight w:val="33"/>
        </w:trPr>
        <w:tc>
          <w:tcPr>
            <w:tcW w:w="8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49,518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49,342</w:t>
            </w: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15,805</w:t>
            </w: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28,750</w:t>
            </w: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43,487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134,056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137,384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16,754</w:t>
            </w:r>
          </w:p>
        </w:tc>
        <w:tc>
          <w:tcPr>
            <w:tcW w:w="0" w:type="dxa"/>
            <w:vAlign w:val="bottom"/>
          </w:tcPr>
          <w:p>
            <w:pPr>
              <w:spacing w:after="0"/>
              <w:rPr>
                <w:sz w:val="1"/>
                <w:szCs w:val="1"/>
                <w:color w:val="auto"/>
              </w:rPr>
            </w:pPr>
          </w:p>
        </w:tc>
      </w:tr>
      <w:tr>
        <w:trPr>
          <w:trHeight w:val="33"/>
        </w:trPr>
        <w:tc>
          <w:tcPr>
            <w:tcW w:w="8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investments, net</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Non-operating income (loss), net</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8,411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13,910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6,583</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(loss) on interest rate hedge, net of tax</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11,182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9,645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 per share, basic and diluted:</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49,775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49,474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50,115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50,024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9" w:right="239" w:bottom="1440" w:gutter="0" w:footer="0" w:header="0"/>
        </w:sectPr>
      </w:pPr>
    </w:p>
    <w:bookmarkStart w:id="4" w:name="page5"/>
    <w:bookmarkEnd w:id="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 Common</w:t>
            </w:r>
          </w:p>
        </w:tc>
        <w:tc>
          <w:tcPr>
            <w:tcW w:w="16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Additional Paid in</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 Income</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 (no par value)</w:t>
            </w: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320" w:type="dxa"/>
            <w:vAlign w:val="bottom"/>
          </w:tcPr>
          <w:p>
            <w:pPr>
              <w:spacing w:after="0"/>
              <w:rPr>
                <w:sz w:val="15"/>
                <w:szCs w:val="15"/>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0"/>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2017</w:t>
            </w:r>
          </w:p>
        </w:tc>
        <w:tc>
          <w:tcPr>
            <w:tcW w:w="12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49,328</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44,787</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297,205</w:t>
            </w:r>
          </w:p>
        </w:tc>
        <w:tc>
          <w:tcPr>
            <w:tcW w:w="12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8,230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350,222</w:t>
            </w:r>
          </w:p>
        </w:tc>
        <w:tc>
          <w:tcPr>
            <w:tcW w:w="0" w:type="dxa"/>
            <w:vAlign w:val="bottom"/>
          </w:tcPr>
          <w:p>
            <w:pPr>
              <w:spacing w:after="0"/>
              <w:rPr>
                <w:sz w:val="1"/>
                <w:szCs w:val="1"/>
                <w:color w:val="auto"/>
              </w:rPr>
            </w:pPr>
          </w:p>
        </w:tc>
      </w:tr>
      <w:tr>
        <w:trPr>
          <w:trHeight w:val="297"/>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Accounting Principle - Adoption of ASU 2014-09</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56,097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56,097</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6,583</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comprehensive gain (loss), net of tax</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3,062</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2,037</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 options exercised</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3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 issued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Shares retired for settlement of employee taxes upon issuance of</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vested equity awards</w:t>
            </w:r>
          </w:p>
        </w:tc>
        <w:tc>
          <w:tcPr>
            <w:tcW w:w="12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(1,858)</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0" w:type="dxa"/>
            <w:vAlign w:val="bottom"/>
          </w:tcPr>
          <w:p>
            <w:pPr>
              <w:spacing w:after="0"/>
              <w:rPr>
                <w:sz w:val="1"/>
                <w:szCs w:val="1"/>
                <w:color w:val="auto"/>
              </w:rPr>
            </w:pPr>
          </w:p>
        </w:tc>
      </w:tr>
      <w:tr>
        <w:trPr>
          <w:trHeight w:val="81"/>
        </w:trPr>
        <w:tc>
          <w:tcPr>
            <w:tcW w:w="424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4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Common stock issued to acquire non-controlling interest in nTelos</w:t>
            </w:r>
          </w:p>
        </w:tc>
        <w:tc>
          <w:tcPr>
            <w:tcW w:w="120" w:type="dxa"/>
            <w:vAlign w:val="bottom"/>
          </w:tcPr>
          <w:p>
            <w:pPr>
              <w:spacing w:after="0"/>
              <w:rPr>
                <w:sz w:val="23"/>
                <w:szCs w:val="23"/>
                <w:color w:val="auto"/>
              </w:rPr>
            </w:pPr>
          </w:p>
        </w:tc>
        <w:tc>
          <w:tcPr>
            <w:tcW w:w="1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March 31, 2018</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49,539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45,075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359,885</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11,292</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416,252</w:t>
            </w:r>
          </w:p>
        </w:tc>
        <w:tc>
          <w:tcPr>
            <w:tcW w:w="0" w:type="dxa"/>
            <w:vAlign w:val="bottom"/>
          </w:tcPr>
          <w:p>
            <w:pPr>
              <w:spacing w:after="0"/>
              <w:rPr>
                <w:sz w:val="1"/>
                <w:szCs w:val="1"/>
                <w:color w:val="auto"/>
              </w:rPr>
            </w:pPr>
          </w:p>
        </w:tc>
      </w:tr>
      <w:tr>
        <w:trPr>
          <w:trHeight w:val="37"/>
        </w:trPr>
        <w:tc>
          <w:tcPr>
            <w:tcW w:w="4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49,630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47,456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386,511</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8,280</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442,247</w:t>
            </w:r>
          </w:p>
        </w:tc>
        <w:tc>
          <w:tcPr>
            <w:tcW w:w="0" w:type="dxa"/>
            <w:vAlign w:val="bottom"/>
          </w:tcPr>
          <w:p>
            <w:pPr>
              <w:spacing w:after="0"/>
              <w:rPr>
                <w:sz w:val="1"/>
                <w:szCs w:val="1"/>
                <w:color w:val="auto"/>
              </w:rPr>
            </w:pPr>
          </w:p>
        </w:tc>
      </w:tr>
      <w:tr>
        <w:trPr>
          <w:trHeight w:val="20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Accounting Principle - Adoption of ASU 2016-02,</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Leases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13,910</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comprehensive gain (loss), net of tax</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1,802</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 options exercised</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70"/>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Common stock issued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Shares retired for settlement of employee taxes upon issuance of</w:t>
            </w:r>
          </w:p>
        </w:tc>
        <w:tc>
          <w:tcPr>
            <w:tcW w:w="12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0" w:type="dxa"/>
            <w:vAlign w:val="bottom"/>
          </w:tcPr>
          <w:p>
            <w:pPr>
              <w:spacing w:after="0"/>
              <w:rPr>
                <w:sz w:val="1"/>
                <w:szCs w:val="1"/>
                <w:color w:val="auto"/>
              </w:rPr>
            </w:pPr>
          </w:p>
        </w:tc>
      </w:tr>
      <w:tr>
        <w:trPr>
          <w:trHeight w:val="188"/>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vested equity awards</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Common stock issued to acquire non-controlling interest in nTelos</w:t>
            </w:r>
          </w:p>
        </w:tc>
        <w:tc>
          <w:tcPr>
            <w:tcW w:w="120" w:type="dxa"/>
            <w:vAlign w:val="bottom"/>
          </w:tcPr>
          <w:p>
            <w:pPr>
              <w:spacing w:after="0"/>
              <w:rPr>
                <w:sz w:val="23"/>
                <w:szCs w:val="23"/>
                <w:color w:val="auto"/>
              </w:rPr>
            </w:pPr>
          </w:p>
        </w:tc>
        <w:tc>
          <w:tcPr>
            <w:tcW w:w="12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March 31, 2019</w:t>
            </w:r>
          </w:p>
        </w:tc>
        <w:tc>
          <w:tcPr>
            <w:tcW w:w="1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49,844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46,641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400,421</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5,552</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452,614</w:t>
            </w:r>
          </w:p>
        </w:tc>
        <w:tc>
          <w:tcPr>
            <w:tcW w:w="0" w:type="dxa"/>
            <w:vAlign w:val="bottom"/>
          </w:tcPr>
          <w:p>
            <w:pPr>
              <w:spacing w:after="0"/>
              <w:rPr>
                <w:sz w:val="1"/>
                <w:szCs w:val="1"/>
                <w:color w:val="auto"/>
              </w:rPr>
            </w:pPr>
          </w:p>
        </w:tc>
      </w:tr>
      <w:tr>
        <w:trPr>
          <w:trHeight w:val="37"/>
        </w:trPr>
        <w:tc>
          <w:tcPr>
            <w:tcW w:w="4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9" w:right="239" w:bottom="1440" w:gutter="0" w:footer="0" w:header="0"/>
        </w:sectPr>
      </w:pPr>
    </w:p>
    <w:bookmarkStart w:id="5" w:name="page6"/>
    <w:bookmarkEnd w:id="5"/>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13,910</w:t>
            </w:r>
          </w:p>
        </w:tc>
        <w:tc>
          <w:tcPr>
            <w:tcW w:w="2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6,583</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35,520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36,634</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5,659</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based compensation expense, net of amount capitalized</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1,714</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Waived management fee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loss on investments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(gain) loss from patronage and equity investments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long-term debt issuance costs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963</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benefit from retirement plans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interest and other</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income taxes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7,588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8,950</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7,779</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(6,482)</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4,641</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liabilities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lease</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7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61,663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60,860</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(24,382)</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disbursed for acquisitions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distributions (contributions) from investments and other</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(54,375)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(76,118)</w:t>
            </w:r>
          </w:p>
        </w:tc>
        <w:tc>
          <w:tcPr>
            <w:tcW w:w="0" w:type="dxa"/>
            <w:vAlign w:val="bottom"/>
          </w:tcPr>
          <w:p>
            <w:pPr>
              <w:spacing w:after="0"/>
              <w:rPr>
                <w:sz w:val="1"/>
                <w:szCs w:val="1"/>
                <w:color w:val="auto"/>
              </w:rPr>
            </w:pPr>
          </w:p>
        </w:tc>
      </w:tr>
      <w:tr>
        <w:trPr>
          <w:trHeight w:val="33"/>
        </w:trPr>
        <w:tc>
          <w:tcPr>
            <w:tcW w:w="7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(19,889)</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(12,125)</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revolving credit facility borrowings</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on revolving credit facility</w:t>
            </w:r>
          </w:p>
        </w:tc>
        <w:tc>
          <w:tcPr>
            <w:tcW w:w="3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(29,137)</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85,086</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78,585</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69,859</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ectPr>
          <w:pgSz w:w="11900" w:h="16838" w:orient="portrait"/>
          <w:cols w:equalWidth="0" w:num="1">
            <w:col w:w="10740"/>
          </w:cols>
          <w:pgMar w:left="240" w:top="119" w:right="919" w:bottom="792" w:gutter="0" w:footer="0" w:header="0"/>
        </w:sectPr>
      </w:pPr>
    </w:p>
    <w:p>
      <w:pPr>
        <w:spacing w:after="0" w:line="2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40"/>
          </w:cols>
          <w:pgMar w:left="240" w:top="119" w:right="919" w:bottom="792" w:gutter="0" w:footer="0" w:header="0"/>
          <w:type w:val="continuous"/>
        </w:sectPr>
      </w:pPr>
    </w:p>
    <w:bookmarkStart w:id="6" w:name="page7"/>
    <w:bookmarkEnd w:id="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in accordance with accounting principles generally accepted in the United States ("GAAP") for interim financial reporting and as required by Rule 10-01 of Regulation S-X. Accordingly, the unaudited condensed consolidated financial statements may not include all of the information and notes required by GAAP for audited financial statements. The information contained herein should be read in conjunction with the audited financial statements included in the Company's Annual Report on Form 10-K for the year ended December 31,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Principles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2018 Annual Report on Form 10-K, that would be expected to impact the Company except for the following:</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ASU No. 2018-02, </w:t>
      </w:r>
      <w:r>
        <w:rPr>
          <w:rFonts w:ascii="Times New Roman" w:cs="Times New Roman" w:eastAsia="Times New Roman" w:hAnsi="Times New Roman"/>
          <w:sz w:val="18"/>
          <w:szCs w:val="18"/>
          <w:i w:val="1"/>
          <w:iCs w:val="1"/>
          <w:color w:val="auto"/>
        </w:rPr>
        <w:t>Income Statement - Reporting Comprehensive Income (Topic 220),</w:t>
      </w:r>
      <w:r>
        <w:rPr>
          <w:rFonts w:ascii="Times New Roman" w:cs="Times New Roman" w:eastAsia="Times New Roman" w:hAnsi="Times New Roman"/>
          <w:sz w:val="18"/>
          <w:szCs w:val="18"/>
          <w:color w:val="auto"/>
        </w:rPr>
        <w:t xml:space="preserve"> as of January 1, 2019. The Company elected not to reclassify stranded income tax effects from accumulated other comprehensive income (OCI) to retained earnings and has implemented this election as its accounting policy as of January 1, 2019. The Company utilizes the portfolio approach as its policy to release the income tax effects from accumulated OCI as the entire portfolio is liquidated, sold or extinguished.</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Company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the new lease standard</w:t>
      </w:r>
      <w:r>
        <w:rPr>
          <w:rFonts w:ascii="Times New Roman" w:cs="Times New Roman" w:eastAsia="Times New Roman" w:hAnsi="Times New Roman"/>
          <w:sz w:val="18"/>
          <w:szCs w:val="18"/>
          <w:color w:val="auto"/>
        </w:rPr>
        <w:t>”) on January 1, 2019. Topic 842 replaces previous leasing guidance with a comprehensive lease measurement and recognition standard and expanded disclosure requirements. Topic 842 requires lessees to recognize most leases on their balance sheet as liabilities, with corresponding right-of-use, or ROU, assets. The Company adopted the new lease standard utilizing the modified retrospective approach. As a result, comparable period information has not been retrospectively updated. The modified retrospective approach includes a package of optional practical expedients that we elected to apply. As a result, the Company did not reassess prior conclusions regarding lease identification, lease classification and initial direct costs under the new standard. In those circumstances where the Company is the lessee, we have elected to account for non-lease components associated with our leases (e.g., maintenance costs) and lease components as a single lease component for substantially all of our asset classes under Topic 842.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various cell sites,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ROU asset.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Under the new lease standard, leases are remeasured upon the occurrence of certain events or modifications.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of the new lease standard did not materially impact the Company's consolidated net earnings, cash flows, liquidity or loan covenants.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9" w:right="239" w:bottom="1440" w:gutter="0" w:footer="0" w:header="0"/>
        </w:sectPr>
      </w:pPr>
    </w:p>
    <w:bookmarkStart w:id="7" w:name="page8"/>
    <w:bookmarkEnd w:id="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cumulative effect of the changes made to the consolidated January 1, 2019 balance sheet for the adoption of the new lease standard were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 xml:space="preserve">December 31, 2018 </w:t>
            </w:r>
            <w:r>
              <w:rPr>
                <w:rFonts w:ascii="Times New Roman" w:cs="Times New Roman" w:eastAsia="Times New Roman" w:hAnsi="Times New Roman"/>
                <w:sz w:val="18"/>
                <w:szCs w:val="18"/>
                <w:b w:val="1"/>
                <w:bCs w:val="1"/>
                <w:i w:val="1"/>
                <w:iCs w:val="1"/>
                <w:color w:val="auto"/>
                <w:w w:val="99"/>
              </w:rPr>
              <w:t>As</w:t>
            </w:r>
          </w:p>
        </w:tc>
        <w:tc>
          <w:tcPr>
            <w:tcW w:w="12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Effect of the Adoption of</w:t>
            </w:r>
          </w:p>
        </w:tc>
        <w:tc>
          <w:tcPr>
            <w:tcW w:w="240" w:type="dxa"/>
            <w:vAlign w:val="bottom"/>
          </w:tcPr>
          <w:p>
            <w:pPr>
              <w:spacing w:after="0"/>
              <w:rPr>
                <w:sz w:val="18"/>
                <w:szCs w:val="18"/>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xml:space="preserve">January 1, 2019 </w:t>
            </w:r>
            <w:r>
              <w:rPr>
                <w:rFonts w:ascii="Times New Roman" w:cs="Times New Roman" w:eastAsia="Times New Roman" w:hAnsi="Times New Roman"/>
                <w:sz w:val="18"/>
                <w:szCs w:val="18"/>
                <w:b w:val="1"/>
                <w:bCs w:val="1"/>
                <w:i w:val="1"/>
                <w:iCs w:val="1"/>
                <w:color w:val="auto"/>
              </w:rPr>
              <w:t>As</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w:t>
            </w:r>
          </w:p>
        </w:tc>
        <w:tc>
          <w:tcPr>
            <w:tcW w:w="1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ASC Topic 842 (Leases)</w:t>
            </w:r>
          </w:p>
        </w:tc>
        <w:tc>
          <w:tcPr>
            <w:tcW w:w="240" w:type="dxa"/>
            <w:vAlign w:val="bottom"/>
          </w:tcPr>
          <w:p>
            <w:pPr>
              <w:spacing w:after="0"/>
              <w:rPr>
                <w:sz w:val="20"/>
                <w:szCs w:val="20"/>
                <w:color w:val="auto"/>
              </w:rPr>
            </w:pPr>
          </w:p>
        </w:tc>
        <w:tc>
          <w:tcPr>
            <w:tcW w:w="19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i w:val="1"/>
                <w:iCs w:val="1"/>
                <w:color w:val="auto"/>
              </w:rPr>
              <w:t>Adjusted</w:t>
            </w:r>
          </w:p>
        </w:tc>
        <w:tc>
          <w:tcPr>
            <w:tcW w:w="0" w:type="dxa"/>
            <w:vAlign w:val="bottom"/>
          </w:tcPr>
          <w:p>
            <w:pPr>
              <w:spacing w:after="0"/>
              <w:rPr>
                <w:sz w:val="1"/>
                <w:szCs w:val="1"/>
                <w:color w:val="auto"/>
              </w:rPr>
            </w:pPr>
          </w:p>
        </w:tc>
      </w:tr>
      <w:tr>
        <w:trPr>
          <w:trHeight w:val="27"/>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60,162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48,582</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701,359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703,148</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3"/>
                <w:szCs w:val="23"/>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369,344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369,344</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366,029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352,201</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23"/>
                <w:szCs w:val="23"/>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38,773</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14,151</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Lease</w:t>
            </w:r>
          </w:p>
        </w:tc>
        <w:tc>
          <w:tcPr>
            <w:tcW w:w="1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23"/>
                <w:szCs w:val="23"/>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328,156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328,156</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3"/>
                <w:szCs w:val="23"/>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16,008</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to recognizing the operating lease liabilities and right-of-use assets, Topic 842 also reclassified prepaid and deferred rent balances, off-market leases, and lease incentives into the right-of-use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lease income and costs: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20"/>
                <w:szCs w:val="20"/>
                <w:color w:val="auto"/>
              </w:rPr>
            </w:pPr>
          </w:p>
        </w:tc>
        <w:tc>
          <w:tcPr>
            <w:tcW w:w="19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31, 2019</w:t>
            </w:r>
          </w:p>
        </w:tc>
      </w:tr>
      <w:tr>
        <w:trPr>
          <w:trHeight w:val="27"/>
        </w:trPr>
        <w:tc>
          <w:tcPr>
            <w:tcW w:w="45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 from operating leases</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0"/>
        </w:trPr>
        <w:tc>
          <w:tcPr>
            <w:tcW w:w="4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55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w:t>
            </w:r>
          </w:p>
        </w:tc>
      </w:tr>
      <w:tr>
        <w:trPr>
          <w:trHeight w:val="59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5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5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 finance lease cost</w:t>
            </w:r>
          </w:p>
        </w:tc>
        <w:tc>
          <w:tcPr>
            <w:tcW w:w="5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351"/>
        </w:trPr>
        <w:tc>
          <w:tcPr>
            <w:tcW w:w="45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57"/>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lease expense</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w:t>
            </w:r>
          </w:p>
        </w:tc>
      </w:tr>
      <w:tr>
        <w:trPr>
          <w:trHeight w:val="20"/>
        </w:trPr>
        <w:tc>
          <w:tcPr>
            <w:tcW w:w="4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operating lease expenses, including short-term and variable lease expenses, are split between cost of service and selling, general and administrative expense in the condensed consolidated statements of operations based on the use of the facility that the rent is being paid on. Variable lease expenses represent payments that are dependent on a rate or index, or on usage of the asset. Substantially all of the Company's sublease income from operating leases relates to fixed lease payments. Operating lease expense includes variable lease payments and short-term lease expense, both of which are immaterial.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information related to operating and finance leases: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Three Months Ended March</w:t>
            </w:r>
          </w:p>
        </w:tc>
      </w:t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23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31, 2019</w:t>
            </w:r>
          </w:p>
        </w:tc>
      </w:tr>
      <w:tr>
        <w:trPr>
          <w:trHeight w:val="27"/>
        </w:trPr>
        <w:tc>
          <w:tcPr>
            <w:tcW w:w="6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507"/>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w:t>
            </w: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20" w:type="dxa"/>
            <w:vAlign w:val="bottom"/>
          </w:tcPr>
          <w:p>
            <w:pPr>
              <w:spacing w:after="0"/>
              <w:rPr>
                <w:sz w:val="23"/>
                <w:szCs w:val="23"/>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bl>
    <w:p>
      <w:pPr>
        <w:spacing w:after="0" w:line="200" w:lineRule="exact"/>
        <w:rPr>
          <w:sz w:val="20"/>
          <w:szCs w:val="20"/>
          <w:color w:val="auto"/>
        </w:rPr>
      </w:pP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9"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46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Index</w:t>
              </w:r>
            </w:hyperlink>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lease terms and discount rates:</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6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Weighted-average remaining lease term </w:t>
            </w:r>
            <w:r>
              <w:rPr>
                <w:rFonts w:ascii="Times New Roman" w:cs="Times New Roman" w:eastAsia="Times New Roman" w:hAnsi="Times New Roman"/>
                <w:sz w:val="18"/>
                <w:szCs w:val="18"/>
                <w:i w:val="1"/>
                <w:iCs w:val="1"/>
                <w:color w:val="auto"/>
              </w:rPr>
              <w:t>(years)</w:t>
            </w: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gridSpan w:val="2"/>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0"/>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at March 31, 2019:</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41,246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41,353</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58,829</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57,376</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54,230</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50,453</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180,606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182,189</w:t>
            </w:r>
          </w:p>
        </w:tc>
      </w:tr>
      <w:tr>
        <w:trPr>
          <w:trHeight w:val="27"/>
        </w:trPr>
        <w:tc>
          <w:tcPr>
            <w:tcW w:w="3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442,043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444,430</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81,083</w:t>
            </w:r>
          </w:p>
        </w:tc>
      </w:tr>
      <w:tr>
        <w:trPr>
          <w:trHeight w:val="27"/>
        </w:trPr>
        <w:tc>
          <w:tcPr>
            <w:tcW w:w="3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362,035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363,347</w:t>
            </w:r>
          </w:p>
        </w:tc>
      </w:tr>
      <w:tr>
        <w:trPr>
          <w:trHeight w:val="20"/>
        </w:trPr>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finance lease liabilities are presented in the accrued liabilities and other and the other liabilities lines of the condensed consolidated balance sheet. The related finance lease assets are included in the property, plant and equipment line.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commitments under leases existing as of December 31, 2018 were approximately $55.1 million for the year ending December 31, 2019, $104.4 million in total for the years ending December 31, 2020 and 2021, $97.6 million in total for the years ending December 31, 2022 and 2023 and $168.5 million in total for years thereafter.</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also the lessor on agreements to lease assets such as collocation space on cell towers and dedicated fiber-optic strands to third parties. These agreements were accounted for as operating leases both before and after adoption of the new lease standard. The new lease standard did not have a significant impact on the recognition of revenue associated with these agreements. The following table summarizes the total minimum rental receipts under lease agreements at March 31, 2019:</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1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7"/>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sublease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24,051</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earns revenue primarily through the sale of our wireless telecommunications services, wireless equipment, and business, residential, and enterprise cable and wireline services that include video, internet, voice, and data services. Revenue</w:t>
      </w:r>
    </w:p>
    <w:p>
      <w:pPr>
        <w:sectPr>
          <w:pgSz w:w="11900" w:h="16838" w:orient="portrait"/>
          <w:cols w:equalWidth="0" w:num="1">
            <w:col w:w="11400"/>
          </w:cols>
          <w:pgMar w:left="240" w:top="108" w:right="25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08"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Index</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earned was as follows: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Wireless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Cable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Wireline</w:t>
            </w:r>
          </w:p>
        </w:tc>
        <w:tc>
          <w:tcPr>
            <w:tcW w:w="28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Wireless service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97,075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Business, residential and enterprise</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Tower and other</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115,654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Internal revenue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114,384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2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158,843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Wireless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Cable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Wireline</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Wireless service</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Business, residential and enterprise</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29,131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10,691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Tower and other</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Internal revenue</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30,680</w:t>
            </w:r>
          </w:p>
        </w:tc>
        <w:tc>
          <w:tcPr>
            <w:tcW w:w="20" w:type="dxa"/>
            <w:vAlign w:val="bottom"/>
          </w:tcPr>
          <w:p>
            <w:pPr>
              <w:spacing w:after="0"/>
              <w:rPr>
                <w:sz w:val="22"/>
                <w:szCs w:val="22"/>
                <w:color w:val="auto"/>
              </w:rPr>
            </w:pPr>
          </w:p>
        </w:tc>
        <w:tc>
          <w:tcPr>
            <w:tcW w:w="4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154,138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 service</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earned through providing network access to Sprint under the affiliate agreement. Wireless service revenue is variable based on billed revenue to Sprint’s subscribers in the Company's affiliate area, less applicable fees retained by Sprint.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related to Sprint’s postpaid customers is the amount that Sprint bills its postpaid subscribers, reduced by customer credits, write-offs of receivables, and 8% management and 8.6% service fees. The Company is also charged for the costs of subsidized handsets sold through Sprint’s national channels as well as commissions paid by Sprint to third-party resellers in the Company's service territory.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related to Sprint’s prepaid customers is the amount that Sprint bills its prepaid subscribers, reduced by costs to acquire and support the customers, based on national averages for Sprint’s prepaid programs, and a 6% management fee.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Sprint, rather than Sprint's subscribers, to be the customer and the Company's performance obligation is to provide Sprint a series of continuous network access services. The reimbursement to Sprint for the costs of handsets sold through Sprint’s national channels, as well as commissions paid by Sprint to third-party resellers in our service territory represent consideration payable to a customer. These reimbursements are initially recorded as a contract asset and are subsequently recognized as a reduction of revenue over the expected benefit period between 21 and 53 months.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2018, the Company recorded a wireless contract asset of approximately $51.1 million. As of December 31, 2018, the wireless contract asset balance was $65.7 million. During the three months ended March 31, 2019, payments that increased the wireless contract asset balance totaled $18.2 million and amortization reflected as a reduction of revenue totaled approximately $13.5 million. The wireless contract asset balance as of March 31, 2019 was approximately $70.4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 equipment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owns and operates Sprint-branded retail stores within its geographic territory from which the Company sells equipment, primarily wireless handsets, and service to Sprint subscribers. The Company's equipment is predominantly sold to subscribers through Sprint's equipment financing plans. Under the equipment financing plans, Sprint purchases the equipment from the Company and resells the equipment to their subscribers. The Company is the principal in these equipment financing transactions, as it controls and bears the risk of ownership of the inventory prior to sale, and accordingly, revenue and handset costs are recorded on a gross basis, and the corresponding cost of the equipment is recorded separately to cost of goods sold.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residential and enterprise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earns revenue in the Cable and Wireline segments from business, residential, and enterprise customers where the performance obligations are to provide cable and telephone network services, sell and lease equipment and wiring services, and lease fiber-optic cable capacity. The Company's arrangements are generally composed of contracts that are cancellable at the customer’s discretion without penalty at any time. As there are multiple performance obligations in these arrangements, the Company recognizes revenue based on the standalone selling price of each distinct good or service. The Company generally recognizes this revenue over time as customers simultaneously receive and consume the benefits of the service, with the exception of equipment sales and home wiring which are recognized as revenue at a point in time when control transfers and when installation is complete, respectively.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Installation fees are allocated to services and are recognized ratably over the longer of the contract term or the period the unrecognized portion of the fee remains material to the contract, typically 10 and 11 months for Cable and Wireline customers, respectively. Additionally, the Company incurs commission and installation costs related to in-house employees and third-party vendors which are capitalized and amortized over the expected benefit period which is approximately 44 months and 72 months for Cable and Wireline,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Tower / Other</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Tower revenue consists primarily of tower space leases accounted for under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Other revenue includes network access-related charges for service provided to customers across the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performance obligations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31, 2019, the Company had approximately $3.5 million allocated to unsatisfied performance obligations, which is exclusive of contracts with original expected duration of one year or less. The Company expects to recognize approximately $0.6 million of this amount as revenue during the remainder of 2019, $0.7 million in 2020, an additional $0.7 million by 2021 and the balance thereafter.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acquisition costs and costs to fulfill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Capitalized contract costs represent contract fulfillment costs and contract acquisition costs which include commissions and installation costs in our Cable and Wireline segments. Capitalized contract costs are amortized on a straight-line basis over the contract term plus expected renewals. The Company elected to apply the practical expedient to expense contract acquisition costs when incurred, if the amortization period would be twelve months or less. The amortization of these costs is included in cost of services, and selling, general and administrative expenses. Amortized and capitalized costs for Cable and Wireline contracts are as follows: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capitalized contract costs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contract costs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Big Sandy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February 28, 2019, the Company completed its preliminary valuation for the acquisition of the assets of Big Sandy Broadband, Inc. ("Big Sandy") for $10 million and recorded $4.6 million of property, plant and equipment; $2.8 million of subscriber relationships; and $2.6 million of goodwill which is reported in the Cable segment and was accounted for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estimated useful lives of the acquired property, plant and equipment were approximately 2.5 years to 11 years and the estimated useful lives for subscriber relationships were 11 years at the time of the acquisition. Big Sandy was a provider of cable television, telephone and high speed internet services. The Company's investment will allow the Cable segment to expand its footprint into the adjacent markets of eastern Kentucky. Our preliminary allocation of the acquisition price is based on our preliminary estimate of fair value for each of the acquired assets and liabilities. These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9" w:right="239" w:bottom="1440" w:gutter="0" w:footer="0" w:header="0"/>
        </w:sectPr>
      </w:pPr>
    </w:p>
    <w:bookmarkStart w:id="11" w:name="page12"/>
    <w:bookmarkEnd w:id="1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may be revised during the one year measurement period provided by the authoritative guidance applicable to business combinations.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Customer Concentration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Contractual Relationship</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1999, the Company executed a Management Agreement (the “Agreement”) with Sprint whereby the Company committed to construct and operate a PCS network using CDMA air interface technology. The Agreement has been amended numerous times. Under the amended Agreement, the Company is the exclusive PCS Affiliate of Sprint providing wireless mobility communications network products and services on the 800 MHz, 1900 MHz and 2.5 GHz spectrum ranges in its territory across a multi-state area covering large portions of central and western Virginia, south-central Pennsylvania, West Virginia, and portions of Maryland, North Carolina, Kentucky, and Ohio. Effective February 1, 2018, the Company amended its Agreement with Sprint to expand its wireless service area to include certain areas in Kentucky, Pennsylvania, Virginia and West Virginia.</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exclusive PCS Affiliate of Sprint, the Company has the exclusive right to build, own and maintain its portion of Sprint’s nationwide PCS network, in the aforementioned areas, to Sprint’s specifications. The initial term of the Agreement extends through November 2029, with two successive 10-year renewal periods, unless terminated by either party under provisions outlined in the Agreement. Upon non-renewal by either party, the Company may cause Sprint to buy or Sprint may cause the Company to sell the business at 90% of Entire Business Value ("EBV") as defined in the Agreement. EBV is defined as i) the fair market value of a going concern paid by a willing buyer to a willing seller; ii) valued as if the business will continue to utilize existing brands and operate under existing agreements; and, iii) valued as if the Shentel owns the spectrum. Determination of EBV is made by an independent appraisal process.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Earnings (Loss) Per Share ("EPS")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EPS was computed by dividing net income (loss) by the weighted average number of shares of common stock outstanding during the period. Diluted EPS was computed under the treasury stock method by dividing net income (loss) by the sum of the weighted average number of shares of common stock outstanding and potentially dilutive securities outstanding during the period under the treasury stock method. Potentially dilutive securities include stock options and restricted stock units and shares that the Company is contractually obligated to issue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computation of basic and diluted earnings per share:</w:t>
      </w:r>
    </w:p>
    <w:p>
      <w:pPr>
        <w:spacing w:after="0" w:line="16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22860</wp:posOffset>
            </wp:positionV>
            <wp:extent cx="1166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Calculation of net income (loss) per share:</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49,474</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stock options outstanding:</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49,474</w:t>
            </w:r>
          </w:p>
        </w:tc>
        <w:tc>
          <w:tcPr>
            <w:tcW w:w="0" w:type="dxa"/>
            <w:vAlign w:val="bottom"/>
          </w:tcPr>
          <w:p>
            <w:pPr>
              <w:spacing w:after="0"/>
              <w:rPr>
                <w:sz w:val="1"/>
                <w:szCs w:val="1"/>
                <w:color w:val="auto"/>
              </w:rPr>
            </w:pPr>
          </w:p>
        </w:tc>
      </w:tr>
      <w:tr>
        <w:trPr>
          <w:trHeight w:val="27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from dilutive shares and options outstanding</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50,024</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computation of diluted EPS does not include certain unvested awards, on a weighted average basis, because their inclusion would have an anti-dilutive effect on EPS. The awards excluded because of their anti-dilutive effect were as follows:</w:t>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5" w:lineRule="exact"/>
        <w:rPr>
          <w:sz w:val="20"/>
          <w:szCs w:val="20"/>
          <w:color w:val="auto"/>
        </w:rPr>
      </w:pPr>
    </w:p>
    <w:p>
      <w:pPr>
        <w:ind w:left="40" w:right="320"/>
        <w:spacing w:after="0" w:line="282" w:lineRule="auto"/>
        <w:rPr>
          <w:sz w:val="20"/>
          <w:szCs w:val="20"/>
          <w:color w:val="auto"/>
        </w:rPr>
      </w:pPr>
      <w:r>
        <w:rPr>
          <w:rFonts w:ascii="Times New Roman" w:cs="Times New Roman" w:eastAsia="Times New Roman" w:hAnsi="Times New Roman"/>
          <w:sz w:val="18"/>
          <w:szCs w:val="18"/>
          <w:color w:val="auto"/>
        </w:rPr>
        <w:t>Awards excluded from the computation of diluted net income (loss) per share because their inclusion would have been anti-dilutive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22860</wp:posOffset>
            </wp:positionV>
            <wp:extent cx="1475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36830</wp:posOffset>
            </wp:positionV>
            <wp:extent cx="1475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55" w:lineRule="exact"/>
        <w:rPr>
          <w:sz w:val="20"/>
          <w:szCs w:val="20"/>
          <w:color w:val="auto"/>
        </w:rPr>
      </w:pPr>
    </w:p>
    <w:p>
      <w:pPr>
        <w:jc w:val="both"/>
        <w:ind w:left="400"/>
        <w:spacing w:after="0"/>
        <w:tabs>
          <w:tab w:leader="none" w:pos="160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94615</wp:posOffset>
            </wp:positionV>
            <wp:extent cx="14751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5105" cy="2603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5920" w:space="720"/>
            <w:col w:w="4780"/>
          </w:cols>
          <w:pgMar w:left="240" w:top="119" w:right="239" w:bottom="1440" w:gutter="0" w:footer="0" w:header="0"/>
          <w:type w:val="continuous"/>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9"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Index</w:t>
              </w:r>
            </w:hyperlink>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consist of the following:</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Domestic equity funds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70"/>
        </w:trPr>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International equity funds</w:t>
            </w: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CoBank</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0" w:type="dxa"/>
            <w:vAlign w:val="bottom"/>
          </w:tcPr>
          <w:p>
            <w:pPr>
              <w:spacing w:after="0"/>
              <w:rPr>
                <w:sz w:val="1"/>
                <w:szCs w:val="1"/>
                <w:color w:val="auto"/>
              </w:rPr>
            </w:pPr>
          </w:p>
        </w:tc>
      </w:tr>
      <w:tr>
        <w:trPr>
          <w:trHeight w:val="270"/>
        </w:trPr>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in other telecommunications partners</w:t>
            </w:r>
          </w:p>
        </w:tc>
        <w:tc>
          <w:tcPr>
            <w:tcW w:w="2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investments carried at cost</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324"/>
        </w:trPr>
        <w:tc>
          <w:tcPr>
            <w:tcW w:w="5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4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classifications of debt and equity securities are determined by the Company at the date individual investments are acquired. The appropriateness of such classification is periodically reassessed. The Company monitors the fair value of all investments, and based on factors such as market conditions, financial information and industry conditions, the Company reflects impairments in values when warranted.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30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Lives</w:t>
            </w:r>
          </w:p>
        </w:tc>
        <w:tc>
          <w:tcPr>
            <w:tcW w:w="30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9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6,723</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structures</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10 - 40 years</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222,052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213,657</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Cable and wire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4 - 40 years</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322,403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309,928</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2 - 17 years</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803,661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791,401</w:t>
            </w:r>
          </w:p>
        </w:tc>
      </w:tr>
      <w:tr>
        <w:trPr>
          <w:trHeight w:val="27"/>
        </w:trPr>
        <w:tc>
          <w:tcPr>
            <w:tcW w:w="4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in service</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1,355,053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1,321,709</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Plant under construction</w:t>
            </w: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81,409</w:t>
            </w:r>
          </w:p>
        </w:tc>
      </w:tr>
      <w:tr>
        <w:trPr>
          <w:trHeight w:val="27"/>
        </w:trPr>
        <w:tc>
          <w:tcPr>
            <w:tcW w:w="4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1,429,728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1,403,118</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727,748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701,759</w:t>
            </w:r>
          </w:p>
        </w:tc>
      </w:tr>
      <w:tr>
        <w:trPr>
          <w:trHeight w:val="27"/>
        </w:trPr>
        <w:tc>
          <w:tcPr>
            <w:tcW w:w="4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701,980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701,359</w:t>
            </w:r>
          </w:p>
        </w:tc>
      </w:tr>
      <w:tr>
        <w:trPr>
          <w:trHeight w:val="20"/>
        </w:trPr>
        <w:tc>
          <w:tcPr>
            <w:tcW w:w="4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Goodwill and Other Intangible Assets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by segment consisted of the following:</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3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Wireless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146,383</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146,383</w:t>
            </w:r>
          </w:p>
        </w:tc>
      </w:tr>
      <w:tr>
        <w:trPr>
          <w:trHeight w:val="27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Cable</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Wireline</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149,070</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146,497</w:t>
            </w: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08"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4"/>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3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320" w:type="dxa"/>
            <w:vAlign w:val="bottom"/>
          </w:tcPr>
          <w:p>
            <w:pPr>
              <w:spacing w:after="0"/>
              <w:rPr>
                <w:sz w:val="12"/>
                <w:szCs w:val="12"/>
                <w:color w:val="auto"/>
              </w:rPr>
            </w:pPr>
          </w:p>
        </w:tc>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4"/>
        </w:trPr>
        <w:tc>
          <w:tcPr>
            <w:tcW w:w="3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franchise rights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64,334</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64,334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Railroad crossing rights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non-amortizing intangibles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64,475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64,475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64,475</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Finite-lived intangibles: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contract expansion - Wireless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455,305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272,229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455,305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287,475</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Favorable leases - Wireless</w:t>
            </w:r>
          </w:p>
        </w:tc>
        <w:tc>
          <w:tcPr>
            <w:tcW w:w="2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13,824</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subscribers - Cable</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28,065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483,833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275,239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496,776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301,554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548,308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(208,594)</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339,714</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561,251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(195,222)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366,029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Affiliate contract expansion is amortized over the expected benefit period and is further reduced by the amount of waived management fees received from Sprint which was $9.6 million for the three months ended March 31, 2019. Since May 6, 2016, the date of the non-monetary exchange, waived management fees received from Sprint totaled $108.0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Derivatives and Hedging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in the condensed consolidated balance sheet. The fair value of these instruments was estimated using an income approach and observable market inputs: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sheet location of derivative financial instruments:</w:t>
            </w: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7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64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64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13,253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accumulated other comprehensive income (loss) by component: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2019</w:t>
            </w:r>
          </w:p>
        </w:tc>
      </w:tr>
      <w:tr>
        <w:trPr>
          <w:trHeight w:val="27"/>
        </w:trPr>
        <w:tc>
          <w:tcPr>
            <w:tcW w:w="6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4"/>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Gains (Losses) on</w:t>
            </w:r>
          </w:p>
        </w:tc>
        <w:tc>
          <w:tcPr>
            <w:tcW w:w="2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16"/>
        </w:trPr>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 net</w:t>
            </w:r>
          </w:p>
        </w:tc>
      </w:t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of taxes</w:t>
            </w:r>
          </w:p>
        </w:tc>
      </w:tr>
      <w:tr>
        <w:trPr>
          <w:trHeight w:val="27"/>
        </w:trPr>
        <w:tc>
          <w:tcPr>
            <w:tcW w:w="6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8,280</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unrealized gain (loss)</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52"/>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interest</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7"/>
        </w:trPr>
        <w:tc>
          <w:tcPr>
            <w:tcW w:w="6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7"/>
        </w:trPr>
        <w:tc>
          <w:tcPr>
            <w:tcW w:w="6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notional amounts of the cash flow hedge were $372.9 million and $384.0 million as of March 31, 2019 and December 31, 2018, respectively.</w:t>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9"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Other Assets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37,957</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52,533</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60,162</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37,848</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48,325</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49,891</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and other, classified as current liabilities,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Sales and property taxes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Accrued programming costs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14,563</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deferred lease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financing leases</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7"/>
        </w:trPr>
        <w:tc>
          <w:tcPr>
            <w:tcW w:w="4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14,364</w:t>
            </w: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Topic 842 requires the Company to include fixed payments for maintenance activities in its measurement of lease liabilities since the Company elected not to separate lease and non-lease components. Liabilities for the Company's financing leases were established with the adoption of Topic 842, as of January 1, 2019, to reflect the present value of fixed payments for maintenance activities. Refer to Note 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Index</w:t>
              </w:r>
            </w:hyperlink>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Long-Term Debt</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consisted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4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loan A-1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278,561</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287,699</w:t>
            </w:r>
          </w:p>
        </w:tc>
      </w:tr>
      <w:tr>
        <w:trPr>
          <w:trHeight w:val="270"/>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loan A-2</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486,787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497,537</w:t>
            </w:r>
          </w:p>
        </w:tc>
      </w:tr>
      <w:tr>
        <w:trPr>
          <w:trHeight w:val="27"/>
        </w:trPr>
        <w:tc>
          <w:tcPr>
            <w:tcW w:w="4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765,348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785,236</w:t>
            </w:r>
          </w:p>
        </w:tc>
      </w:tr>
      <w:tr>
        <w:trPr>
          <w:trHeight w:val="270"/>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r>
      <w:tr>
        <w:trPr>
          <w:trHeight w:val="27"/>
        </w:trPr>
        <w:tc>
          <w:tcPr>
            <w:tcW w:w="4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debt, net of unamortized loan fees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751,263</w:t>
            </w:r>
          </w:p>
        </w:tc>
        <w:tc>
          <w:tcPr>
            <w:tcW w:w="120" w:type="dxa"/>
            <w:vAlign w:val="bottom"/>
          </w:tcPr>
          <w:p>
            <w:pPr>
              <w:spacing w:after="0"/>
              <w:rPr>
                <w:sz w:val="22"/>
                <w:szCs w:val="22"/>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770,242</w:t>
            </w:r>
          </w:p>
        </w:tc>
      </w:tr>
      <w:tr>
        <w:trPr>
          <w:trHeight w:val="20"/>
        </w:trPr>
        <w:tc>
          <w:tcPr>
            <w:tcW w:w="4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54"/>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 net of current unamortized loan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12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20,618</w:t>
            </w:r>
          </w:p>
        </w:tc>
      </w:tr>
      <w:tr>
        <w:trPr>
          <w:trHeight w:val="270"/>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 net of unamortized loan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726,970</w:t>
            </w:r>
          </w:p>
        </w:tc>
        <w:tc>
          <w:tcPr>
            <w:tcW w:w="120" w:type="dxa"/>
            <w:vAlign w:val="bottom"/>
          </w:tcPr>
          <w:p>
            <w:pPr>
              <w:spacing w:after="0"/>
              <w:rPr>
                <w:sz w:val="23"/>
                <w:szCs w:val="23"/>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749,624</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2019, the Company's indebtedness totaled approximately $751.3 million, net of unamortized loan fees of $14.1 million, with an annualized overall weighted average interest rate of approximately 3.78%. As of March 31, 2019, the Term Loan A-1 bears interest at one-month London Interbank Offered Rate ("LIBOR") plus a margin of 1.75%, while the Term Loan A-2 bears interest at one-month LIBOR plus a margin of 2.00%. LIBOR resets monthly.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Term Loan A-1 requires quarterly principal repayments of $3.6 million, which began on December 31, 2018 and continue through September 30, 2019, increasing to $7.3 million quarterly from December 31, 2019 through September 30, 2022; then increasing to $10.9 million quarterly from December 31, 2022 through September 30, 2023, with the remaining balance due November 8, 2023. The amended Term Loan A-2 requires quarterly principal repayments of $1.2 million which began on December 31, 2018 and continue through September 30, 2025, with the remaining balance due November 8, 2025. In addition to its required quarterly repayments, the Company paid an additional $15.0 million in the first quarter of 2019 with no prepayment penalties.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cash for interest, net of amounts capitalized, of $7.2 million and $8.5 million during the three months ended March 31, 2019 and 2018,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shown below, as of March 31, 2019, the Company was in compliance with the covenants in its credit agreement.</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Actual</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Covenant Requirement</w:t>
            </w:r>
          </w:p>
        </w:tc>
        <w:tc>
          <w:tcPr>
            <w:tcW w:w="0" w:type="dxa"/>
            <w:vAlign w:val="bottom"/>
          </w:tcPr>
          <w:p>
            <w:pPr>
              <w:spacing w:after="0"/>
              <w:rPr>
                <w:sz w:val="1"/>
                <w:szCs w:val="1"/>
                <w:color w:val="auto"/>
              </w:rPr>
            </w:pPr>
          </w:p>
        </w:tc>
      </w:tr>
      <w:tr>
        <w:trPr>
          <w:trHeight w:val="34"/>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leverage ratio</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 or Lower</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Debt service coverage ratio</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 or Higher</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Minimum liquidity balance (in millions)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 or Higher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and local income tax returns. The Company is not subject to any state or federal income tax audits as of March 31, 2019. The Company's returns are generally open to examination from 2015 forward and the net operating losses acquired in the acquisition of nTelos are open to examination from 2002 forward.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has fluctuated in recent periods due to share based compensation tax benefits that are recognized as incurred. The Company received cash income tax refunds of $3.4 million in the three months ended March 31,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Wireless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Cable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External revenue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97,075</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29,705</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132,265</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15,612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10,966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external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114,384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158,843</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Internal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operating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115,654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158,843</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49,518</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28,722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41,179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90,317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134,056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25,337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5,703</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24,787</w:t>
            </w:r>
          </w:p>
        </w:tc>
        <w:tc>
          <w:tcPr>
            <w:tcW w:w="0" w:type="dxa"/>
            <w:vAlign w:val="bottom"/>
          </w:tcPr>
          <w:p>
            <w:pPr>
              <w:spacing w:after="0"/>
              <w:rPr>
                <w:sz w:val="1"/>
                <w:szCs w:val="1"/>
                <w:color w:val="auto"/>
              </w:rPr>
            </w:pPr>
          </w:p>
        </w:tc>
      </w:tr>
      <w:tr>
        <w:trPr>
          <w:trHeight w:val="27"/>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Wireless</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Cable</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Wireline</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24"/>
                <w:szCs w:val="24"/>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External revenue</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92,165</w:t>
            </w:r>
          </w:p>
        </w:tc>
        <w:tc>
          <w:tcPr>
            <w:tcW w:w="1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28,471</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125,944</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17,579</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10,615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external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111,565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154,138</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Internal revenue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operating revenue</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112,804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154,138</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services</w:t>
            </w:r>
          </w:p>
        </w:tc>
        <w:tc>
          <w:tcPr>
            <w:tcW w:w="2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49,342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15,805</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28,750</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43,487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95,537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137,384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17,267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16,754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1440" w:gutter="0" w:footer="0" w:header="0"/>
        </w:sectPr>
      </w:pPr>
    </w:p>
    <w:bookmarkStart w:id="17" w:name="page18"/>
    <w:bookmarkEnd w:id="1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total of the reportable segments’ operating income (loss) to consolidated income (loss) before taxes is as follows:</w:t>
      </w:r>
    </w:p>
    <w:p>
      <w:pPr>
        <w:sectPr>
          <w:pgSz w:w="11900" w:h="16838" w:orient="portrait"/>
          <w:cols w:equalWidth="0" w:num="1">
            <w:col w:w="10219"/>
          </w:cols>
          <w:pgMar w:left="240" w:top="1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Total consolidated operating income (loss)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Gain (loss) on investments, net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Non-operating income (loss), net</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345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345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6294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24,787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16,754</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r>
      <w:tr>
        <w:trPr>
          <w:trHeight w:val="27"/>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18,120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8,411</w:t>
            </w:r>
          </w:p>
        </w:tc>
      </w:tr>
      <w:tr>
        <w:trPr>
          <w:trHeight w:val="27"/>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40" w:space="720"/>
            <w:col w:w="6059"/>
          </w:cols>
          <w:pgMar w:left="240" w:top="1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219"/>
          </w:cols>
          <w:pgMar w:left="240" w:top="119" w:right="1440"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2018. The following management’s discussion and analysis should be read in conjunction with the Company’s Annual Report on Form 10-K for its fiscal year ended December 31, 2018, including the consolidated financial statements and related notes included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Shenandoah Telecommunications Company and its subsidiaries, (the "Company", "we", "our", or "us"), provide wireless personal communication service ("PCS") under the Sprint brand, and telephone service, cable television, unregulated communications equipment sales and services, and internet access under the Shentel brand. In addition, the Company operates an interstate fiber optic network and leases its owned cell site towers to both affiliates and non-affiliated third-party wireless service providers. The Company's reportable segments include: Wireless, Cable, Wireline, and Other.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included with the notes to our consolidated financial statements for further information regarding our segments.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2019 Developments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Big Sandy Broadband, Inc. Acquisition: </w:t>
      </w:r>
      <w:r>
        <w:rPr>
          <w:rFonts w:ascii="Times New Roman" w:cs="Times New Roman" w:eastAsia="Times New Roman" w:hAnsi="Times New Roman"/>
          <w:sz w:val="18"/>
          <w:szCs w:val="18"/>
          <w:color w:val="auto"/>
        </w:rPr>
        <w:t>On February 28, 2019, the Company acquired the assets of Big Sandy Broadband, Inc., ("Big Sandy”), a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cable television, telephone and high speed internet services in eastern Kentucky. The Company's investment will allow the Cable segment to expand its footprint into the adjacent markets of eastern Kentucky. See Note 4,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additional information. A map of our territory, reflecting the new expansion area,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5600065" cy="3618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0065"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9" w:right="239" w:bottom="1440" w:gutter="0" w:footer="0" w:header="0"/>
        </w:sectPr>
      </w:pPr>
    </w:p>
    <w:bookmarkStart w:id="19" w:name="page20"/>
    <w:bookmarkEnd w:id="1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 Compared with the Three Months Ended March 31,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40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158,843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154,138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4,705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75"/>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134,056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84.4 %</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137,384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89.1 %</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24,787</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16,754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8,033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0" w:type="dxa"/>
            <w:vAlign w:val="bottom"/>
          </w:tcPr>
          <w:p>
            <w:pPr>
              <w:spacing w:after="0"/>
              <w:rPr>
                <w:sz w:val="1"/>
                <w:szCs w:val="1"/>
                <w:color w:val="auto"/>
              </w:rPr>
            </w:pPr>
          </w:p>
        </w:tc>
      </w:tr>
      <w:tr>
        <w:trPr>
          <w:trHeight w:val="594"/>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(7,954)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(9,332)</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75"/>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1,287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989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30.1 %</w:t>
            </w:r>
          </w:p>
        </w:tc>
        <w:tc>
          <w:tcPr>
            <w:tcW w:w="0" w:type="dxa"/>
            <w:vAlign w:val="bottom"/>
          </w:tcPr>
          <w:p>
            <w:pPr>
              <w:spacing w:after="0"/>
              <w:rPr>
                <w:sz w:val="1"/>
                <w:szCs w:val="1"/>
                <w:color w:val="auto"/>
              </w:rPr>
            </w:pPr>
          </w:p>
        </w:tc>
      </w:tr>
      <w:tr>
        <w:trPr>
          <w:trHeight w:val="2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18,120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8,411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115.4 %</w:t>
            </w:r>
          </w:p>
        </w:tc>
        <w:tc>
          <w:tcPr>
            <w:tcW w:w="0" w:type="dxa"/>
            <w:vAlign w:val="bottom"/>
          </w:tcPr>
          <w:p>
            <w:pPr>
              <w:spacing w:after="0"/>
              <w:rPr>
                <w:sz w:val="1"/>
                <w:szCs w:val="1"/>
                <w:color w:val="auto"/>
              </w:rPr>
            </w:pPr>
          </w:p>
        </w:tc>
      </w:tr>
      <w:tr>
        <w:trPr>
          <w:trHeight w:val="275"/>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4,210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1,828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2,382</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130.3 %</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13,910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6,583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7,327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2019, operating revenue increased approximately $4.7 million, or 3.1%, compared with the three months ended March 31, 2018, driven by subscriber growth in the Wireless and Cable segments. Refer to the discussion of the results of operations for the Wireless and Cable segments, included within this quarterly report, for additional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2019, operating expenses decreased approximately $3.3 million, or 2.4%, compared with the three months ended March 31, 2018, primarily due to a decline in network costs for the Wireless segment attributable to repricing backhaul circuits and migrating Voice traffic from traditional circuit-switched facilities to more cost effective VOIP facilities. The decrease was offset by higher costs for the Cable segment primarily due to our deployment of higher-speed data access packages and infrastructure investments necessary to support its growing cable and fiber networks.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2019, interest expense decreased approximately $1.4 million, or 14.8%, compared with the three months ended March 31, 2018. The decrease in interest expense was primarily attributable to the 2018 amendments to the Credit Facility Agreement that reduced the applicable base interest rate by 75 basis points, partially offset by the effect of increases in LIBOR.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other income, net increased approximately $0.3 million, or 30.1%, compared with the three months ended March 31, 2018. The increase in other income, net was primarily attributable to growth in the value of our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income tax expense increased approximately $2.4 million, or 130.3%, compared with the three months ended March 31, 2018. The increase was primarily attributable to growth in income before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9" w:right="239" w:bottom="1440" w:gutter="0" w:footer="0" w:header="0"/>
        </w:sectPr>
      </w:pPr>
    </w:p>
    <w:bookmarkStart w:id="20" w:name="page21"/>
    <w:bookmarkEnd w:id="2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Wireless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Wireless, including Sprint subscribers: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2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p>
        </w:tc>
        <w:tc>
          <w:tcPr>
            <w:tcW w:w="21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 (2)</w:t>
            </w:r>
          </w:p>
        </w:tc>
        <w:tc>
          <w:tcPr>
            <w:tcW w:w="100" w:type="dxa"/>
            <w:vAlign w:val="bottom"/>
          </w:tcPr>
          <w:p>
            <w:pPr>
              <w:spacing w:after="0"/>
              <w:rPr>
                <w:sz w:val="20"/>
                <w:szCs w:val="20"/>
                <w:color w:val="auto"/>
              </w:rPr>
            </w:pPr>
          </w:p>
        </w:tc>
        <w:tc>
          <w:tcPr>
            <w:tcW w:w="21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2018 (2)</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Postpaid:</w:t>
            </w: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 PCS subscribers - postpaid</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800,952</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774,861</w:t>
            </w: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PCS subscriber additions - postpaid</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50,847</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43,077</w:t>
            </w: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PCS subscriber additions (losses) - postpaid (3)</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38,264</w:t>
            </w: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PCS average monthly retail churn % - postpaid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w:t>
            </w: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 PCS subscribers - prepaid</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267,220</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250,191</w:t>
            </w: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PCS subscriber additions - prepaid</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40,979</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40,111</w:t>
            </w: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PCS subscriber additions (losses) - prepaid (4)</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24,369</w:t>
            </w: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PCS average monthly retail churn % - prepaid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594"/>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PCS market POPS (000) (1)</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7,023</w:t>
            </w:r>
          </w:p>
        </w:tc>
        <w:tc>
          <w:tcPr>
            <w:tcW w:w="100" w:type="dxa"/>
            <w:vAlign w:val="bottom"/>
          </w:tcPr>
          <w:p>
            <w:pPr>
              <w:spacing w:after="0"/>
              <w:rPr>
                <w:sz w:val="24"/>
                <w:szCs w:val="24"/>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7,023</w:t>
            </w: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PCS covered POPS (000) (1)</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CDMA base stations (sites)</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owned</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Non-affiliate cell site leases</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3"/>
                <w:szCs w:val="23"/>
                <w:color w:val="auto"/>
              </w:rPr>
            </w:pPr>
          </w:p>
        </w:tc>
        <w:tc>
          <w:tcPr>
            <w:tcW w:w="2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"POPS" refers to the estimated population of a given geographic area. Market POPS are those within a market area which we are authorized to serve under our Sprint PCS affiliate agreement, and Covered POPS are those covered by our network. The data source for POPS is U.S. census data.</w:t>
      </w:r>
    </w:p>
    <w:p>
      <w:pPr>
        <w:ind w:left="660" w:hanging="328"/>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February 1, 2018 includes Richmond Expansion Area except for gross PCS subscriber additions.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March 31, 2018 Net PCS subscriber additions - postpaid were a loss of 79, excluding the acquisition of the expansion area on February 1, 2018.</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March 31, 2018 Net PCS subscriber additions - prepaid were 8,678, excluding the acquisition of the expansion area on February 1, 2018.</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subscriber stats above, excluding gross additions, include the Richmond Expansion Area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February 1,</w:t>
            </w:r>
          </w:p>
        </w:tc>
      </w:tr>
      <w:tr>
        <w:trPr>
          <w:trHeight w:val="238"/>
        </w:trPr>
        <w:tc>
          <w:tcPr>
            <w:tcW w:w="49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9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Expansion Area</w:t>
            </w:r>
          </w:p>
        </w:tc>
      </w:tr>
      <w:tr>
        <w:trPr>
          <w:trHeight w:val="27"/>
        </w:trPr>
        <w:tc>
          <w:tcPr>
            <w:tcW w:w="49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PCS subscribers - postpaid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PCS subscribers - prepaid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15,691</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Acquired PCS market POPS (000)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Acquired PCS covered POPS (000)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Acquired CDMA base stations (sites)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648"/>
        </w:trPr>
        <w:tc>
          <w:tcPr>
            <w:tcW w:w="4920" w:type="dxa"/>
            <w:vAlign w:val="bottom"/>
          </w:tcPr>
          <w:p>
            <w:pPr>
              <w:spacing w:after="0"/>
              <w:rPr>
                <w:sz w:val="24"/>
                <w:szCs w:val="24"/>
                <w:color w:val="auto"/>
              </w:rPr>
            </w:pPr>
          </w:p>
        </w:tc>
        <w:tc>
          <w:tcPr>
            <w:tcW w:w="198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400"/>
          </w:cols>
          <w:pgMar w:left="240" w:top="119" w:right="25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Index</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58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 Compared with the Three Months Ended March 31, 2018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gridSpan w:val="4"/>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80" w:type="dxa"/>
            <w:vAlign w:val="bottom"/>
          </w:tcPr>
          <w:p>
            <w:pPr>
              <w:spacing w:after="0"/>
              <w:rPr>
                <w:sz w:val="20"/>
                <w:szCs w:val="20"/>
                <w:color w:val="auto"/>
              </w:rPr>
            </w:pPr>
          </w:p>
        </w:tc>
        <w:tc>
          <w:tcPr>
            <w:tcW w:w="740" w:type="dxa"/>
            <w:vAlign w:val="bottom"/>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Wireless operating revenue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Wireless service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Tower lease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Equipment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75"/>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62"/>
        </w:trPr>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Wireless operating revenue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Wireless operating expenses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75"/>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64"/>
        </w:trPr>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Wireless operating expenses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95,537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64"/>
        </w:trPr>
        <w:tc>
          <w:tcPr>
            <w:tcW w:w="4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Wireless operating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8,070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operating revenue increased approximately $2.9 million, or 2.5%, compared with the three months ended March 31, 2018. This increase in operating revenue was driven by a 3.4% increase in postpaid subscribers and a 6.8% increase in prepaid PCS subscribers.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Revenue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equipment revenue decreased approximately $2.1 million, or 12%, compared with the three months ended March 31, 2018. Lower equipment revenues reflect a reduction in sales due to a larger percentage of activations originating from dealer stores.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additional detail for Wireless service 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6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Wireless service revenue: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Postpaid billings (1)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97,476</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93,290</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4,186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contract and other costs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service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postpaid service revenue</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2,712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billings</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contract and other costs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Sprint management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prepaid service revenue</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Travel and other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97,075</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92,165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right="20" w:hanging="648"/>
        <w:spacing w:after="0" w:line="258" w:lineRule="auto"/>
        <w:tabs>
          <w:tab w:leader="none" w:pos="6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Postpaid net billings are defined under the terms of the affiliate contract with Sprint to be the gross billings to customers within our wireless network coverage area less billing credits and adjustments and allocated write-offs of uncollectible accounts.</w:t>
      </w:r>
    </w:p>
    <w:p>
      <w:pPr>
        <w:spacing w:after="0" w:line="1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postpaid service revenue during the three months ended March 31, 2019, was primarily attributable to the organic expansion of the postpaid subscriber base which added 26 thousand postpaid PCS retail subscribers.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08" w:right="239" w:bottom="1440" w:gutter="0" w:footer="0" w:header="0"/>
        </w:sectPr>
      </w:pPr>
    </w:p>
    <w:bookmarkStart w:id="22" w:name="page23"/>
    <w:bookmarkEnd w:id="2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00" w:lineRule="exact"/>
        <w:rPr>
          <w:sz w:val="20"/>
          <w:szCs w:val="20"/>
          <w:color w:val="auto"/>
        </w:rPr>
      </w:pP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prepaid service revenue during the three months ended March 31, 2019, was primarily attributable to the organic expansion of the prepaid subscriber base which added 17 thousand prepaid PCS retail subscribers.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2019, cost of services decreased approximately $0.3 million or 0.8%, compared with the three months ended March 31, 2018 primarily due to the repricing of Wireless backhaul circuits to market rates and migrating Wireless voice traffic from traditional circuit-switched facilities to more cost effective VoIP facilities.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cost of goods sold decreased approximately $1.3 million, or 8.3%, compared with the three months ended March 31, 2018. Lower cost of goods sold reflect a reduction in sales due to a larger percentage of activations originating from dealer stores.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selling, general and administrative costs decreased approximately $0.8 million, or 6.4%, compared with the three months ended March 31, 2018 primarily due to a prior year reassessment of property taxes in West Virginia.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depreciation and amortization decreased approximately $2.9 million, or 8.5%, compared with the three months ended March 31, 2018 primarily due to the retirement of assets acquired in the nTelos acquisition.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9" w:right="239" w:bottom="1440" w:gutter="0" w:footer="0" w:header="0"/>
        </w:sectPr>
      </w:pPr>
    </w:p>
    <w:bookmarkStart w:id="23" w:name="page24"/>
    <w:bookmarkEnd w:id="2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Cable: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56"/>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 (8)</w:t>
            </w:r>
          </w:p>
        </w:tc>
        <w:tc>
          <w:tcPr>
            <w:tcW w:w="120" w:type="dxa"/>
            <w:vAlign w:val="bottom"/>
          </w:tcPr>
          <w:p>
            <w:pPr>
              <w:spacing w:after="0"/>
              <w:rPr>
                <w:sz w:val="20"/>
                <w:szCs w:val="20"/>
                <w:color w:val="auto"/>
              </w:rPr>
            </w:pPr>
          </w:p>
        </w:tc>
        <w:tc>
          <w:tcPr>
            <w:tcW w:w="20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Homes passed (1)</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189,613</w:t>
            </w:r>
          </w:p>
        </w:tc>
        <w:tc>
          <w:tcPr>
            <w:tcW w:w="120" w:type="dxa"/>
            <w:vAlign w:val="bottom"/>
          </w:tcPr>
          <w:p>
            <w:pPr>
              <w:spacing w:after="0"/>
              <w:rPr>
                <w:sz w:val="20"/>
                <w:szCs w:val="20"/>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184,975</w:t>
            </w:r>
          </w:p>
        </w:tc>
      </w:tr>
      <w:tr>
        <w:trPr>
          <w:trHeight w:val="27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 (2)</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Video users</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42,752</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43,264</w:t>
            </w: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Non-video customers</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41,107</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35,133</w:t>
            </w: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83,859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78,397</w:t>
            </w:r>
          </w:p>
        </w:tc>
      </w:tr>
      <w:tr>
        <w:trPr>
          <w:trHeight w:val="27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Video</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Customers (3)</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44,119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45,555</w:t>
            </w: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Penetration (4)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video penetration (5)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7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Broadband</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Users (3)</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71,549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65,141</w:t>
            </w: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Penetration (4)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7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Voice</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Users (3)</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23,836</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22,743</w:t>
            </w:r>
          </w:p>
        </w:tc>
      </w:tr>
      <w:tr>
        <w:trPr>
          <w:trHeight w:val="270"/>
        </w:trPr>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Penetration (4)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 generating units (6)</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139,504</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133,439</w:t>
            </w:r>
          </w:p>
        </w:tc>
      </w:tr>
      <w:tr>
        <w:trPr>
          <w:trHeight w:val="27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Fiber route miles</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3,629</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3,371</w:t>
            </w:r>
          </w:p>
        </w:tc>
      </w:tr>
      <w:tr>
        <w:trPr>
          <w:trHeight w:val="27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fiber miles (7)</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141,230</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124,701</w:t>
            </w:r>
          </w:p>
        </w:tc>
      </w:tr>
      <w:tr>
        <w:trPr>
          <w:trHeight w:val="270"/>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revenue generating units</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136,911</w:t>
            </w:r>
          </w:p>
        </w:tc>
        <w:tc>
          <w:tcPr>
            <w:tcW w:w="120" w:type="dxa"/>
            <w:vAlign w:val="bottom"/>
          </w:tcPr>
          <w:p>
            <w:pPr>
              <w:spacing w:after="0"/>
              <w:rPr>
                <w:sz w:val="23"/>
                <w:szCs w:val="23"/>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132,865</w:t>
            </w:r>
          </w:p>
        </w:tc>
      </w:tr>
      <w:tr>
        <w:trPr>
          <w:trHeight w:val="142"/>
        </w:trPr>
        <w:tc>
          <w:tcPr>
            <w:tcW w:w="47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bl>
    <w:p>
      <w:pPr>
        <w:ind w:left="660" w:hanging="328"/>
        <w:spacing w:after="0" w:line="241"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(“homes passed”) if we can connect them to our distribution system without further extending the transmission lines. Homes passed is an estimate based upon the best available information. Homes passed have access to video, broadband and voice services.</w:t>
      </w: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relationships represent the number of billed customers who receive at least one of our services.</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homes passed or available homes, as appropriate.</w:t>
      </w:r>
    </w:p>
    <w:p>
      <w:pPr>
        <w:spacing w:after="0" w:line="1"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generating units are the sum of video, voice and broadband users.</w:t>
      </w:r>
    </w:p>
    <w:p>
      <w:pPr>
        <w:spacing w:after="0" w:line="1"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February 28, 2019, includes approximately 4,800 subscribers from the Big Sandy acquisition.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9"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Index</w:t>
              </w:r>
            </w:hyperlink>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9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2019 Compared with the Three Months Ended March 31, 2018</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32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80" w:type="dxa"/>
            <w:vAlign w:val="bottom"/>
          </w:tcPr>
          <w:p>
            <w:pPr>
              <w:spacing w:after="0"/>
              <w:rPr>
                <w:sz w:val="20"/>
                <w:szCs w:val="20"/>
                <w:color w:val="auto"/>
              </w:rPr>
            </w:pPr>
          </w:p>
        </w:tc>
        <w:tc>
          <w:tcPr>
            <w:tcW w:w="720" w:type="dxa"/>
            <w:vAlign w:val="bottom"/>
          </w:tcPr>
          <w:p>
            <w:pPr>
              <w:jc w:val="right"/>
              <w:ind w:right="377"/>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Cable operating revenue</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1,234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7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Equipment revenue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75"/>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62"/>
        </w:trPr>
        <w:tc>
          <w:tcPr>
            <w:tcW w:w="4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Cable operating revenue</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1,998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Cable operating expenses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7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7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75"/>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64"/>
        </w:trPr>
        <w:tc>
          <w:tcPr>
            <w:tcW w:w="4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Cable operating expenses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64"/>
        </w:trPr>
        <w:tc>
          <w:tcPr>
            <w:tcW w:w="4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Cable operating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2019, service revenue increased approximately $1.2 million, or 4.3%, compared with the three months ended March 31, 2018. The increase in service revenue was primarily attributable to increases in broadband subscribers, video rate increases, and customers selecting or upgrading to higher-speed data access packages.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other revenue increased approximately $0.7 million, or 21.2%, compared with the three months ended March 31, 2018 primarily attributable to installation services that were driven by growth in our customer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2019, operating expenses increased approximately $1.8 million, or 7.0%, compared with the three months ended March 31, 2018 primarily due to our deployment of higher-speed data access packages and investments in infrastructure necessary to support the growth of the cable and fiber networks.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Wireline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selected operating statistics of the Wireline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920" w:type="dxa"/>
            <w:vAlign w:val="bottom"/>
          </w:tcPr>
          <w:p>
            <w:pPr>
              <w:spacing w:after="0"/>
              <w:rPr>
                <w:sz w:val="20"/>
                <w:szCs w:val="20"/>
                <w:color w:val="auto"/>
              </w:rPr>
            </w:pPr>
          </w:p>
        </w:tc>
        <w:tc>
          <w:tcPr>
            <w:tcW w:w="17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9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distance subscribers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70"/>
        </w:trPr>
        <w:tc>
          <w:tcPr>
            <w:tcW w:w="4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Video customers (1)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r>
      <w:tr>
        <w:trPr>
          <w:trHeight w:val="270"/>
        </w:trPr>
        <w:tc>
          <w:tcPr>
            <w:tcW w:w="4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Broadband customers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w:t>
            </w: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Fiber route miles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70"/>
        </w:trPr>
        <w:tc>
          <w:tcPr>
            <w:tcW w:w="4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Total fiber miles (2)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162,281</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155,188</w:t>
            </w:r>
          </w:p>
        </w:tc>
      </w:tr>
      <w:tr>
        <w:trPr>
          <w:trHeight w:val="142"/>
        </w:trPr>
        <w:tc>
          <w:tcPr>
            <w:tcW w:w="4920" w:type="dxa"/>
            <w:vAlign w:val="bottom"/>
          </w:tcPr>
          <w:p>
            <w:pPr>
              <w:jc w:val="right"/>
              <w:ind w:right="1856"/>
              <w:spacing w:after="0"/>
              <w:rPr>
                <w:sz w:val="20"/>
                <w:szCs w:val="20"/>
                <w:color w:val="auto"/>
              </w:rPr>
            </w:pPr>
            <w:r>
              <w:rPr>
                <w:rFonts w:ascii="Times New Roman" w:cs="Times New Roman" w:eastAsia="Times New Roman" w:hAnsi="Times New Roman"/>
                <w:sz w:val="11"/>
                <w:szCs w:val="11"/>
                <w:color w:val="auto"/>
                <w:w w:val="97"/>
              </w:rPr>
              <w:t>_______________________________________________________</w:t>
            </w: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bl>
    <w:p>
      <w:pPr>
        <w:ind w:left="660" w:hanging="328"/>
        <w:spacing w:after="0"/>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Wireline’s video service passes approximately 16,500 homes.</w:t>
      </w:r>
    </w:p>
    <w:p>
      <w:pPr>
        <w:spacing w:after="0" w:line="1" w:lineRule="exact"/>
        <w:rPr>
          <w:rFonts w:ascii="Times New Roman" w:cs="Times New Roman" w:eastAsia="Times New Roman" w:hAnsi="Times New Roman"/>
          <w:sz w:val="14"/>
          <w:szCs w:val="14"/>
          <w:color w:val="auto"/>
        </w:rPr>
      </w:pPr>
    </w:p>
    <w:p>
      <w:pPr>
        <w:ind w:left="660" w:hanging="328"/>
        <w:spacing w:after="0" w:line="258"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rFonts w:ascii="Times New Roman" w:cs="Times New Roman" w:eastAsia="Times New Roman" w:hAnsi="Times New Roman"/>
                <w:sz w:val="18"/>
                <w:szCs w:val="18"/>
                <w:i w:val="1"/>
                <w:iCs w:val="1"/>
                <w:color w:val="0000EE"/>
              </w:rPr>
            </w:pPr>
            <w:hyperlink w:anchor="page2">
              <w:r>
                <w:rPr>
                  <w:rFonts w:ascii="Times New Roman" w:cs="Times New Roman" w:eastAsia="Times New Roman" w:hAnsi="Times New Roman"/>
                  <w:sz w:val="18"/>
                  <w:szCs w:val="18"/>
                  <w:i w:val="1"/>
                  <w:iCs w:val="1"/>
                  <w:color w:val="0000EE"/>
                </w:rPr>
                <w:t>Index</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58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 Compared with the Three Months Ended March 31, 2018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280" w:type="dxa"/>
            <w:vAlign w:val="bottom"/>
          </w:tcPr>
          <w:p>
            <w:pPr>
              <w:spacing w:after="0"/>
              <w:rPr>
                <w:sz w:val="20"/>
                <w:szCs w:val="20"/>
                <w:color w:val="auto"/>
              </w:rPr>
            </w:pPr>
          </w:p>
        </w:tc>
        <w:tc>
          <w:tcPr>
            <w:tcW w:w="740" w:type="dxa"/>
            <w:vAlign w:val="bottom"/>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Wireline operating revenue</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Carrier access and fiber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Equipment revenue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75"/>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62"/>
        </w:trPr>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Wireline operating revenue</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Wireline operating expenses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 of goods sold</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75"/>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64"/>
        </w:trPr>
        <w:tc>
          <w:tcPr>
            <w:tcW w:w="4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Wireline operating expenses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64"/>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Wireline operating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2019, total operating revenue decreased approximately $0.8 million, or 4.0%, compared with the three months ended March 31, 2018 primarily due to repricing Wireless backhaul circuits to market rates and migrating Wireless voice traffic from traditional circuit-switched facilities to more cost effective VoIP facilities.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total operating expenses decreased approximately $0.4 million, or 2.5%, compared with the three months ended March 31, 2018. The decline in operating expenses was primarily attributable to a reduction in network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managing our business and assessing our financial performance, management supplements the information provided by the financial statement measures prepared in accordance with GAAP with Adjusted OIBDA and Continuing OIBDA, which are considered “non-GAAP financial measures” under SEC rules.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OIBDA is defined as operating income (loss) before depreciation and amortization, adjusted to exclude the effects of: certain non-recurring transactions; impairment of assets; gains and losses on asset sales; actuarial gains and losses on pension and other post-retirement benefit plans; and share-based compensation expense, amortization of deferred contract costs and adjusted to include the benefit received from the waived management fee by Sprint. Continuing OIBDA is defined as Adjusted OIBDA, less the benefit received from the waived management fee by Sprint. Adjusted OIBDA and Continuing OIBDA should not be construed as an alternative to operating income as determined in accordance with GAAP as a measure of operating performance.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these measures facilitate comparisons of our operating performance from period to period and comparisons of our operating performance to that of our peers and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08" w:right="239" w:bottom="1440" w:gutter="0" w:footer="0" w:header="0"/>
        </w:sectPr>
      </w:pPr>
    </w:p>
    <w:bookmarkStart w:id="26" w:name="page27"/>
    <w:bookmarkEnd w:id="26"/>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OIBDA and Continuing OIBDA have limitations as an analytical tool, and should not be considered in isolation or as a substitute for analysis of our results as reported under GAAP. These limitations include, but are not limited to, the following:</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capital expenditures;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impacts of non-cash amortization of deferred contract costs;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assets being depreciated and amortized will have to be replaced in the future and Adjusted and Continuing OIBDA do not reflect cash requirements for such replacements;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associated with share-based awards exchanged for employee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interest expense necessary to service interest or principal payments on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gains, losses or dividends on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expenses incurred for the payment of income taxes;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nonrecurring expenses required to effect acquisitions;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and Continuing OIBDA differently than we do, limiting its usefulness as a comparative measure.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reconcile Adjusted OIBDA and Continuing OIBDA to operating income, which we consider to be the most directly comparable GAAP financial measure: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2019</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25,337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5,703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24,787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Non-cash amortization of deferred contract costs</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31,050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41,179</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9,628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Actuarial (gains) losses on pension plans</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Adjusted OIBDA</w:t>
            </w: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61,823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72,976</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Waived management fee</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Continuing OIBDA</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52,195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12,060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7,815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63,348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2018</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Wireless</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Cable</w:t>
            </w:r>
          </w:p>
        </w:tc>
        <w:tc>
          <w:tcPr>
            <w:tcW w:w="22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Wireline</w:t>
            </w:r>
          </w:p>
        </w:tc>
        <w:tc>
          <w:tcPr>
            <w:tcW w:w="260" w:type="dxa"/>
            <w:vAlign w:val="bottom"/>
          </w:tcPr>
          <w:p>
            <w:pPr>
              <w:spacing w:after="0"/>
              <w:rPr>
                <w:sz w:val="23"/>
                <w:szCs w:val="23"/>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23"/>
                <w:szCs w:val="23"/>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17,267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16,754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Non-cash amortization of deferred contract costs</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33,925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6,024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43,487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Benefit received from the waived management fee (1)</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Actuarial (gains) losses on pension plans</w:t>
            </w:r>
          </w:p>
        </w:tc>
        <w:tc>
          <w:tcPr>
            <w:tcW w:w="24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3"/>
                <w:szCs w:val="23"/>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Adjusted OIBDA</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57,561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68,671</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Waived management fee</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Continuing OIBDA</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48,513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11,692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59,623</w:t>
            </w:r>
          </w:p>
        </w:tc>
        <w:tc>
          <w:tcPr>
            <w:tcW w:w="0" w:type="dxa"/>
            <w:vAlign w:val="bottom"/>
          </w:tcPr>
          <w:p>
            <w:pPr>
              <w:spacing w:after="0"/>
              <w:rPr>
                <w:sz w:val="1"/>
                <w:szCs w:val="1"/>
                <w:color w:val="auto"/>
              </w:rPr>
            </w:pPr>
          </w:p>
        </w:tc>
      </w:tr>
      <w:tr>
        <w:trPr>
          <w:trHeight w:val="33"/>
        </w:trPr>
        <w:tc>
          <w:tcPr>
            <w:tcW w:w="45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8"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our amended affiliate agreement, Sprint agreed to waive the Management Fees charged on both postpaid and prepaid revenue, up to $4.2 million per month, until the total amount waived reaches approximately $255.6 million, which is expected to occur in 2022.</w:t>
      </w:r>
    </w:p>
    <w:p>
      <w:pPr>
        <w:sectPr>
          <w:pgSz w:w="11900" w:h="16838" w:orient="portrait"/>
          <w:cols w:equalWidth="0" w:num="1">
            <w:col w:w="11420"/>
          </w:cols>
          <w:pgMar w:left="240" w:top="119"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9"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Sources and Uses of Cash</w:t>
      </w:r>
      <w:r>
        <w:rPr>
          <w:rFonts w:ascii="Times New Roman" w:cs="Times New Roman" w:eastAsia="Times New Roman" w:hAnsi="Times New Roman"/>
          <w:sz w:val="18"/>
          <w:szCs w:val="18"/>
          <w:color w:val="auto"/>
        </w:rPr>
        <w:t>. Cash provided by operating activities consisted of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stock-based compensation, and deferred income taxes, as well as the effect of changes in working capital and other activities. The Company generated approximately $61.7 million of net cash from operations in the first three months of 2019, up from $60.9 million in the first three months of 2018. Cash provided by operating activities was driven by net income of approximately $13.9 million, as adjusted for the exclusion of non-cash expenses totaling approximately $49.5 million, and reduced by approximately $1.7 million related to the effect of changes in working capital and other balance sheet accounts.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outflows from investing activities during the three months ended March 31, 2019 were approximately $54.4 million compared with approximately $76.1 million during the three months ended March 31, 2018. Cash utilized by investing activities included $44.4 million for capital expenditures and $10.0 million related to the acquisition of Big Sandy. We make investments in our wireless, cable and fiber networks, other infrastructure investments, on a recurring basis. We expect our investments in our networks and infrastructure to expand in support of our continued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outflows from financing activities during the three months ended March 31, 2019 were approximately $22.5 million compared with</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approximately $13.9 million during the three months ended March 31, 2018. Cash utilized by financing activities included approximately $22.5 million as the Company repaid debt totaling $19.9 million, including a voluntary $15.0 million payment above the required $4.9 million scheduled quarterly payment.</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As of March 31, 2019, the Company’s gross indebtedness totaled $765.3 million, with an estimated annualized effective interest rate of 3.78%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considering the impact of the interest rate swap contracts and unamortized loan costs. The balance consisted of the $278.6 million Term Loan A-1 at a variable rate (4.25% as of March 31, 2019) that resets monthly based on one month LIBOR plus a margin of 1.75%, and the $486.8 million Term Loan A-2 at a variable rate (4.50% as of March 31, 2019) that resets monthly based on one month LIBOR plus a margin of 2.00%. At March 31, 2019, $75 million was available under the Revolver Facility.</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certain financial covenants measured on a trailing twelve month basis each calendar quarter unless otherwise specified. These financial covenants include:</w:t>
      </w:r>
    </w:p>
    <w:p>
      <w:pPr>
        <w:spacing w:after="0" w:line="162" w:lineRule="exact"/>
        <w:rPr>
          <w:sz w:val="20"/>
          <w:szCs w:val="20"/>
          <w:color w:val="auto"/>
        </w:rPr>
      </w:pPr>
    </w:p>
    <w:p>
      <w:pPr>
        <w:jc w:val="both"/>
        <w:ind w:left="500" w:hanging="316"/>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Company’s total leverage ratio, defined as indebtedness divided by earnings before interest, taxes, depreciation and amortization, or EBITDA, of less than or equal to 3.50 to 1.00 from December 31, 2018 through December 30, 2019, then 3.25 to 1.00 through December 31, 2021, and 3.00 to 1.00 thereafter;</w:t>
      </w:r>
    </w:p>
    <w:p>
      <w:pPr>
        <w:spacing w:after="0" w:line="176"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debt service coverage ratio, defined as EBITDA minus certain cash taxes divided by the sum of all scheduled principal payments on the Term Loans and other indebtedness plus cash interest expense, greater than 2.00 to 1.00; and</w:t>
      </w:r>
    </w:p>
    <w:p>
      <w:pPr>
        <w:spacing w:after="0" w:line="161" w:lineRule="exact"/>
        <w:rPr>
          <w:rFonts w:ascii="Times New Roman" w:cs="Times New Roman" w:eastAsia="Times New Roman" w:hAnsi="Times New Roman"/>
          <w:sz w:val="18"/>
          <w:szCs w:val="18"/>
          <w:color w:val="auto"/>
        </w:rPr>
      </w:pPr>
    </w:p>
    <w:p>
      <w:pPr>
        <w:jc w:val="both"/>
        <w:ind w:left="500" w:hanging="316"/>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the Company was in compliance with the financial covenants.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240" w:type="dxa"/>
            <w:vAlign w:val="bottom"/>
          </w:tcPr>
          <w:p>
            <w:pPr>
              <w:spacing w:after="0"/>
              <w:rPr>
                <w:sz w:val="18"/>
                <w:szCs w:val="18"/>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Covenant Requirement</w:t>
            </w:r>
          </w:p>
        </w:tc>
        <w:tc>
          <w:tcPr>
            <w:tcW w:w="0" w:type="dxa"/>
            <w:vAlign w:val="bottom"/>
          </w:tcPr>
          <w:p>
            <w:pPr>
              <w:spacing w:after="0"/>
              <w:rPr>
                <w:sz w:val="1"/>
                <w:szCs w:val="1"/>
                <w:color w:val="auto"/>
              </w:rPr>
            </w:pPr>
          </w:p>
        </w:tc>
      </w:tr>
      <w:tr>
        <w:trPr>
          <w:trHeight w:val="33"/>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leverage ratio</w:t>
            </w: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1460" w:type="dxa"/>
            <w:vAlign w:val="bottom"/>
          </w:tcPr>
          <w:p>
            <w:pPr>
              <w:jc w:val="center"/>
              <w:ind w:left="852"/>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 or Lower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Debt service coverage ratio</w:t>
            </w:r>
          </w:p>
        </w:tc>
        <w:tc>
          <w:tcPr>
            <w:tcW w:w="1460" w:type="dxa"/>
            <w:vAlign w:val="bottom"/>
          </w:tcPr>
          <w:p>
            <w:pPr>
              <w:jc w:val="center"/>
              <w:ind w:left="852"/>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 or Higher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Minimum liquidity balance (in millions)</w:t>
            </w:r>
          </w:p>
        </w:tc>
        <w:tc>
          <w:tcPr>
            <w:tcW w:w="146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 or Higher</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Commitments. </w:t>
      </w:r>
      <w:r>
        <w:rPr>
          <w:rFonts w:ascii="Times New Roman" w:cs="Times New Roman" w:eastAsia="Times New Roman" w:hAnsi="Times New Roman"/>
          <w:sz w:val="18"/>
          <w:szCs w:val="18"/>
          <w:color w:val="auto"/>
        </w:rPr>
        <w:t>Capital expenditures budgeted for 2019 have been updated to reflect the acquisition of Big Sandy and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$149.5 million, including $64.1 million in the Wireless segment primarily for wireless network capacity improvements. In addition, $55.0 million is budgeted primarily to support growth in our Cable segment including new fiber routes and continuing investments in DOCSIS 3.1 upgrades, $20.5 million in Wireline projects including expansion of the fiber network, and $9.9 million primarily for IT and other miscellaneous projects.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spent $44.4 million on capital projects in the first three months of 2019, compared to $24.4 million in the comparable 2018 period. Spending related to Wireless projects accounted for $26.5 million in the first three months of 2019, primarily for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9" w:right="239" w:bottom="1440" w:gutter="0" w:footer="0" w:header="0"/>
        </w:sectPr>
      </w:pPr>
    </w:p>
    <w:bookmarkStart w:id="28" w:name="page29"/>
    <w:bookmarkEnd w:id="28"/>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network upgrades and expansion. Spending related to Cable projects accounted for $13.6 million in the first three months of 2019, as the Company continues to invest in growing its rural broadband through network and cable market expansion. Spending related to Wireline projects accounted for $3.2 million in the first three months of 2019, primarily for fiber builds and increased capacity projects. The remaining $1.1 million of capital expenditures is largely related to information technology projects and fleet vehicles.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 can be no assurance that we will continue to generate cash flows at or above current levels or that we will be able to maintain our ability to borrow under our credit facilities. Thereafter, capital expenditures will likely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new market developments and expansion opportunities.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Critical accounting policies are those policies that affect our more significant judgments and estimates used in the preparation of our unaudited condensed consolidated financial statements. For a more detailed discussion of our critical accounting policies, please refer to our 2018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details of the Company's 2019 lease policy.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Recently issued accounting standards and their expected impact, if any, are discussed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of the notes to our unaudited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9" w:right="239" w:bottom="1440" w:gutter="0" w:footer="0" w:header="0"/>
        </w:sectPr>
      </w:pPr>
    </w:p>
    <w:bookmarkStart w:id="29" w:name="page30"/>
    <w:bookmarkEnd w:id="29"/>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March 31, 2019, the Company had $765.3 million of gross variable rate debt outstanding, with unamortized loan fees and costs of $14.1 million, bearing interest at a weighted average rate of 3.78% as determined on a quarterly basis. An increase in market interest rates of 1.00% would add approximately $7.6 million to annual interest expense, excluding the effect of the interest rate swap. In May 2016, the Company entered into a pay-fixed, receive-variable interest rate swap with three counterparties totaling $256.6 million of notional principal (subject to change based upon expected draws under the delayed draw term loan and principal payments due under our debt agreements). These swaps, combined with the swap purchased in 2012, cover notional principal equal to approximately 50% of the outstanding variable rate debt through maturity in 2023. The Company is required to pay a combined fixed rate of approximately 1.16% and receive a variable rate based on one month LIBOR (2.50% for March 2019),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$4.1 million, based on the spread between the fixed rate and the variable rate currently in effect on our debt.</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March 31, 2019, the Company has $392.4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9" w:right="239" w:bottom="1440" w:gutter="0" w:footer="0" w:header="0"/>
        </w:sectPr>
      </w:pPr>
    </w:p>
    <w:bookmarkStart w:id="30" w:name="page31"/>
    <w:bookmarkEnd w:id="30"/>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our President and Chief Executive Officer, who is the principal executive officer, and the Senior Vice President - Finance and Chief Financial Officer, who is the principal financial officer, conducted an evaluation of our disclosure controls and procedures, (as defined by Rule 13a-15(e) under the Securities Exchange Act of 1934), as of the end of the period covered by this Quarterly report on Form 10-Q.</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our Annual Report on Form 10-K for our fiscal year ended December 31, 2018,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and our Senior Vice President - Finance and Chief Financial Officer have concluded that our disclosure controls and procedures continued to be ineffective as of March 31, 2019.</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2019 the Company adopted ASC 842, Leases (Topic 842). We established new internal controls over financial reporting to support the adoption process and ongoing requirements of Topic 842, including internal controls related to the implementation of a new lease administration software system. Other than the new internal controls surrounding the adoption of Topic 842, there have been no changes in the Company’s internal control over financial reporting (as defined in Rules 13a-15(f) and 15d-15(f) of the Exchange Act) as of March 31, 2019, that have materially affected or are reasonably likely to materially affect, the Company’s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is continuing to implement the material weakness remediation plans as disclosed in our Annual Report on Form 10-K for our fiscal year ended December 31, 2018. We believe that these actions and the improvements we expect to achieve will effectively remediate the material weaknesses. However, these material weaknesses will not be considered remediated until the enhanced controls operate for a sufficient period of time and management has concluded that these controls are operating effectively.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9" w:right="239" w:bottom="1440" w:gutter="0" w:footer="0" w:header="0"/>
        </w:sectPr>
      </w:pPr>
    </w:p>
    <w:bookmarkStart w:id="31" w:name="page32"/>
    <w:bookmarkEnd w:id="31"/>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discuss in our Annual Report on Form 10-K various risks that may materially affect our business. We use this section to update this discussion to reflect material developments since our Form 10-K was filed. As of March 31, 2019, the Company has not identified any needed updates to the risk factors included in our most recent Form 10-K.</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shares surrendered for the settlement of certain elements regarding equity award issuances and vesting events, during the three months ended March 31, 2019:</w:t>
      </w:r>
    </w:p>
    <w:p>
      <w:pPr>
        <w:spacing w:after="0" w:line="200" w:lineRule="exact"/>
        <w:rPr>
          <w:sz w:val="20"/>
          <w:szCs w:val="20"/>
          <w:color w:val="auto"/>
        </w:rPr>
      </w:pPr>
    </w:p>
    <w:p>
      <w:pPr>
        <w:spacing w:after="0" w:line="336" w:lineRule="exact"/>
        <w:rPr>
          <w:sz w:val="20"/>
          <w:szCs w:val="20"/>
          <w:color w:val="auto"/>
        </w:rPr>
      </w:pPr>
    </w:p>
    <w:tbl>
      <w:tblPr>
        <w:tblLayout w:type="fixed"/>
        <w:tblInd w:w="210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60" w:type="dxa"/>
            <w:vAlign w:val="bottom"/>
          </w:tcPr>
          <w:p>
            <w:pPr>
              <w:spacing w:after="0"/>
              <w:rPr>
                <w:sz w:val="18"/>
                <w:szCs w:val="18"/>
                <w:color w:val="auto"/>
              </w:rPr>
            </w:pPr>
          </w:p>
        </w:tc>
        <w:tc>
          <w:tcPr>
            <w:tcW w:w="19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2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Surrendered</w:t>
            </w:r>
          </w:p>
        </w:tc>
        <w:tc>
          <w:tcPr>
            <w:tcW w:w="360" w:type="dxa"/>
            <w:vAlign w:val="bottom"/>
          </w:tcPr>
          <w:p>
            <w:pPr>
              <w:spacing w:after="0"/>
              <w:rPr>
                <w:sz w:val="20"/>
                <w:szCs w:val="20"/>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0" w:type="dxa"/>
            <w:vAlign w:val="bottom"/>
          </w:tcPr>
          <w:p>
            <w:pPr>
              <w:spacing w:after="0"/>
              <w:rPr>
                <w:sz w:val="1"/>
                <w:szCs w:val="1"/>
                <w:color w:val="auto"/>
              </w:rPr>
            </w:pPr>
          </w:p>
        </w:tc>
      </w:tr>
      <w:tr>
        <w:trPr>
          <w:trHeight w:val="27"/>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January 1 to January 31</w:t>
            </w:r>
          </w:p>
        </w:tc>
        <w:tc>
          <w:tcPr>
            <w:tcW w:w="2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vMerge w:val="continue"/>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to February 28</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36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March 1 to March 31</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7"/>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vMerge w:val="continue"/>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9" w:right="239" w:bottom="1440" w:gutter="0" w:footer="0" w:header="0"/>
        </w:sectPr>
      </w:pPr>
    </w:p>
    <w:bookmarkStart w:id="32" w:name="page33"/>
    <w:bookmarkEnd w:id="32"/>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with this Quarterly Report on Form 10-Q:</w:t>
      </w:r>
    </w:p>
    <w:p>
      <w:pPr>
        <w:spacing w:after="0" w:line="171" w:lineRule="exact"/>
        <w:rPr>
          <w:sz w:val="20"/>
          <w:szCs w:val="20"/>
          <w:color w:val="auto"/>
        </w:rPr>
      </w:pPr>
    </w:p>
    <w:p>
      <w:pPr>
        <w:ind w:left="360"/>
        <w:spacing w:after="0"/>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Bylaws of Shenandoah Telecommunications Company, as amended effective April 16, 2019</w:t>
      </w:r>
    </w:p>
    <w:p>
      <w:pPr>
        <w:spacing w:after="0" w:line="200" w:lineRule="exact"/>
        <w:rPr>
          <w:sz w:val="20"/>
          <w:szCs w:val="20"/>
          <w:color w:val="auto"/>
        </w:rPr>
      </w:pPr>
    </w:p>
    <w:p>
      <w:pPr>
        <w:spacing w:after="0" w:line="214"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President and Chief Executive Officer pursuant to Rule 13a-14(a) under the Securities Exchange Act of 1934.</w:t>
      </w:r>
    </w:p>
    <w:p>
      <w:pPr>
        <w:spacing w:after="0" w:line="333"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Vice President - Finance and Chief Financial Officer pursuant to Rule 13a-14(a) under the Securities Exchange Act of 1934.</w:t>
      </w:r>
    </w:p>
    <w:p>
      <w:pPr>
        <w:spacing w:after="0" w:line="333" w:lineRule="exact"/>
        <w:rPr>
          <w:sz w:val="20"/>
          <w:szCs w:val="20"/>
          <w:color w:val="auto"/>
        </w:rPr>
      </w:pPr>
    </w:p>
    <w:p>
      <w:pPr>
        <w:ind w:left="280"/>
        <w:spacing w:after="0"/>
        <w:tabs>
          <w:tab w:leader="none" w:pos="9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Certifications pursuant to Rule 13a-14(b) under the Securities Exchange Act of 1934 and 18 U.S.C. § 1350.</w:t>
      </w:r>
    </w:p>
    <w:p>
      <w:pPr>
        <w:spacing w:after="0" w:line="387" w:lineRule="exact"/>
        <w:rPr>
          <w:sz w:val="20"/>
          <w:szCs w:val="20"/>
          <w:color w:val="auto"/>
        </w:rPr>
      </w:pPr>
    </w:p>
    <w:p>
      <w:pPr>
        <w:ind w:left="960" w:hanging="688"/>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XBRL (Extensible Business Reporting Language)</w:t>
      </w:r>
    </w:p>
    <w:p>
      <w:pPr>
        <w:spacing w:after="0" w:line="33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1020" w:type="dxa"/>
            <w:vAlign w:val="bottom"/>
          </w:tcPr>
          <w:p>
            <w:pPr>
              <w:spacing w:after="0"/>
              <w:rPr>
                <w:sz w:val="20"/>
                <w:szCs w:val="20"/>
                <w:color w:val="auto"/>
              </w:rPr>
            </w:pPr>
          </w:p>
        </w:tc>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jc w:val="both"/>
        <w:ind w:left="660" w:hanging="652"/>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240" w:top="119" w:right="419" w:bottom="1440" w:gutter="0" w:footer="0" w:header="0"/>
        </w:sectPr>
      </w:pPr>
    </w:p>
    <w:bookmarkStart w:id="33" w:name="page34"/>
    <w:bookmarkEnd w:id="33"/>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383"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w:t>
      </w:r>
    </w:p>
    <w:p>
      <w:pPr>
        <w:spacing w:after="0" w:line="200" w:lineRule="exact"/>
        <w:rPr>
          <w:sz w:val="20"/>
          <w:szCs w:val="20"/>
          <w:color w:val="auto"/>
        </w:rPr>
      </w:pPr>
    </w:p>
    <w:p>
      <w:pPr>
        <w:spacing w:after="0" w:line="218" w:lineRule="exact"/>
        <w:rPr>
          <w:sz w:val="20"/>
          <w:szCs w:val="20"/>
          <w:color w:val="auto"/>
        </w:rPr>
      </w:pPr>
    </w:p>
    <w:p>
      <w:pPr>
        <w:ind w:left="520"/>
        <w:spacing w:after="0"/>
        <w:tabs>
          <w:tab w:leader="none" w:pos="1280" w:val="left"/>
        </w:tabs>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Bylaws of Shenandoah Telecommunications Company, as amended effective April 16, 2019</w:t>
      </w:r>
    </w:p>
    <w:p>
      <w:pPr>
        <w:spacing w:after="0" w:line="200" w:lineRule="exact"/>
        <w:rPr>
          <w:sz w:val="20"/>
          <w:szCs w:val="20"/>
          <w:color w:val="auto"/>
        </w:rPr>
      </w:pPr>
    </w:p>
    <w:p>
      <w:pPr>
        <w:spacing w:after="0" w:line="214" w:lineRule="exact"/>
        <w:rPr>
          <w:sz w:val="20"/>
          <w:szCs w:val="20"/>
          <w:color w:val="auto"/>
        </w:rPr>
      </w:pPr>
    </w:p>
    <w:p>
      <w:pPr>
        <w:ind w:left="440"/>
        <w:spacing w:after="0"/>
        <w:tabs>
          <w:tab w:leader="none" w:pos="1280" w:val="left"/>
        </w:tabs>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President and Chief Executive Officer pursuant to Rule 13a-14(a) under the Securities Exchange Act of 1934.</w:t>
      </w:r>
    </w:p>
    <w:p>
      <w:pPr>
        <w:spacing w:after="0" w:line="333" w:lineRule="exact"/>
        <w:rPr>
          <w:sz w:val="20"/>
          <w:szCs w:val="20"/>
          <w:color w:val="auto"/>
        </w:rPr>
      </w:pPr>
    </w:p>
    <w:p>
      <w:pPr>
        <w:ind w:left="440"/>
        <w:spacing w:after="0"/>
        <w:tabs>
          <w:tab w:leader="none" w:pos="1280" w:val="left"/>
        </w:tabs>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Vice President - Finance and Chief Financial Officer pursuant to Rule 13a-14(a) under the Securities Exchange Act of 1934.</w:t>
      </w:r>
    </w:p>
    <w:p>
      <w:pPr>
        <w:spacing w:after="0" w:line="333" w:lineRule="exact"/>
        <w:rPr>
          <w:sz w:val="20"/>
          <w:szCs w:val="20"/>
          <w:color w:val="auto"/>
        </w:rPr>
      </w:pPr>
    </w:p>
    <w:p>
      <w:pPr>
        <w:ind w:left="460"/>
        <w:spacing w:after="0"/>
        <w:tabs>
          <w:tab w:leader="none" w:pos="1280" w:val="left"/>
        </w:tabs>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Certifications pursuant to Rule 13a-14(b) under the Securities Exchange Act of 1934 and 18 U.S.C. § 1350.</w:t>
      </w:r>
    </w:p>
    <w:p>
      <w:pPr>
        <w:spacing w:after="0" w:line="333" w:lineRule="exact"/>
        <w:rPr>
          <w:sz w:val="20"/>
          <w:szCs w:val="20"/>
          <w:color w:val="auto"/>
        </w:rPr>
      </w:pPr>
    </w:p>
    <w:p>
      <w:pPr>
        <w:ind w:left="1300" w:hanging="859"/>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XBRL (Extensible Business Reporting Language)</w:t>
      </w:r>
    </w:p>
    <w:p>
      <w:pPr>
        <w:spacing w:after="0" w:line="33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1020" w:type="dxa"/>
            <w:vAlign w:val="bottom"/>
          </w:tcPr>
          <w:p>
            <w:pPr>
              <w:spacing w:after="0"/>
              <w:rPr>
                <w:sz w:val="20"/>
                <w:szCs w:val="20"/>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8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360" w:lineRule="exact"/>
        <w:rPr>
          <w:sz w:val="20"/>
          <w:szCs w:val="20"/>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9" w:right="239" w:bottom="1440" w:gutter="0" w:footer="0" w:header="0"/>
        </w:sectPr>
      </w:pPr>
    </w:p>
    <w:bookmarkStart w:id="34" w:name="page35"/>
    <w:bookmarkEnd w:id="34"/>
    <w:p>
      <w:pPr>
        <w:spacing w:after="0"/>
        <w:rPr>
          <w:rFonts w:ascii="Times New Roman" w:cs="Times New Roman" w:eastAsia="Times New Roman" w:hAnsi="Times New Roman"/>
          <w:sz w:val="18"/>
          <w:szCs w:val="18"/>
          <w:i w:val="1"/>
          <w:iCs w:val="1"/>
          <w:u w:val="single" w:color="auto"/>
          <w:color w:val="0000EE"/>
        </w:rPr>
      </w:pPr>
      <w:hyperlink w:anchor="page2">
        <w:r>
          <w:rPr>
            <w:rFonts w:ascii="Times New Roman" w:cs="Times New Roman" w:eastAsia="Times New Roman" w:hAnsi="Times New Roman"/>
            <w:sz w:val="18"/>
            <w:szCs w:val="18"/>
            <w:i w:val="1"/>
            <w:iCs w:val="1"/>
            <w:u w:val="single" w:color="auto"/>
            <w:color w:val="0000EE"/>
          </w:rPr>
          <w:t>Index</w:t>
        </w:r>
      </w:hyperlink>
    </w:p>
    <w:p>
      <w:pPr>
        <w:spacing w:after="0" w:line="2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/s/JAMES F. WOODWARD</w:t>
      </w:r>
    </w:p>
    <w:p>
      <w:pPr>
        <w:spacing w:after="0" w:line="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James F. Woodward</w:t>
      </w:r>
    </w:p>
    <w:p>
      <w:pPr>
        <w:spacing w:after="0" w:line="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Senior Vice President – Finance and Chief Financial Officer</w:t>
      </w:r>
    </w:p>
    <w:p>
      <w:pPr>
        <w:spacing w:after="0" w:line="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00"/>
          </w:cols>
          <w:pgMar w:left="240" w:top="119" w:right="10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06"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F. Woodward,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06"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571"/>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F. WOODWARD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F. Woodward, Senior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62" w:lineRule="exact"/>
        <w:rPr>
          <w:sz w:val="20"/>
          <w:szCs w:val="20"/>
          <w:color w:val="auto"/>
        </w:rPr>
      </w:pPr>
    </w:p>
    <w:p>
      <w:pPr>
        <w:ind w:right="120" w:firstLine="656"/>
        <w:spacing w:after="0" w:line="282" w:lineRule="auto"/>
        <w:tabs>
          <w:tab w:leader="none" w:pos="1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months ended March 31, 2019 filed on the date hereof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 Company.</w:t>
      </w:r>
    </w:p>
    <w:p>
      <w:pPr>
        <w:spacing w:after="0" w:line="38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May 9, 2019</w:t>
      </w:r>
    </w:p>
    <w:p>
      <w:pPr>
        <w:spacing w:after="0" w:line="33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u w:val="single" w:color="auto"/>
          <w:color w:val="auto"/>
        </w:rPr>
        <w:t>/S/JAMES F. WOODWARD</w:t>
      </w:r>
    </w:p>
    <w:p>
      <w:pPr>
        <w:spacing w:after="0" w:line="6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James F. Woodward</w:t>
      </w:r>
    </w:p>
    <w:p>
      <w:pPr>
        <w:spacing w:after="0" w:line="6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Senior Vice President - Finance and</w:t>
      </w:r>
    </w:p>
    <w:p>
      <w:pPr>
        <w:spacing w:after="0" w:line="6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May 9, 2019</w:t>
      </w:r>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0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0" Type="http://schemas.openxmlformats.org/officeDocument/2006/relationships/hyperlink" Target="http://www.sec.gov/Archives/edgar/data/354963/000117184319001463/exh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2019-12-28T12:33:06Z</dcterms:created>
  <dcterms:modified xsi:type="dcterms:W3CDTF">2019-12-28T12:33:06Z</dcterms:modified>
</cp:coreProperties>
</file>