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143510</wp:posOffset>
            </wp:positionH>
            <wp:positionV relativeFrom="page">
              <wp:posOffset>212090</wp:posOffset>
            </wp:positionV>
            <wp:extent cx="727456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13970"/>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72745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 C. 20549</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6"/>
          <w:szCs w:val="26"/>
          <w:b w:val="1"/>
          <w:bCs w:val="1"/>
          <w:color w:val="auto"/>
        </w:rPr>
        <w:t>FORM 10-Q</w:t>
      </w:r>
    </w:p>
    <w:p>
      <w:pPr>
        <w:spacing w:after="0"/>
        <w:rPr>
          <w:sz w:val="20"/>
          <w:szCs w:val="20"/>
          <w:color w:val="auto"/>
        </w:rPr>
      </w:pPr>
      <w:r>
        <w:rPr>
          <w:rFonts w:ascii="Arial" w:cs="Arial" w:eastAsia="Arial" w:hAnsi="Arial"/>
          <w:sz w:val="14"/>
          <w:szCs w:val="14"/>
          <w:color w:val="auto"/>
        </w:rPr>
        <w:t>(Mark One)</w:t>
      </w:r>
    </w:p>
    <w:p>
      <w:pPr>
        <w:spacing w:after="0" w:line="129" w:lineRule="exact"/>
        <w:rPr>
          <w:sz w:val="24"/>
          <w:szCs w:val="24"/>
          <w:color w:val="auto"/>
        </w:rPr>
      </w:pPr>
    </w:p>
    <w:p>
      <w:pPr>
        <w:ind w:left="420" w:right="3940" w:hanging="392"/>
        <w:spacing w:after="0" w:line="461" w:lineRule="auto"/>
        <w:tabs>
          <w:tab w:leader="none" w:pos="48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September 30, 2019</w:t>
      </w:r>
    </w:p>
    <w:p>
      <w:pPr>
        <w:spacing w:after="0" w:line="28" w:lineRule="exact"/>
        <w:rPr>
          <w:sz w:val="24"/>
          <w:szCs w:val="24"/>
          <w:color w:val="auto"/>
        </w:rPr>
      </w:pPr>
    </w:p>
    <w:p>
      <w:pPr>
        <w:ind w:left="480" w:right="3920" w:hanging="452"/>
        <w:spacing w:after="0" w:line="385" w:lineRule="auto"/>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from__________ to __________</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2830195</wp:posOffset>
            </wp:positionH>
            <wp:positionV relativeFrom="paragraph">
              <wp:posOffset>13970</wp:posOffset>
            </wp:positionV>
            <wp:extent cx="1621790" cy="35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1790" cy="35560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SHENANDOAH TELECOMMUNICATIONS COMPANY</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25" w:lineRule="exact"/>
        <w:rPr>
          <w:sz w:val="24"/>
          <w:szCs w:val="24"/>
          <w:color w:val="auto"/>
        </w:rPr>
      </w:pPr>
    </w:p>
    <w:tbl>
      <w:tblPr>
        <w:tblLayout w:type="fixed"/>
        <w:tblInd w:w="780" w:type="dxa"/>
        <w:tblCellMar>
          <w:top w:w="0" w:type="dxa"/>
          <w:left w:w="0" w:type="dxa"/>
          <w:bottom w:w="0" w:type="dxa"/>
          <w:right w:w="0" w:type="dxa"/>
        </w:tblCellMar>
      </w:tblPr>
      <w:tr>
        <w:trPr>
          <w:trHeight w:val="197"/>
        </w:trPr>
        <w:tc>
          <w:tcPr>
            <w:tcW w:w="1580" w:type="dxa"/>
            <w:vAlign w:val="bottom"/>
          </w:tcPr>
          <w:p>
            <w:pPr>
              <w:spacing w:after="0"/>
              <w:rPr>
                <w:sz w:val="17"/>
                <w:szCs w:val="17"/>
                <w:color w:val="auto"/>
              </w:rPr>
            </w:pPr>
          </w:p>
        </w:tc>
        <w:tc>
          <w:tcPr>
            <w:tcW w:w="1820" w:type="dxa"/>
            <w:vAlign w:val="bottom"/>
          </w:tcPr>
          <w:p>
            <w:pPr>
              <w:ind w:left="160"/>
              <w:spacing w:after="0"/>
              <w:rPr>
                <w:sz w:val="20"/>
                <w:szCs w:val="20"/>
                <w:color w:val="auto"/>
              </w:rPr>
            </w:pPr>
            <w:r>
              <w:rPr>
                <w:rFonts w:ascii="Arial" w:cs="Arial" w:eastAsia="Arial" w:hAnsi="Arial"/>
                <w:sz w:val="14"/>
                <w:szCs w:val="14"/>
                <w:b w:val="1"/>
                <w:bCs w:val="1"/>
                <w:color w:val="auto"/>
              </w:rPr>
              <w:t>Virginia</w:t>
            </w:r>
          </w:p>
        </w:tc>
        <w:tc>
          <w:tcPr>
            <w:tcW w:w="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20" w:type="dxa"/>
            <w:vAlign w:val="bottom"/>
          </w:tcPr>
          <w:p>
            <w:pPr>
              <w:jc w:val="right"/>
              <w:ind w:right="2137"/>
              <w:spacing w:after="0"/>
              <w:rPr>
                <w:sz w:val="20"/>
                <w:szCs w:val="20"/>
                <w:color w:val="auto"/>
              </w:rPr>
            </w:pPr>
            <w:r>
              <w:rPr>
                <w:rFonts w:ascii="Arial" w:cs="Arial" w:eastAsia="Arial" w:hAnsi="Arial"/>
                <w:sz w:val="14"/>
                <w:szCs w:val="14"/>
                <w:b w:val="1"/>
                <w:bCs w:val="1"/>
                <w:color w:val="auto"/>
              </w:rPr>
              <w:t>54-1162807</w:t>
            </w:r>
          </w:p>
        </w:tc>
        <w:tc>
          <w:tcPr>
            <w:tcW w:w="0" w:type="dxa"/>
            <w:vAlign w:val="bottom"/>
          </w:tcPr>
          <w:p>
            <w:pPr>
              <w:spacing w:after="0"/>
              <w:rPr>
                <w:sz w:val="1"/>
                <w:szCs w:val="1"/>
                <w:color w:val="auto"/>
              </w:rPr>
            </w:pPr>
          </w:p>
        </w:tc>
      </w:tr>
      <w:tr>
        <w:trPr>
          <w:trHeight w:val="216"/>
        </w:trPr>
        <w:tc>
          <w:tcPr>
            <w:tcW w:w="5880" w:type="dxa"/>
            <w:vAlign w:val="bottom"/>
            <w:gridSpan w:val="4"/>
          </w:tcPr>
          <w:p>
            <w:pPr>
              <w:ind w:left="260"/>
              <w:spacing w:after="0"/>
              <w:rPr>
                <w:sz w:val="20"/>
                <w:szCs w:val="20"/>
                <w:color w:val="auto"/>
              </w:rPr>
            </w:pPr>
            <w:r>
              <w:rPr>
                <w:rFonts w:ascii="Arial" w:cs="Arial" w:eastAsia="Arial" w:hAnsi="Arial"/>
                <w:sz w:val="14"/>
                <w:szCs w:val="14"/>
                <w:color w:val="auto"/>
              </w:rPr>
              <w:t>(State or other jurisdiction of incorporation or organization)</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20" w:type="dxa"/>
            <w:vAlign w:val="bottom"/>
          </w:tcPr>
          <w:p>
            <w:pPr>
              <w:jc w:val="center"/>
              <w:ind w:right="1097"/>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357"/>
        </w:trPr>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80" w:type="dxa"/>
            <w:vAlign w:val="bottom"/>
            <w:gridSpan w:val="2"/>
          </w:tcPr>
          <w:p>
            <w:pPr>
              <w:ind w:left="240"/>
              <w:spacing w:after="0"/>
              <w:rPr>
                <w:sz w:val="20"/>
                <w:szCs w:val="20"/>
                <w:color w:val="auto"/>
              </w:rPr>
            </w:pPr>
            <w:r>
              <w:rPr>
                <w:rFonts w:ascii="Arial" w:cs="Arial" w:eastAsia="Arial" w:hAnsi="Arial"/>
                <w:sz w:val="14"/>
                <w:szCs w:val="14"/>
                <w:color w:val="auto"/>
                <w:w w:val="98"/>
              </w:rPr>
              <w:t>500 Shentel Way, Edinburg, Virginia</w:t>
            </w: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22824</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160" w:type="dxa"/>
            <w:vAlign w:val="bottom"/>
            <w:gridSpan w:val="4"/>
          </w:tcPr>
          <w:p>
            <w:pPr>
              <w:jc w:val="center"/>
              <w:ind w:right="60"/>
              <w:spacing w:after="0"/>
              <w:rPr>
                <w:sz w:val="20"/>
                <w:szCs w:val="20"/>
                <w:color w:val="auto"/>
              </w:rPr>
            </w:pPr>
            <w:r>
              <w:rPr>
                <w:rFonts w:ascii="Arial" w:cs="Arial" w:eastAsia="Arial" w:hAnsi="Arial"/>
                <w:sz w:val="14"/>
                <w:szCs w:val="14"/>
                <w:color w:val="auto"/>
                <w:w w:val="96"/>
              </w:rPr>
              <w:t>(Address of principal executive offices) (Zip Code)</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80" w:type="dxa"/>
            <w:vAlign w:val="bottom"/>
            <w:gridSpan w:val="2"/>
          </w:tcPr>
          <w:p>
            <w:pPr>
              <w:jc w:val="center"/>
              <w:ind w:left="548"/>
              <w:spacing w:after="0"/>
              <w:rPr>
                <w:sz w:val="20"/>
                <w:szCs w:val="20"/>
                <w:color w:val="auto"/>
              </w:rPr>
            </w:pPr>
            <w:r>
              <w:rPr>
                <w:rFonts w:ascii="Arial" w:cs="Arial" w:eastAsia="Arial" w:hAnsi="Arial"/>
                <w:sz w:val="14"/>
                <w:szCs w:val="14"/>
                <w:color w:val="auto"/>
                <w:w w:val="93"/>
              </w:rPr>
              <w:t>(540) 984-4141</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160" w:type="dxa"/>
            <w:vAlign w:val="bottom"/>
            <w:gridSpan w:val="4"/>
          </w:tcPr>
          <w:p>
            <w:pPr>
              <w:jc w:val="center"/>
              <w:ind w:right="60"/>
              <w:spacing w:after="0"/>
              <w:rPr>
                <w:sz w:val="20"/>
                <w:szCs w:val="20"/>
                <w:color w:val="auto"/>
              </w:rPr>
            </w:pPr>
            <w:r>
              <w:rPr>
                <w:rFonts w:ascii="Arial" w:cs="Arial" w:eastAsia="Arial" w:hAnsi="Arial"/>
                <w:sz w:val="14"/>
                <w:szCs w:val="14"/>
                <w:color w:val="auto"/>
                <w:w w:val="91"/>
              </w:rPr>
              <w:t>(Registrant's telephone number, including area code)</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1580" w:type="dxa"/>
            <w:vAlign w:val="bottom"/>
          </w:tcPr>
          <w:p>
            <w:pPr>
              <w:spacing w:after="0"/>
              <w:rPr>
                <w:sz w:val="9"/>
                <w:szCs w:val="9"/>
                <w:color w:val="auto"/>
              </w:rPr>
            </w:pPr>
          </w:p>
        </w:tc>
        <w:tc>
          <w:tcPr>
            <w:tcW w:w="2320" w:type="dxa"/>
            <w:vAlign w:val="bottom"/>
            <w:gridSpan w:val="2"/>
          </w:tcPr>
          <w:p>
            <w:pPr>
              <w:spacing w:after="0"/>
              <w:rPr>
                <w:sz w:val="9"/>
                <w:szCs w:val="9"/>
                <w:color w:val="auto"/>
              </w:rPr>
            </w:pPr>
          </w:p>
        </w:tc>
        <w:tc>
          <w:tcPr>
            <w:tcW w:w="2120" w:type="dxa"/>
            <w:vAlign w:val="bottom"/>
            <w:tcBorders>
              <w:bottom w:val="single" w:sz="8" w:color="auto"/>
            </w:tcBorders>
            <w:gridSpan w:val="2"/>
          </w:tcPr>
          <w:p>
            <w:pPr>
              <w:spacing w:after="0"/>
              <w:rPr>
                <w:sz w:val="9"/>
                <w:szCs w:val="9"/>
                <w:color w:val="auto"/>
              </w:rPr>
            </w:pPr>
          </w:p>
        </w:tc>
        <w:tc>
          <w:tcPr>
            <w:tcW w:w="44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580" w:type="dxa"/>
            <w:vAlign w:val="bottom"/>
          </w:tcPr>
          <w:p>
            <w:pPr>
              <w:spacing w:after="0"/>
              <w:rPr>
                <w:sz w:val="19"/>
                <w:szCs w:val="19"/>
                <w:color w:val="auto"/>
              </w:rPr>
            </w:pPr>
          </w:p>
        </w:tc>
        <w:tc>
          <w:tcPr>
            <w:tcW w:w="8900" w:type="dxa"/>
            <w:vAlign w:val="bottom"/>
            <w:gridSpan w:val="6"/>
          </w:tcPr>
          <w:p>
            <w:pPr>
              <w:jc w:val="center"/>
              <w:ind w:right="2077"/>
              <w:spacing w:after="0"/>
              <w:rPr>
                <w:sz w:val="20"/>
                <w:szCs w:val="20"/>
                <w:color w:val="auto"/>
              </w:rPr>
            </w:pPr>
            <w:r>
              <w:rPr>
                <w:rFonts w:ascii="Arial" w:cs="Arial" w:eastAsia="Arial" w:hAnsi="Arial"/>
                <w:sz w:val="11"/>
                <w:szCs w:val="11"/>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59"/>
        </w:trPr>
        <w:tc>
          <w:tcPr>
            <w:tcW w:w="1580" w:type="dxa"/>
            <w:vAlign w:val="bottom"/>
          </w:tcPr>
          <w:p>
            <w:pPr>
              <w:jc w:val="center"/>
              <w:ind w:right="98"/>
              <w:spacing w:after="0"/>
              <w:rPr>
                <w:sz w:val="20"/>
                <w:szCs w:val="20"/>
                <w:color w:val="auto"/>
              </w:rPr>
            </w:pPr>
            <w:r>
              <w:rPr>
                <w:rFonts w:ascii="Arial" w:cs="Arial" w:eastAsia="Arial" w:hAnsi="Arial"/>
                <w:sz w:val="11"/>
                <w:szCs w:val="11"/>
                <w:color w:val="auto"/>
                <w:w w:val="94"/>
              </w:rPr>
              <w:t>Common Stock (No Par Value)</w:t>
            </w:r>
          </w:p>
        </w:tc>
        <w:tc>
          <w:tcPr>
            <w:tcW w:w="1820" w:type="dxa"/>
            <w:vAlign w:val="bottom"/>
          </w:tcPr>
          <w:p>
            <w:pPr>
              <w:jc w:val="center"/>
              <w:ind w:left="819"/>
              <w:spacing w:after="0"/>
              <w:rPr>
                <w:sz w:val="20"/>
                <w:szCs w:val="20"/>
                <w:color w:val="auto"/>
              </w:rPr>
            </w:pPr>
            <w:r>
              <w:rPr>
                <w:rFonts w:ascii="Arial" w:cs="Arial" w:eastAsia="Arial" w:hAnsi="Arial"/>
                <w:sz w:val="11"/>
                <w:szCs w:val="11"/>
                <w:color w:val="auto"/>
                <w:w w:val="98"/>
              </w:rPr>
              <w:t>SHEN</w:t>
            </w:r>
          </w:p>
        </w:tc>
        <w:tc>
          <w:tcPr>
            <w:tcW w:w="500" w:type="dxa"/>
            <w:vAlign w:val="bottom"/>
          </w:tcPr>
          <w:p>
            <w:pPr>
              <w:spacing w:after="0"/>
              <w:rPr>
                <w:sz w:val="22"/>
                <w:szCs w:val="22"/>
                <w:color w:val="auto"/>
              </w:rPr>
            </w:pPr>
          </w:p>
        </w:tc>
        <w:tc>
          <w:tcPr>
            <w:tcW w:w="1980" w:type="dxa"/>
            <w:vAlign w:val="bottom"/>
          </w:tcPr>
          <w:p>
            <w:pPr>
              <w:jc w:val="center"/>
              <w:ind w:left="363"/>
              <w:spacing w:after="0"/>
              <w:rPr>
                <w:sz w:val="20"/>
                <w:szCs w:val="20"/>
                <w:color w:val="auto"/>
              </w:rPr>
            </w:pPr>
            <w:r>
              <w:rPr>
                <w:rFonts w:ascii="Arial" w:cs="Arial" w:eastAsia="Arial" w:hAnsi="Arial"/>
                <w:sz w:val="11"/>
                <w:szCs w:val="11"/>
                <w:color w:val="auto"/>
                <w:w w:val="97"/>
              </w:rPr>
              <w:t>NASDAQ Global Select Market</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920" w:type="dxa"/>
            <w:vAlign w:val="bottom"/>
          </w:tcPr>
          <w:p>
            <w:pPr>
              <w:jc w:val="right"/>
              <w:ind w:right="1597"/>
              <w:spacing w:after="0"/>
              <w:rPr>
                <w:sz w:val="20"/>
                <w:szCs w:val="20"/>
                <w:color w:val="auto"/>
              </w:rPr>
            </w:pPr>
            <w:r>
              <w:rPr>
                <w:rFonts w:ascii="Arial" w:cs="Arial" w:eastAsia="Arial" w:hAnsi="Arial"/>
                <w:sz w:val="11"/>
                <w:szCs w:val="11"/>
                <w:color w:val="auto"/>
              </w:rPr>
              <w:t>49,857,142</w:t>
            </w:r>
          </w:p>
        </w:tc>
        <w:tc>
          <w:tcPr>
            <w:tcW w:w="0" w:type="dxa"/>
            <w:vAlign w:val="bottom"/>
          </w:tcPr>
          <w:p>
            <w:pPr>
              <w:spacing w:after="0"/>
              <w:rPr>
                <w:sz w:val="1"/>
                <w:szCs w:val="1"/>
                <w:color w:val="auto"/>
              </w:rPr>
            </w:pPr>
          </w:p>
        </w:tc>
      </w:tr>
      <w:tr>
        <w:trPr>
          <w:trHeight w:val="134"/>
        </w:trPr>
        <w:tc>
          <w:tcPr>
            <w:tcW w:w="1580" w:type="dxa"/>
            <w:vAlign w:val="bottom"/>
            <w:vMerge w:val="restart"/>
          </w:tcPr>
          <w:p>
            <w:pPr>
              <w:jc w:val="center"/>
              <w:ind w:right="98"/>
              <w:spacing w:after="0"/>
              <w:rPr>
                <w:sz w:val="20"/>
                <w:szCs w:val="20"/>
                <w:color w:val="auto"/>
              </w:rPr>
            </w:pPr>
            <w:r>
              <w:rPr>
                <w:rFonts w:ascii="Arial" w:cs="Arial" w:eastAsia="Arial" w:hAnsi="Arial"/>
                <w:sz w:val="11"/>
                <w:szCs w:val="11"/>
                <w:color w:val="auto"/>
                <w:w w:val="98"/>
              </w:rPr>
              <w:t>(Title of Class)</w:t>
            </w:r>
          </w:p>
        </w:tc>
        <w:tc>
          <w:tcPr>
            <w:tcW w:w="1820" w:type="dxa"/>
            <w:vAlign w:val="bottom"/>
            <w:vMerge w:val="restart"/>
          </w:tcPr>
          <w:p>
            <w:pPr>
              <w:jc w:val="center"/>
              <w:ind w:left="819"/>
              <w:spacing w:after="0"/>
              <w:rPr>
                <w:sz w:val="20"/>
                <w:szCs w:val="20"/>
                <w:color w:val="auto"/>
              </w:rPr>
            </w:pPr>
            <w:r>
              <w:rPr>
                <w:rFonts w:ascii="Arial" w:cs="Arial" w:eastAsia="Arial" w:hAnsi="Arial"/>
                <w:sz w:val="11"/>
                <w:szCs w:val="11"/>
                <w:color w:val="auto"/>
                <w:w w:val="97"/>
              </w:rPr>
              <w:t>(Trading Symbol)</w:t>
            </w:r>
          </w:p>
        </w:tc>
        <w:tc>
          <w:tcPr>
            <w:tcW w:w="500" w:type="dxa"/>
            <w:vAlign w:val="bottom"/>
          </w:tcPr>
          <w:p>
            <w:pPr>
              <w:spacing w:after="0"/>
              <w:rPr>
                <w:sz w:val="11"/>
                <w:szCs w:val="11"/>
                <w:color w:val="auto"/>
              </w:rPr>
            </w:pPr>
          </w:p>
        </w:tc>
        <w:tc>
          <w:tcPr>
            <w:tcW w:w="2660" w:type="dxa"/>
            <w:vAlign w:val="bottom"/>
            <w:gridSpan w:val="3"/>
            <w:vMerge w:val="restart"/>
          </w:tcPr>
          <w:p>
            <w:pPr>
              <w:jc w:val="center"/>
              <w:ind w:right="260"/>
              <w:spacing w:after="0"/>
              <w:rPr>
                <w:sz w:val="20"/>
                <w:szCs w:val="20"/>
                <w:color w:val="auto"/>
              </w:rPr>
            </w:pPr>
            <w:r>
              <w:rPr>
                <w:rFonts w:ascii="Arial" w:cs="Arial" w:eastAsia="Arial" w:hAnsi="Arial"/>
                <w:sz w:val="11"/>
                <w:szCs w:val="11"/>
                <w:color w:val="auto"/>
                <w:w w:val="94"/>
              </w:rPr>
              <w:t>(Name of Exchange on which Registered)</w:t>
            </w:r>
          </w:p>
        </w:tc>
        <w:tc>
          <w:tcPr>
            <w:tcW w:w="3920" w:type="dxa"/>
            <w:vAlign w:val="bottom"/>
          </w:tcPr>
          <w:p>
            <w:pPr>
              <w:ind w:left="100"/>
              <w:spacing w:after="0"/>
              <w:rPr>
                <w:sz w:val="20"/>
                <w:szCs w:val="20"/>
                <w:color w:val="auto"/>
              </w:rPr>
            </w:pPr>
            <w:r>
              <w:rPr>
                <w:rFonts w:ascii="Arial" w:cs="Arial" w:eastAsia="Arial" w:hAnsi="Arial"/>
                <w:sz w:val="11"/>
                <w:szCs w:val="11"/>
                <w:color w:val="auto"/>
                <w:w w:val="93"/>
              </w:rPr>
              <w:t>(The number of shares of the registrant's common stock outstanding on October 25,</w:t>
            </w: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660" w:type="dxa"/>
            <w:vAlign w:val="bottom"/>
            <w:gridSpan w:val="3"/>
            <w:vMerge w:val="continue"/>
          </w:tcPr>
          <w:p>
            <w:pPr>
              <w:spacing w:after="0"/>
              <w:rPr>
                <w:sz w:val="7"/>
                <w:szCs w:val="7"/>
                <w:color w:val="auto"/>
              </w:rPr>
            </w:pPr>
          </w:p>
        </w:tc>
        <w:tc>
          <w:tcPr>
            <w:tcW w:w="3920" w:type="dxa"/>
            <w:vAlign w:val="bottom"/>
            <w:vMerge w:val="restart"/>
          </w:tcPr>
          <w:p>
            <w:pPr>
              <w:jc w:val="right"/>
              <w:ind w:right="1717"/>
              <w:spacing w:after="0"/>
              <w:rPr>
                <w:sz w:val="20"/>
                <w:szCs w:val="20"/>
                <w:color w:val="auto"/>
              </w:rPr>
            </w:pPr>
            <w:r>
              <w:rPr>
                <w:rFonts w:ascii="Arial" w:cs="Arial" w:eastAsia="Arial" w:hAnsi="Arial"/>
                <w:sz w:val="11"/>
                <w:szCs w:val="11"/>
                <w:color w:val="auto"/>
              </w:rPr>
              <w:t>2019)</w:t>
            </w:r>
          </w:p>
        </w:tc>
        <w:tc>
          <w:tcPr>
            <w:tcW w:w="0" w:type="dxa"/>
            <w:vAlign w:val="bottom"/>
          </w:tcPr>
          <w:p>
            <w:pPr>
              <w:spacing w:after="0"/>
              <w:rPr>
                <w:sz w:val="1"/>
                <w:szCs w:val="1"/>
                <w:color w:val="auto"/>
              </w:rPr>
            </w:pPr>
          </w:p>
        </w:tc>
      </w:tr>
      <w:tr>
        <w:trPr>
          <w:trHeight w:val="65"/>
        </w:trPr>
        <w:tc>
          <w:tcPr>
            <w:tcW w:w="1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274560"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13970"/>
                    </a:xfrm>
                    <a:prstGeom prst="rect">
                      <a:avLst/>
                    </a:prstGeom>
                    <a:noFill/>
                  </pic:spPr>
                </pic:pic>
              </a:graphicData>
            </a:graphic>
          </wp:anchor>
        </w:drawing>
      </w:r>
    </w:p>
    <w:p>
      <w:pPr>
        <w:spacing w:after="0" w:line="205" w:lineRule="exact"/>
        <w:rPr>
          <w:sz w:val="24"/>
          <w:szCs w:val="24"/>
          <w:color w:val="auto"/>
        </w:rPr>
      </w:pPr>
    </w:p>
    <w:p>
      <w:pPr>
        <w:ind w:right="4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7" w:lineRule="exact"/>
        <w:rPr>
          <w:sz w:val="24"/>
          <w:szCs w:val="24"/>
          <w:color w:val="auto"/>
        </w:rPr>
      </w:pPr>
    </w:p>
    <w:p>
      <w:pPr>
        <w:ind w:right="20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7" w:lineRule="exact"/>
        <w:rPr>
          <w:sz w:val="24"/>
          <w:szCs w:val="24"/>
          <w:color w:val="auto"/>
        </w:rPr>
      </w:pPr>
    </w:p>
    <w:p>
      <w:pPr>
        <w:spacing w:after="0" w:line="28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20"/>
        <w:spacing w:after="0" w:line="141" w:lineRule="exact"/>
        <w:tabs>
          <w:tab w:leader="none" w:pos="1580" w:val="left"/>
          <w:tab w:leader="none" w:pos="2000" w:val="left"/>
          <w:tab w:leader="none" w:pos="3260" w:val="left"/>
          <w:tab w:leader="none" w:pos="3680" w:val="left"/>
          <w:tab w:leader="none" w:pos="5260" w:val="left"/>
          <w:tab w:leader="none" w:pos="5680" w:val="left"/>
          <w:tab w:leader="none" w:pos="7680" w:val="left"/>
          <w:tab w:leader="none" w:pos="8100" w:val="left"/>
          <w:tab w:leader="none" w:pos="10080" w:val="left"/>
        </w:tabs>
        <w:rPr>
          <w:sz w:val="20"/>
          <w:szCs w:val="20"/>
          <w:color w:val="auto"/>
        </w:rPr>
      </w:pPr>
      <w:r>
        <w:rPr>
          <w:rFonts w:ascii="Arial" w:cs="Arial" w:eastAsia="Arial" w:hAnsi="Arial"/>
          <w:sz w:val="11"/>
          <w:szCs w:val="11"/>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85" w:lineRule="exact"/>
        <w:rPr>
          <w:sz w:val="24"/>
          <w:szCs w:val="24"/>
          <w:color w:val="auto"/>
        </w:rPr>
      </w:pPr>
    </w:p>
    <w:p>
      <w:pPr>
        <w:ind w:right="12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8" w:lineRule="exact"/>
        <w:rPr>
          <w:sz w:val="24"/>
          <w:szCs w:val="24"/>
          <w:color w:val="auto"/>
        </w:rPr>
      </w:pPr>
    </w:p>
    <w:p>
      <w:pPr>
        <w:spacing w:after="0" w:line="161" w:lineRule="exact"/>
        <w:tabs>
          <w:tab w:leader="none" w:pos="5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72745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456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187960</wp:posOffset>
            </wp:positionV>
            <wp:extent cx="72745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ectPr>
          <w:pgSz w:w="11900" w:h="16838" w:orient="portrait"/>
          <w:cols w:equalWidth="0" w:num="1">
            <w:col w:w="11340"/>
          </w:cols>
          <w:pgMar w:left="220" w:top="4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20" w:type="dxa"/>
            <w:vAlign w:val="bottom"/>
            <w:gridSpan w:val="8"/>
          </w:tcPr>
          <w:p>
            <w:pPr>
              <w:jc w:val="center"/>
              <w:ind w:right="1380"/>
              <w:spacing w:after="0"/>
              <w:rPr>
                <w:sz w:val="20"/>
                <w:szCs w:val="20"/>
                <w:color w:val="auto"/>
              </w:rPr>
            </w:pPr>
            <w:r>
              <w:rPr>
                <w:rFonts w:ascii="Arial" w:cs="Arial" w:eastAsia="Arial" w:hAnsi="Arial"/>
                <w:sz w:val="14"/>
                <w:szCs w:val="14"/>
                <w:color w:val="auto"/>
              </w:rPr>
              <w:t>SHENANDOAH TELECOMMUNICATIONS COMPANY</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2"/>
        </w:trPr>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60" w:type="dxa"/>
            <w:vAlign w:val="bottom"/>
            <w:gridSpan w:val="3"/>
          </w:tcPr>
          <w:p>
            <w:pPr>
              <w:jc w:val="center"/>
              <w:ind w:right="2540"/>
              <w:spacing w:after="0"/>
              <w:rPr>
                <w:sz w:val="20"/>
                <w:szCs w:val="20"/>
                <w:color w:val="auto"/>
              </w:rPr>
            </w:pPr>
            <w:r>
              <w:rPr>
                <w:rFonts w:ascii="Arial" w:cs="Arial" w:eastAsia="Arial" w:hAnsi="Arial"/>
                <w:sz w:val="14"/>
                <w:szCs w:val="14"/>
                <w:color w:val="auto"/>
              </w:rPr>
              <w:t>INDEX</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465"/>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20" w:type="dxa"/>
            <w:vAlign w:val="bottom"/>
            <w:gridSpan w:val="3"/>
          </w:tcPr>
          <w:p>
            <w:pPr>
              <w:jc w:val="center"/>
              <w:ind w:left="1528"/>
              <w:spacing w:after="0"/>
              <w:rPr>
                <w:sz w:val="20"/>
                <w:szCs w:val="20"/>
                <w:color w:val="auto"/>
              </w:rPr>
            </w:pPr>
            <w:r>
              <w:rPr>
                <w:rFonts w:ascii="Arial" w:cs="Arial" w:eastAsia="Arial" w:hAnsi="Arial"/>
                <w:sz w:val="14"/>
                <w:szCs w:val="14"/>
                <w:color w:val="auto"/>
                <w:w w:val="85"/>
              </w:rPr>
              <w:t>Page</w:t>
            </w:r>
          </w:p>
        </w:tc>
      </w:tr>
      <w:tr>
        <w:trPr>
          <w:trHeight w:val="182"/>
        </w:trPr>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120" w:type="dxa"/>
            <w:vAlign w:val="bottom"/>
            <w:gridSpan w:val="3"/>
          </w:tcPr>
          <w:p>
            <w:pPr>
              <w:jc w:val="center"/>
              <w:ind w:left="1528"/>
              <w:spacing w:after="0"/>
              <w:rPr>
                <w:sz w:val="20"/>
                <w:szCs w:val="20"/>
                <w:color w:val="auto"/>
              </w:rPr>
            </w:pPr>
            <w:r>
              <w:rPr>
                <w:rFonts w:ascii="Arial" w:cs="Arial" w:eastAsia="Arial" w:hAnsi="Arial"/>
                <w:sz w:val="14"/>
                <w:szCs w:val="14"/>
                <w:color w:val="auto"/>
                <w:w w:val="91"/>
              </w:rPr>
              <w:t>Numbers</w:t>
            </w:r>
          </w:p>
        </w:tc>
      </w:tr>
      <w:tr>
        <w:trPr>
          <w:trHeight w:val="216"/>
        </w:trPr>
        <w:tc>
          <w:tcPr>
            <w:tcW w:w="820" w:type="dxa"/>
            <w:vAlign w:val="bottom"/>
          </w:tcPr>
          <w:p>
            <w:pPr>
              <w:spacing w:after="0"/>
              <w:rPr>
                <w:sz w:val="20"/>
                <w:szCs w:val="20"/>
                <w:color w:val="auto"/>
              </w:rPr>
            </w:pPr>
            <w:r>
              <w:rPr>
                <w:rFonts w:ascii="Arial" w:cs="Arial" w:eastAsia="Arial" w:hAnsi="Arial"/>
                <w:sz w:val="14"/>
                <w:szCs w:val="14"/>
                <w:color w:val="auto"/>
              </w:rPr>
              <w:t>PART I.</w:t>
            </w:r>
          </w:p>
        </w:tc>
        <w:tc>
          <w:tcPr>
            <w:tcW w:w="8200" w:type="dxa"/>
            <w:vAlign w:val="bottom"/>
            <w:gridSpan w:val="13"/>
          </w:tcPr>
          <w:p>
            <w:pPr>
              <w:spacing w:after="0"/>
              <w:rPr>
                <w:sz w:val="20"/>
                <w:szCs w:val="20"/>
                <w:color w:val="auto"/>
              </w:rPr>
            </w:pPr>
            <w:r>
              <w:rPr>
                <w:rFonts w:ascii="Arial" w:cs="Arial" w:eastAsia="Arial" w:hAnsi="Arial"/>
                <w:sz w:val="14"/>
                <w:szCs w:val="14"/>
                <w:color w:val="auto"/>
              </w:rPr>
              <w:t>FINANCIAL INFORMATION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31"/>
        </w:trPr>
        <w:tc>
          <w:tcPr>
            <w:tcW w:w="820" w:type="dxa"/>
            <w:vAlign w:val="bottom"/>
          </w:tcPr>
          <w:p>
            <w:pPr>
              <w:spacing w:after="0"/>
              <w:rPr>
                <w:sz w:val="20"/>
                <w:szCs w:val="20"/>
                <w:color w:val="auto"/>
              </w:rPr>
            </w:pPr>
            <w:r>
              <w:rPr>
                <w:rFonts w:ascii="Arial" w:cs="Arial" w:eastAsia="Arial" w:hAnsi="Arial"/>
                <w:sz w:val="14"/>
                <w:szCs w:val="14"/>
                <w:color w:val="auto"/>
              </w:rPr>
              <w:t>Item 1.</w:t>
            </w:r>
          </w:p>
        </w:tc>
        <w:tc>
          <w:tcPr>
            <w:tcW w:w="8200" w:type="dxa"/>
            <w:vAlign w:val="bottom"/>
            <w:gridSpan w:val="13"/>
          </w:tcPr>
          <w:p>
            <w:pPr>
              <w:spacing w:after="0"/>
              <w:rPr>
                <w:sz w:val="20"/>
                <w:szCs w:val="20"/>
                <w:color w:val="auto"/>
              </w:rPr>
            </w:pPr>
            <w:r>
              <w:rPr>
                <w:rFonts w:ascii="Arial" w:cs="Arial" w:eastAsia="Arial" w:hAnsi="Arial"/>
                <w:sz w:val="14"/>
                <w:szCs w:val="14"/>
                <w:color w:val="auto"/>
              </w:rPr>
              <w:t>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00"/>
        </w:trPr>
        <w:tc>
          <w:tcPr>
            <w:tcW w:w="820" w:type="dxa"/>
            <w:vAlign w:val="bottom"/>
          </w:tcPr>
          <w:p>
            <w:pPr>
              <w:spacing w:after="0"/>
              <w:rPr>
                <w:sz w:val="24"/>
                <w:szCs w:val="24"/>
                <w:color w:val="auto"/>
              </w:rPr>
            </w:pPr>
          </w:p>
        </w:tc>
        <w:tc>
          <w:tcPr>
            <w:tcW w:w="2980" w:type="dxa"/>
            <w:vAlign w:val="bottom"/>
            <w:tcBorders>
              <w:bottom w:val="single" w:sz="8" w:color="0000EE"/>
            </w:tcBorders>
            <w:gridSpan w:val="5"/>
          </w:tcPr>
          <w:p>
            <w:pPr>
              <w:spacing w:after="0"/>
              <w:rPr>
                <w:rFonts w:ascii="Arial" w:cs="Arial" w:eastAsia="Arial" w:hAnsi="Arial"/>
                <w:sz w:val="14"/>
                <w:szCs w:val="14"/>
                <w:color w:val="0000EE"/>
                <w:w w:val="90"/>
              </w:rPr>
            </w:pPr>
            <w:hyperlink w:anchor="page3">
              <w:r>
                <w:rPr>
                  <w:rFonts w:ascii="Arial" w:cs="Arial" w:eastAsia="Arial" w:hAnsi="Arial"/>
                  <w:sz w:val="14"/>
                  <w:szCs w:val="14"/>
                  <w:color w:val="0000EE"/>
                  <w:w w:val="90"/>
                </w:rPr>
                <w:t>Unaudited Condensed Consolidated Balance Sheets</w:t>
              </w:r>
            </w:hyperlink>
          </w:p>
        </w:tc>
        <w:tc>
          <w:tcPr>
            <w:tcW w:w="5220" w:type="dxa"/>
            <w:vAlign w:val="bottom"/>
            <w:gridSpan w:val="8"/>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4"/>
                <w:szCs w:val="14"/>
                <w:color w:val="0000EE"/>
              </w:rPr>
            </w:pPr>
            <w:hyperlink w:anchor="page3">
              <w:r>
                <w:rPr>
                  <w:rFonts w:ascii="Arial" w:cs="Arial" w:eastAsia="Arial" w:hAnsi="Arial"/>
                  <w:sz w:val="14"/>
                  <w:szCs w:val="14"/>
                  <w:color w:val="0000EE"/>
                </w:rPr>
                <w:t>3</w:t>
              </w:r>
            </w:hyperlink>
          </w:p>
        </w:tc>
        <w:tc>
          <w:tcPr>
            <w:tcW w:w="200" w:type="dxa"/>
            <w:vAlign w:val="bottom"/>
          </w:tcPr>
          <w:p>
            <w:pPr>
              <w:spacing w:after="0"/>
              <w:rPr>
                <w:sz w:val="24"/>
                <w:szCs w:val="24"/>
                <w:color w:val="auto"/>
              </w:rPr>
            </w:pPr>
          </w:p>
        </w:tc>
      </w:tr>
      <w:tr>
        <w:trPr>
          <w:trHeight w:val="411"/>
        </w:trPr>
        <w:tc>
          <w:tcPr>
            <w:tcW w:w="820" w:type="dxa"/>
            <w:vAlign w:val="bottom"/>
          </w:tcPr>
          <w:p>
            <w:pPr>
              <w:spacing w:after="0"/>
              <w:rPr>
                <w:sz w:val="24"/>
                <w:szCs w:val="24"/>
                <w:color w:val="auto"/>
              </w:rPr>
            </w:pPr>
          </w:p>
        </w:tc>
        <w:tc>
          <w:tcPr>
            <w:tcW w:w="5200" w:type="dxa"/>
            <w:vAlign w:val="bottom"/>
            <w:tcBorders>
              <w:bottom w:val="single" w:sz="8" w:color="0000EE"/>
            </w:tcBorders>
            <w:gridSpan w:val="12"/>
          </w:tcPr>
          <w:p>
            <w:pPr>
              <w:spacing w:after="0"/>
              <w:rPr>
                <w:rFonts w:ascii="Arial" w:cs="Arial" w:eastAsia="Arial" w:hAnsi="Arial"/>
                <w:sz w:val="14"/>
                <w:szCs w:val="14"/>
                <w:color w:val="0000EE"/>
                <w:w w:val="91"/>
              </w:rPr>
            </w:pPr>
            <w:hyperlink w:anchor="page4">
              <w:r>
                <w:rPr>
                  <w:rFonts w:ascii="Arial" w:cs="Arial" w:eastAsia="Arial" w:hAnsi="Arial"/>
                  <w:sz w:val="14"/>
                  <w:szCs w:val="14"/>
                  <w:color w:val="0000EE"/>
                  <w:w w:val="91"/>
                </w:rPr>
                <w:t>Unaudited Condensed Consolidated Statements of Operations and Comprehensive Income</w:t>
              </w:r>
            </w:hyperlink>
          </w:p>
        </w:tc>
        <w:tc>
          <w:tcPr>
            <w:tcW w:w="3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4"/>
                <w:szCs w:val="14"/>
                <w:color w:val="0000EE"/>
              </w:rPr>
            </w:pPr>
            <w:hyperlink w:anchor="page4">
              <w:r>
                <w:rPr>
                  <w:rFonts w:ascii="Arial" w:cs="Arial" w:eastAsia="Arial" w:hAnsi="Arial"/>
                  <w:sz w:val="14"/>
                  <w:szCs w:val="14"/>
                  <w:color w:val="0000EE"/>
                </w:rPr>
                <w:t>4</w:t>
              </w:r>
            </w:hyperlink>
          </w:p>
        </w:tc>
        <w:tc>
          <w:tcPr>
            <w:tcW w:w="200" w:type="dxa"/>
            <w:vAlign w:val="bottom"/>
          </w:tcPr>
          <w:p>
            <w:pPr>
              <w:spacing w:after="0"/>
              <w:rPr>
                <w:sz w:val="24"/>
                <w:szCs w:val="24"/>
                <w:color w:val="auto"/>
              </w:rPr>
            </w:pPr>
          </w:p>
        </w:tc>
      </w:tr>
      <w:tr>
        <w:trPr>
          <w:trHeight w:val="411"/>
        </w:trPr>
        <w:tc>
          <w:tcPr>
            <w:tcW w:w="820" w:type="dxa"/>
            <w:vAlign w:val="bottom"/>
          </w:tcPr>
          <w:p>
            <w:pPr>
              <w:spacing w:after="0"/>
              <w:rPr>
                <w:sz w:val="24"/>
                <w:szCs w:val="24"/>
                <w:color w:val="auto"/>
              </w:rPr>
            </w:pPr>
          </w:p>
        </w:tc>
        <w:tc>
          <w:tcPr>
            <w:tcW w:w="4140" w:type="dxa"/>
            <w:vAlign w:val="bottom"/>
            <w:tcBorders>
              <w:bottom w:val="single" w:sz="8" w:color="0000EE"/>
            </w:tcBorders>
            <w:gridSpan w:val="10"/>
          </w:tcPr>
          <w:p>
            <w:pPr>
              <w:spacing w:after="0"/>
              <w:rPr>
                <w:rFonts w:ascii="Arial" w:cs="Arial" w:eastAsia="Arial" w:hAnsi="Arial"/>
                <w:sz w:val="14"/>
                <w:szCs w:val="14"/>
                <w:color w:val="0000EE"/>
                <w:w w:val="91"/>
              </w:rPr>
            </w:pPr>
            <w:hyperlink w:anchor="page5">
              <w:r>
                <w:rPr>
                  <w:rFonts w:ascii="Arial" w:cs="Arial" w:eastAsia="Arial" w:hAnsi="Arial"/>
                  <w:sz w:val="14"/>
                  <w:szCs w:val="14"/>
                  <w:color w:val="0000EE"/>
                  <w:w w:val="91"/>
                </w:rPr>
                <w:t>Unaudited Condensed Consolidated Statements of Shareholders’ Equity</w:t>
              </w:r>
            </w:hyperlink>
          </w:p>
        </w:tc>
        <w:tc>
          <w:tcPr>
            <w:tcW w:w="406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200" w:type="dxa"/>
            <w:vAlign w:val="bottom"/>
          </w:tcPr>
          <w:p>
            <w:pPr>
              <w:spacing w:after="0"/>
              <w:rPr>
                <w:sz w:val="24"/>
                <w:szCs w:val="24"/>
                <w:color w:val="auto"/>
              </w:rPr>
            </w:pPr>
          </w:p>
        </w:tc>
      </w:tr>
      <w:tr>
        <w:trPr>
          <w:trHeight w:val="411"/>
        </w:trPr>
        <w:tc>
          <w:tcPr>
            <w:tcW w:w="820" w:type="dxa"/>
            <w:vAlign w:val="bottom"/>
          </w:tcPr>
          <w:p>
            <w:pPr>
              <w:spacing w:after="0"/>
              <w:rPr>
                <w:sz w:val="24"/>
                <w:szCs w:val="24"/>
                <w:color w:val="auto"/>
              </w:rPr>
            </w:pPr>
          </w:p>
        </w:tc>
        <w:tc>
          <w:tcPr>
            <w:tcW w:w="3600" w:type="dxa"/>
            <w:vAlign w:val="bottom"/>
            <w:tcBorders>
              <w:bottom w:val="single" w:sz="8" w:color="0000EE"/>
            </w:tcBorders>
            <w:gridSpan w:val="8"/>
          </w:tcPr>
          <w:p>
            <w:pPr>
              <w:spacing w:after="0"/>
              <w:rPr>
                <w:rFonts w:ascii="Arial" w:cs="Arial" w:eastAsia="Arial" w:hAnsi="Arial"/>
                <w:sz w:val="14"/>
                <w:szCs w:val="14"/>
                <w:color w:val="0000EE"/>
                <w:w w:val="91"/>
              </w:rPr>
            </w:pPr>
            <w:hyperlink w:anchor="page6">
              <w:r>
                <w:rPr>
                  <w:rFonts w:ascii="Arial" w:cs="Arial" w:eastAsia="Arial" w:hAnsi="Arial"/>
                  <w:sz w:val="14"/>
                  <w:szCs w:val="14"/>
                  <w:color w:val="0000EE"/>
                  <w:w w:val="91"/>
                </w:rPr>
                <w:t>Unaudited Condensed Consolidated Statements of Cash Flows</w:t>
              </w:r>
            </w:hyperlink>
          </w:p>
        </w:tc>
        <w:tc>
          <w:tcPr>
            <w:tcW w:w="4600" w:type="dxa"/>
            <w:vAlign w:val="bottom"/>
            <w:gridSpan w:val="5"/>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200" w:type="dxa"/>
            <w:vAlign w:val="bottom"/>
          </w:tcPr>
          <w:p>
            <w:pPr>
              <w:spacing w:after="0"/>
              <w:rPr>
                <w:sz w:val="24"/>
                <w:szCs w:val="24"/>
                <w:color w:val="auto"/>
              </w:rPr>
            </w:pPr>
          </w:p>
        </w:tc>
      </w:tr>
      <w:tr>
        <w:trPr>
          <w:trHeight w:val="411"/>
        </w:trPr>
        <w:tc>
          <w:tcPr>
            <w:tcW w:w="820" w:type="dxa"/>
            <w:vAlign w:val="bottom"/>
          </w:tcPr>
          <w:p>
            <w:pPr>
              <w:spacing w:after="0"/>
              <w:rPr>
                <w:sz w:val="24"/>
                <w:szCs w:val="24"/>
                <w:color w:val="auto"/>
              </w:rPr>
            </w:pPr>
          </w:p>
        </w:tc>
        <w:tc>
          <w:tcPr>
            <w:tcW w:w="3820" w:type="dxa"/>
            <w:vAlign w:val="bottom"/>
            <w:tcBorders>
              <w:bottom w:val="single" w:sz="8" w:color="0000EE"/>
            </w:tcBorders>
            <w:gridSpan w:val="9"/>
          </w:tcPr>
          <w:p>
            <w:pPr>
              <w:spacing w:after="0"/>
              <w:rPr>
                <w:rFonts w:ascii="Arial" w:cs="Arial" w:eastAsia="Arial" w:hAnsi="Arial"/>
                <w:sz w:val="14"/>
                <w:szCs w:val="14"/>
                <w:color w:val="0000EE"/>
                <w:w w:val="91"/>
              </w:rPr>
            </w:pPr>
            <w:hyperlink w:anchor="page7">
              <w:r>
                <w:rPr>
                  <w:rFonts w:ascii="Arial" w:cs="Arial" w:eastAsia="Arial" w:hAnsi="Arial"/>
                  <w:sz w:val="14"/>
                  <w:szCs w:val="14"/>
                  <w:color w:val="0000EE"/>
                  <w:w w:val="91"/>
                </w:rPr>
                <w:t>Notes to Unaudited Condensed Consolidated Financial Statements</w:t>
              </w:r>
            </w:hyperlink>
          </w:p>
        </w:tc>
        <w:tc>
          <w:tcPr>
            <w:tcW w:w="4380" w:type="dxa"/>
            <w:vAlign w:val="bottom"/>
            <w:gridSpan w:val="4"/>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c>
          <w:tcPr>
            <w:tcW w:w="200" w:type="dxa"/>
            <w:vAlign w:val="bottom"/>
          </w:tcPr>
          <w:p>
            <w:pPr>
              <w:spacing w:after="0"/>
              <w:rPr>
                <w:sz w:val="24"/>
                <w:szCs w:val="24"/>
                <w:color w:val="auto"/>
              </w:rPr>
            </w:pPr>
          </w:p>
        </w:tc>
      </w:tr>
      <w:tr>
        <w:trPr>
          <w:trHeight w:val="411"/>
        </w:trPr>
        <w:tc>
          <w:tcPr>
            <w:tcW w:w="820" w:type="dxa"/>
            <w:vAlign w:val="bottom"/>
          </w:tcPr>
          <w:p>
            <w:pPr>
              <w:spacing w:after="0"/>
              <w:rPr>
                <w:sz w:val="20"/>
                <w:szCs w:val="20"/>
                <w:color w:val="auto"/>
              </w:rPr>
            </w:pPr>
            <w:r>
              <w:rPr>
                <w:rFonts w:ascii="Arial" w:cs="Arial" w:eastAsia="Arial" w:hAnsi="Arial"/>
                <w:sz w:val="14"/>
                <w:szCs w:val="14"/>
                <w:color w:val="auto"/>
              </w:rPr>
              <w:t>Item 2.</w:t>
            </w:r>
          </w:p>
        </w:tc>
        <w:tc>
          <w:tcPr>
            <w:tcW w:w="5160" w:type="dxa"/>
            <w:vAlign w:val="bottom"/>
            <w:gridSpan w:val="11"/>
          </w:tcPr>
          <w:p>
            <w:pPr>
              <w:spacing w:after="0"/>
              <w:rPr>
                <w:rFonts w:ascii="Arial" w:cs="Arial" w:eastAsia="Arial" w:hAnsi="Arial"/>
                <w:sz w:val="14"/>
                <w:szCs w:val="14"/>
                <w:color w:val="0000EE"/>
                <w:w w:val="93"/>
              </w:rPr>
            </w:pPr>
            <w:hyperlink w:anchor="page20">
              <w:r>
                <w:rPr>
                  <w:rFonts w:ascii="Arial" w:cs="Arial" w:eastAsia="Arial" w:hAnsi="Arial"/>
                  <w:sz w:val="14"/>
                  <w:szCs w:val="14"/>
                  <w:color w:val="0000EE"/>
                  <w:w w:val="93"/>
                </w:rPr>
                <w:t>Management’s Discussion and Analysis of Financial Condition and Results of Operations</w:t>
              </w:r>
            </w:hyperlink>
          </w:p>
        </w:tc>
        <w:tc>
          <w:tcPr>
            <w:tcW w:w="304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gridSpan w:val="2"/>
          </w:tcPr>
          <w:p>
            <w:pPr>
              <w:jc w:val="center"/>
              <w:ind w:right="200"/>
              <w:spacing w:after="0"/>
              <w:rPr>
                <w:rFonts w:ascii="Arial" w:cs="Arial" w:eastAsia="Arial" w:hAnsi="Arial"/>
                <w:sz w:val="12"/>
                <w:szCs w:val="12"/>
                <w:color w:val="0000EE"/>
                <w:w w:val="74"/>
              </w:rPr>
            </w:pPr>
            <w:hyperlink w:anchor="page20">
              <w:r>
                <w:rPr>
                  <w:rFonts w:ascii="Arial" w:cs="Arial" w:eastAsia="Arial" w:hAnsi="Arial"/>
                  <w:sz w:val="12"/>
                  <w:szCs w:val="12"/>
                  <w:color w:val="0000EE"/>
                  <w:w w:val="74"/>
                </w:rPr>
                <w:t>20</w:t>
              </w:r>
            </w:hyperlink>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1"/>
        </w:trPr>
        <w:tc>
          <w:tcPr>
            <w:tcW w:w="820" w:type="dxa"/>
            <w:vAlign w:val="bottom"/>
          </w:tcPr>
          <w:p>
            <w:pPr>
              <w:spacing w:after="0"/>
              <w:rPr>
                <w:sz w:val="20"/>
                <w:szCs w:val="20"/>
                <w:color w:val="auto"/>
              </w:rPr>
            </w:pPr>
            <w:r>
              <w:rPr>
                <w:rFonts w:ascii="Arial" w:cs="Arial" w:eastAsia="Arial" w:hAnsi="Arial"/>
                <w:sz w:val="14"/>
                <w:szCs w:val="14"/>
                <w:color w:val="auto"/>
              </w:rPr>
              <w:t>Item 3.</w:t>
            </w:r>
          </w:p>
        </w:tc>
        <w:tc>
          <w:tcPr>
            <w:tcW w:w="3440" w:type="dxa"/>
            <w:vAlign w:val="bottom"/>
            <w:gridSpan w:val="6"/>
          </w:tcPr>
          <w:p>
            <w:pPr>
              <w:spacing w:after="0"/>
              <w:rPr>
                <w:rFonts w:ascii="Arial" w:cs="Arial" w:eastAsia="Arial" w:hAnsi="Arial"/>
                <w:sz w:val="14"/>
                <w:szCs w:val="14"/>
                <w:color w:val="0000EE"/>
                <w:w w:val="93"/>
              </w:rPr>
            </w:pPr>
            <w:hyperlink w:anchor="page35">
              <w:r>
                <w:rPr>
                  <w:rFonts w:ascii="Arial" w:cs="Arial" w:eastAsia="Arial" w:hAnsi="Arial"/>
                  <w:sz w:val="14"/>
                  <w:szCs w:val="14"/>
                  <w:color w:val="0000EE"/>
                  <w:w w:val="93"/>
                </w:rPr>
                <w:t>Quantitative and Qualitative Disclosures about Market Risk</w:t>
              </w:r>
            </w:hyperlink>
          </w:p>
        </w:tc>
        <w:tc>
          <w:tcPr>
            <w:tcW w:w="1720" w:type="dxa"/>
            <w:vAlign w:val="bottom"/>
            <w:gridSpan w:val="5"/>
          </w:tcPr>
          <w:p>
            <w:pPr>
              <w:spacing w:after="0"/>
              <w:rPr>
                <w:sz w:val="24"/>
                <w:szCs w:val="24"/>
                <w:color w:val="auto"/>
              </w:rPr>
            </w:pPr>
          </w:p>
        </w:tc>
        <w:tc>
          <w:tcPr>
            <w:tcW w:w="304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gridSpan w:val="2"/>
          </w:tcPr>
          <w:p>
            <w:pPr>
              <w:jc w:val="center"/>
              <w:ind w:right="200"/>
              <w:spacing w:after="0"/>
              <w:rPr>
                <w:rFonts w:ascii="Arial" w:cs="Arial" w:eastAsia="Arial" w:hAnsi="Arial"/>
                <w:sz w:val="12"/>
                <w:szCs w:val="12"/>
                <w:color w:val="0000EE"/>
                <w:w w:val="74"/>
              </w:rPr>
            </w:pPr>
            <w:hyperlink w:anchor="page35">
              <w:r>
                <w:rPr>
                  <w:rFonts w:ascii="Arial" w:cs="Arial" w:eastAsia="Arial" w:hAnsi="Arial"/>
                  <w:sz w:val="12"/>
                  <w:szCs w:val="12"/>
                  <w:color w:val="0000EE"/>
                  <w:w w:val="74"/>
                </w:rPr>
                <w:t>35</w:t>
              </w:r>
            </w:hyperlink>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1"/>
        </w:trPr>
        <w:tc>
          <w:tcPr>
            <w:tcW w:w="820" w:type="dxa"/>
            <w:vAlign w:val="bottom"/>
          </w:tcPr>
          <w:p>
            <w:pPr>
              <w:spacing w:after="0"/>
              <w:rPr>
                <w:sz w:val="20"/>
                <w:szCs w:val="20"/>
                <w:color w:val="auto"/>
              </w:rPr>
            </w:pPr>
            <w:r>
              <w:rPr>
                <w:rFonts w:ascii="Arial" w:cs="Arial" w:eastAsia="Arial" w:hAnsi="Arial"/>
                <w:sz w:val="14"/>
                <w:szCs w:val="14"/>
                <w:color w:val="auto"/>
              </w:rPr>
              <w:t>Item 4.</w:t>
            </w:r>
          </w:p>
        </w:tc>
        <w:tc>
          <w:tcPr>
            <w:tcW w:w="3440" w:type="dxa"/>
            <w:vAlign w:val="bottom"/>
            <w:gridSpan w:val="6"/>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Controls and Procedures</w:t>
              </w:r>
            </w:hyperlink>
          </w:p>
        </w:tc>
        <w:tc>
          <w:tcPr>
            <w:tcW w:w="4760" w:type="dxa"/>
            <w:vAlign w:val="bottom"/>
            <w:gridSpan w:val="7"/>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gridSpan w:val="2"/>
          </w:tcPr>
          <w:p>
            <w:pPr>
              <w:jc w:val="center"/>
              <w:ind w:right="200"/>
              <w:spacing w:after="0"/>
              <w:rPr>
                <w:rFonts w:ascii="Arial" w:cs="Arial" w:eastAsia="Arial" w:hAnsi="Arial"/>
                <w:sz w:val="12"/>
                <w:szCs w:val="12"/>
                <w:color w:val="0000EE"/>
                <w:w w:val="74"/>
              </w:rPr>
            </w:pPr>
            <w:hyperlink w:anchor="page36">
              <w:r>
                <w:rPr>
                  <w:rFonts w:ascii="Arial" w:cs="Arial" w:eastAsia="Arial" w:hAnsi="Arial"/>
                  <w:sz w:val="12"/>
                  <w:szCs w:val="12"/>
                  <w:color w:val="0000EE"/>
                  <w:w w:val="74"/>
                </w:rPr>
                <w:t>36</w:t>
              </w:r>
            </w:hyperlink>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42"/>
        </w:trPr>
        <w:tc>
          <w:tcPr>
            <w:tcW w:w="820" w:type="dxa"/>
            <w:vAlign w:val="bottom"/>
          </w:tcPr>
          <w:p>
            <w:pPr>
              <w:spacing w:after="0"/>
              <w:rPr>
                <w:sz w:val="20"/>
                <w:szCs w:val="20"/>
                <w:color w:val="auto"/>
              </w:rPr>
            </w:pPr>
            <w:r>
              <w:rPr>
                <w:rFonts w:ascii="Arial" w:cs="Arial" w:eastAsia="Arial" w:hAnsi="Arial"/>
                <w:sz w:val="14"/>
                <w:szCs w:val="14"/>
                <w:color w:val="auto"/>
              </w:rPr>
              <w:t>PART II.</w:t>
            </w:r>
          </w:p>
        </w:tc>
        <w:tc>
          <w:tcPr>
            <w:tcW w:w="8200" w:type="dxa"/>
            <w:vAlign w:val="bottom"/>
            <w:gridSpan w:val="13"/>
          </w:tcPr>
          <w:p>
            <w:pPr>
              <w:spacing w:after="0"/>
              <w:rPr>
                <w:sz w:val="20"/>
                <w:szCs w:val="20"/>
                <w:color w:val="auto"/>
              </w:rPr>
            </w:pPr>
            <w:r>
              <w:rPr>
                <w:rFonts w:ascii="Arial" w:cs="Arial" w:eastAsia="Arial" w:hAnsi="Arial"/>
                <w:sz w:val="14"/>
                <w:szCs w:val="14"/>
                <w:color w:val="auto"/>
              </w:rPr>
              <w:t>OTHER INFORMATION</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00"/>
        </w:trPr>
        <w:tc>
          <w:tcPr>
            <w:tcW w:w="820" w:type="dxa"/>
            <w:vAlign w:val="bottom"/>
          </w:tcPr>
          <w:p>
            <w:pPr>
              <w:spacing w:after="0"/>
              <w:rPr>
                <w:sz w:val="20"/>
                <w:szCs w:val="20"/>
                <w:color w:val="auto"/>
              </w:rPr>
            </w:pPr>
            <w:r>
              <w:rPr>
                <w:rFonts w:ascii="Arial" w:cs="Arial" w:eastAsia="Arial" w:hAnsi="Arial"/>
                <w:sz w:val="14"/>
                <w:szCs w:val="14"/>
                <w:color w:val="auto"/>
              </w:rPr>
              <w:t>Item 1A.</w:t>
            </w:r>
          </w:p>
        </w:tc>
        <w:tc>
          <w:tcPr>
            <w:tcW w:w="720" w:type="dxa"/>
            <w:vAlign w:val="bottom"/>
            <w:gridSpan w:val="3"/>
          </w:tcPr>
          <w:p>
            <w:pPr>
              <w:spacing w:after="0"/>
              <w:rPr>
                <w:rFonts w:ascii="Arial" w:cs="Arial" w:eastAsia="Arial" w:hAnsi="Arial"/>
                <w:sz w:val="14"/>
                <w:szCs w:val="14"/>
                <w:color w:val="0000EE"/>
                <w:w w:val="89"/>
              </w:rPr>
            </w:pPr>
            <w:hyperlink w:anchor="page37">
              <w:r>
                <w:rPr>
                  <w:rFonts w:ascii="Arial" w:cs="Arial" w:eastAsia="Arial" w:hAnsi="Arial"/>
                  <w:sz w:val="14"/>
                  <w:szCs w:val="14"/>
                  <w:color w:val="0000EE"/>
                  <w:w w:val="89"/>
                </w:rPr>
                <w:t>Risk Factors</w:t>
              </w:r>
            </w:hyperlink>
          </w:p>
        </w:tc>
        <w:tc>
          <w:tcPr>
            <w:tcW w:w="7480" w:type="dxa"/>
            <w:vAlign w:val="bottom"/>
            <w:gridSpan w:val="10"/>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gridSpan w:val="2"/>
          </w:tcPr>
          <w:p>
            <w:pPr>
              <w:jc w:val="center"/>
              <w:ind w:right="200"/>
              <w:spacing w:after="0"/>
              <w:rPr>
                <w:rFonts w:ascii="Arial" w:cs="Arial" w:eastAsia="Arial" w:hAnsi="Arial"/>
                <w:sz w:val="12"/>
                <w:szCs w:val="12"/>
                <w:color w:val="0000EE"/>
                <w:w w:val="74"/>
              </w:rPr>
            </w:pPr>
            <w:hyperlink w:anchor="page37">
              <w:r>
                <w:rPr>
                  <w:rFonts w:ascii="Arial" w:cs="Arial" w:eastAsia="Arial" w:hAnsi="Arial"/>
                  <w:sz w:val="12"/>
                  <w:szCs w:val="12"/>
                  <w:color w:val="0000EE"/>
                  <w:w w:val="74"/>
                </w:rPr>
                <w:t>37</w:t>
              </w:r>
            </w:hyperlink>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1"/>
        </w:trPr>
        <w:tc>
          <w:tcPr>
            <w:tcW w:w="820" w:type="dxa"/>
            <w:vAlign w:val="bottom"/>
          </w:tcPr>
          <w:p>
            <w:pPr>
              <w:spacing w:after="0"/>
              <w:rPr>
                <w:sz w:val="20"/>
                <w:szCs w:val="20"/>
                <w:color w:val="auto"/>
              </w:rPr>
            </w:pPr>
            <w:r>
              <w:rPr>
                <w:rFonts w:ascii="Arial" w:cs="Arial" w:eastAsia="Arial" w:hAnsi="Arial"/>
                <w:sz w:val="14"/>
                <w:szCs w:val="14"/>
                <w:color w:val="auto"/>
              </w:rPr>
              <w:t>Item 2.</w:t>
            </w:r>
          </w:p>
        </w:tc>
        <w:tc>
          <w:tcPr>
            <w:tcW w:w="8200" w:type="dxa"/>
            <w:vAlign w:val="bottom"/>
            <w:gridSpan w:val="13"/>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Unregistered Sales of Equity Securities and Use of Proceeds</w:t>
              </w:r>
            </w:hyperlink>
          </w:p>
        </w:tc>
        <w:tc>
          <w:tcPr>
            <w:tcW w:w="2120" w:type="dxa"/>
            <w:vAlign w:val="bottom"/>
            <w:gridSpan w:val="3"/>
          </w:tcPr>
          <w:p>
            <w:pPr>
              <w:jc w:val="center"/>
              <w:ind w:left="1508"/>
              <w:spacing w:after="0"/>
              <w:rPr>
                <w:rFonts w:ascii="Arial" w:cs="Arial" w:eastAsia="Arial" w:hAnsi="Arial"/>
                <w:sz w:val="14"/>
                <w:szCs w:val="14"/>
                <w:color w:val="0000EE"/>
                <w:w w:val="89"/>
              </w:rPr>
            </w:pPr>
            <w:hyperlink w:anchor="page37">
              <w:r>
                <w:rPr>
                  <w:rFonts w:ascii="Arial" w:cs="Arial" w:eastAsia="Arial" w:hAnsi="Arial"/>
                  <w:sz w:val="14"/>
                  <w:szCs w:val="14"/>
                  <w:color w:val="0000EE"/>
                  <w:w w:val="89"/>
                </w:rPr>
                <w:t>37</w:t>
              </w:r>
            </w:hyperlink>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1"/>
        </w:trPr>
        <w:tc>
          <w:tcPr>
            <w:tcW w:w="820" w:type="dxa"/>
            <w:vAlign w:val="bottom"/>
          </w:tcPr>
          <w:p>
            <w:pPr>
              <w:spacing w:after="0"/>
              <w:rPr>
                <w:sz w:val="20"/>
                <w:szCs w:val="20"/>
                <w:color w:val="auto"/>
              </w:rPr>
            </w:pPr>
            <w:r>
              <w:rPr>
                <w:rFonts w:ascii="Arial" w:cs="Arial" w:eastAsia="Arial" w:hAnsi="Arial"/>
                <w:sz w:val="14"/>
                <w:szCs w:val="14"/>
                <w:color w:val="auto"/>
              </w:rPr>
              <w:t>Item 6.</w:t>
            </w:r>
          </w:p>
        </w:tc>
        <w:tc>
          <w:tcPr>
            <w:tcW w:w="480" w:type="dxa"/>
            <w:vAlign w:val="bottom"/>
          </w:tcPr>
          <w:p>
            <w:pPr>
              <w:spacing w:after="0"/>
              <w:rPr>
                <w:rFonts w:ascii="Arial" w:cs="Arial" w:eastAsia="Arial" w:hAnsi="Arial"/>
                <w:sz w:val="14"/>
                <w:szCs w:val="14"/>
                <w:color w:val="0000EE"/>
                <w:w w:val="93"/>
              </w:rPr>
            </w:pPr>
            <w:hyperlink w:anchor="page38">
              <w:r>
                <w:rPr>
                  <w:rFonts w:ascii="Arial" w:cs="Arial" w:eastAsia="Arial" w:hAnsi="Arial"/>
                  <w:sz w:val="14"/>
                  <w:szCs w:val="14"/>
                  <w:color w:val="0000EE"/>
                  <w:w w:val="93"/>
                </w:rPr>
                <w:t>Exhibits</w:t>
              </w:r>
            </w:hyperlink>
          </w:p>
        </w:tc>
        <w:tc>
          <w:tcPr>
            <w:tcW w:w="2980" w:type="dxa"/>
            <w:vAlign w:val="bottom"/>
            <w:gridSpan w:val="6"/>
          </w:tcPr>
          <w:p>
            <w:pPr>
              <w:spacing w:after="0"/>
              <w:rPr>
                <w:sz w:val="24"/>
                <w:szCs w:val="24"/>
                <w:color w:val="auto"/>
              </w:rPr>
            </w:pPr>
          </w:p>
        </w:tc>
        <w:tc>
          <w:tcPr>
            <w:tcW w:w="4740" w:type="dxa"/>
            <w:vAlign w:val="bottom"/>
            <w:gridSpan w:val="6"/>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gridSpan w:val="2"/>
          </w:tcPr>
          <w:p>
            <w:pPr>
              <w:jc w:val="center"/>
              <w:ind w:right="200"/>
              <w:spacing w:after="0"/>
              <w:rPr>
                <w:rFonts w:ascii="Arial" w:cs="Arial" w:eastAsia="Arial" w:hAnsi="Arial"/>
                <w:sz w:val="12"/>
                <w:szCs w:val="12"/>
                <w:color w:val="0000EE"/>
                <w:w w:val="74"/>
              </w:rPr>
            </w:pPr>
            <w:hyperlink w:anchor="page38">
              <w:r>
                <w:rPr>
                  <w:rFonts w:ascii="Arial" w:cs="Arial" w:eastAsia="Arial" w:hAnsi="Arial"/>
                  <w:sz w:val="12"/>
                  <w:szCs w:val="12"/>
                  <w:color w:val="0000EE"/>
                  <w:w w:val="74"/>
                </w:rPr>
                <w:t>38</w:t>
              </w:r>
            </w:hyperlink>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0" w:type="dxa"/>
            <w:vAlign w:val="bottom"/>
            <w:gridSpan w:val="11"/>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1"/>
        </w:trPr>
        <w:tc>
          <w:tcPr>
            <w:tcW w:w="820" w:type="dxa"/>
            <w:vAlign w:val="bottom"/>
          </w:tcPr>
          <w:p>
            <w:pPr>
              <w:spacing w:after="0"/>
              <w:rPr>
                <w:sz w:val="24"/>
                <w:szCs w:val="24"/>
                <w:color w:val="auto"/>
              </w:rPr>
            </w:pPr>
          </w:p>
        </w:tc>
        <w:tc>
          <w:tcPr>
            <w:tcW w:w="8200" w:type="dxa"/>
            <w:vAlign w:val="bottom"/>
            <w:gridSpan w:val="13"/>
          </w:tcPr>
          <w:p>
            <w:pPr>
              <w:spacing w:after="0"/>
              <w:rPr>
                <w:rFonts w:ascii="Arial" w:cs="Arial" w:eastAsia="Arial" w:hAnsi="Arial"/>
                <w:sz w:val="14"/>
                <w:szCs w:val="14"/>
                <w:color w:val="0000EE"/>
              </w:rPr>
            </w:pPr>
            <w:hyperlink w:anchor="page40">
              <w:r>
                <w:rPr>
                  <w:rFonts w:ascii="Arial" w:cs="Arial" w:eastAsia="Arial" w:hAnsi="Arial"/>
                  <w:sz w:val="14"/>
                  <w:szCs w:val="14"/>
                  <w:color w:val="0000EE"/>
                </w:rPr>
                <w:t>Signatures</w:t>
              </w:r>
            </w:hyperlink>
          </w:p>
        </w:tc>
        <w:tc>
          <w:tcPr>
            <w:tcW w:w="2120" w:type="dxa"/>
            <w:vAlign w:val="bottom"/>
            <w:gridSpan w:val="3"/>
          </w:tcPr>
          <w:p>
            <w:pPr>
              <w:jc w:val="center"/>
              <w:ind w:left="1508"/>
              <w:spacing w:after="0"/>
              <w:rPr>
                <w:rFonts w:ascii="Arial" w:cs="Arial" w:eastAsia="Arial" w:hAnsi="Arial"/>
                <w:sz w:val="14"/>
                <w:szCs w:val="14"/>
                <w:color w:val="0000EE"/>
                <w:w w:val="89"/>
              </w:rPr>
            </w:pPr>
            <w:hyperlink w:anchor="page40">
              <w:r>
                <w:rPr>
                  <w:rFonts w:ascii="Arial" w:cs="Arial" w:eastAsia="Arial" w:hAnsi="Arial"/>
                  <w:sz w:val="14"/>
                  <w:szCs w:val="14"/>
                  <w:color w:val="0000EE"/>
                  <w:w w:val="89"/>
                </w:rPr>
                <w:t>40</w:t>
              </w:r>
            </w:hyperlink>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ectPr>
          <w:pgSz w:w="11900" w:h="16838" w:orient="portrait"/>
          <w:cols w:equalWidth="0" w:num="1">
            <w:col w:w="11140"/>
          </w:cols>
          <w:pgMar w:left="240" w:top="495" w:right="51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7900" w:type="dxa"/>
            <w:vAlign w:val="bottom"/>
          </w:tcPr>
          <w:p>
            <w:pPr>
              <w:spacing w:after="0"/>
              <w:rPr>
                <w:sz w:val="20"/>
                <w:szCs w:val="20"/>
                <w:color w:val="auto"/>
              </w:rPr>
            </w:pPr>
            <w:r>
              <w:rPr>
                <w:rFonts w:ascii="Arial" w:cs="Arial" w:eastAsia="Arial" w:hAnsi="Arial"/>
                <w:sz w:val="13"/>
                <w:szCs w:val="13"/>
                <w:b w:val="1"/>
                <w:bCs w:val="1"/>
                <w:color w:val="auto"/>
              </w:rPr>
              <w:t>SHENANDOAH TELECOMMUNICATIONS COMPANY AND SUBSIDIARIES</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900" w:type="dxa"/>
            <w:vAlign w:val="bottom"/>
          </w:tcPr>
          <w:p>
            <w:pPr>
              <w:spacing w:after="0"/>
              <w:rPr>
                <w:sz w:val="20"/>
                <w:szCs w:val="20"/>
                <w:color w:val="auto"/>
              </w:rPr>
            </w:pPr>
            <w:r>
              <w:rPr>
                <w:rFonts w:ascii="Arial" w:cs="Arial" w:eastAsia="Arial" w:hAnsi="Arial"/>
                <w:sz w:val="13"/>
                <w:szCs w:val="13"/>
                <w:b w:val="1"/>
                <w:bCs w:val="1"/>
                <w:color w:val="auto"/>
              </w:rPr>
              <w:t>UNAUDITED CONDENSED CONSOLIDATED BALANCE SHEETS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675"/>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255"/>
              <w:spacing w:after="0"/>
              <w:rPr>
                <w:sz w:val="20"/>
                <w:szCs w:val="20"/>
                <w:color w:val="auto"/>
              </w:rPr>
            </w:pPr>
            <w:r>
              <w:rPr>
                <w:rFonts w:ascii="Arial" w:cs="Arial" w:eastAsia="Arial" w:hAnsi="Arial"/>
                <w:sz w:val="13"/>
                <w:szCs w:val="13"/>
                <w:b w:val="1"/>
                <w:bCs w:val="1"/>
                <w:color w:val="auto"/>
                <w:w w:val="99"/>
              </w:rPr>
              <w:t>December 31, 2018</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3"/>
                <w:szCs w:val="13"/>
                <w:b w:val="1"/>
                <w:bCs w:val="1"/>
                <w:color w:val="auto"/>
              </w:rPr>
              <w:t>ASSETS</w:t>
            </w: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3"/>
                <w:szCs w:val="13"/>
                <w:color w:val="auto"/>
              </w:rPr>
              <w:t>Current assets: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Cash and cash equivalents</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97,415</w:t>
            </w:r>
          </w:p>
        </w:tc>
        <w:tc>
          <w:tcPr>
            <w:tcW w:w="100" w:type="dxa"/>
            <w:vAlign w:val="bottom"/>
          </w:tcPr>
          <w:p>
            <w:pPr>
              <w:spacing w:after="0"/>
              <w:rPr>
                <w:sz w:val="18"/>
                <w:szCs w:val="18"/>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85,086</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Accounts receivable, net of allowance for doubtful accounts of $563 and $534, respectively</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60,084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54,407</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Income taxes receivable</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2,983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5,282</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Inventory, net of allowances of $196 and $113, respectively</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4,561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5,265</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Prepaid expenses and other</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56,597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60,162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900" w:type="dxa"/>
            <w:vAlign w:val="bottom"/>
          </w:tcPr>
          <w:p>
            <w:pPr>
              <w:ind w:left="200"/>
              <w:spacing w:after="0"/>
              <w:rPr>
                <w:sz w:val="20"/>
                <w:szCs w:val="20"/>
                <w:color w:val="auto"/>
              </w:rPr>
            </w:pPr>
            <w:r>
              <w:rPr>
                <w:rFonts w:ascii="Arial" w:cs="Arial" w:eastAsia="Arial" w:hAnsi="Arial"/>
                <w:sz w:val="13"/>
                <w:szCs w:val="13"/>
                <w:color w:val="auto"/>
              </w:rPr>
              <w:t>Total current assets</w:t>
            </w:r>
          </w:p>
        </w:tc>
        <w:tc>
          <w:tcPr>
            <w:tcW w:w="280" w:type="dxa"/>
            <w:vAlign w:val="bottom"/>
          </w:tcPr>
          <w:p>
            <w:pPr>
              <w:spacing w:after="0"/>
              <w:rPr>
                <w:sz w:val="14"/>
                <w:szCs w:val="14"/>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221,640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210,202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3"/>
                <w:szCs w:val="13"/>
                <w:color w:val="auto"/>
              </w:rPr>
              <w:t>Investments</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11,851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10,788</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688,516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701,359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3"/>
                <w:szCs w:val="13"/>
                <w:color w:val="auto"/>
              </w:rPr>
              <w:t>Intangible assets, net</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328,831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366,029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3"/>
                <w:szCs w:val="13"/>
                <w:color w:val="auto"/>
              </w:rPr>
              <w:t>Goodwill</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149,070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146,497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3"/>
                <w:szCs w:val="13"/>
                <w:color w:val="auto"/>
              </w:rPr>
              <w:t>Operating lease right-of-use assets</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400,489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3"/>
                <w:szCs w:val="13"/>
                <w:color w:val="auto"/>
              </w:rPr>
              <w:t>Deferred charges and other assets</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50,469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49,891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00" w:type="dxa"/>
            <w:vAlign w:val="bottom"/>
          </w:tcPr>
          <w:p>
            <w:pPr>
              <w:ind w:left="280"/>
              <w:spacing w:after="0"/>
              <w:rPr>
                <w:sz w:val="20"/>
                <w:szCs w:val="20"/>
                <w:color w:val="auto"/>
              </w:rPr>
            </w:pPr>
            <w:r>
              <w:rPr>
                <w:rFonts w:ascii="Arial" w:cs="Arial" w:eastAsia="Arial" w:hAnsi="Arial"/>
                <w:sz w:val="13"/>
                <w:szCs w:val="13"/>
                <w:color w:val="auto"/>
              </w:rPr>
              <w:t>Total assets</w:t>
            </w: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1,850,866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1,484,766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SHAREHOLDERS’ EQUITY</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3"/>
                <w:szCs w:val="13"/>
                <w:color w:val="auto"/>
              </w:rPr>
              <w:t>Current liabilities: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Current maturities of long-term debt, net of unamortized loan fees</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31,634</w:t>
            </w:r>
          </w:p>
        </w:tc>
        <w:tc>
          <w:tcPr>
            <w:tcW w:w="100" w:type="dxa"/>
            <w:vAlign w:val="bottom"/>
          </w:tcPr>
          <w:p>
            <w:pPr>
              <w:spacing w:after="0"/>
              <w:rPr>
                <w:sz w:val="18"/>
                <w:szCs w:val="18"/>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20,618</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26,470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35,987</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Advanced billings and customer deposits</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8,127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7,919</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Accrued compensation</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6,915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9,452</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Current operating lease liabilities</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44,178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Accrued liabilities and other</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14,731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14,563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900" w:type="dxa"/>
            <w:vAlign w:val="bottom"/>
          </w:tcPr>
          <w:p>
            <w:pPr>
              <w:ind w:left="200"/>
              <w:spacing w:after="0"/>
              <w:rPr>
                <w:sz w:val="20"/>
                <w:szCs w:val="20"/>
                <w:color w:val="auto"/>
              </w:rPr>
            </w:pPr>
            <w:r>
              <w:rPr>
                <w:rFonts w:ascii="Arial" w:cs="Arial" w:eastAsia="Arial" w:hAnsi="Arial"/>
                <w:sz w:val="13"/>
                <w:szCs w:val="13"/>
                <w:color w:val="auto"/>
              </w:rPr>
              <w:t>Total current liabilities</w:t>
            </w:r>
          </w:p>
        </w:tc>
        <w:tc>
          <w:tcPr>
            <w:tcW w:w="280" w:type="dxa"/>
            <w:vAlign w:val="bottom"/>
          </w:tcPr>
          <w:p>
            <w:pPr>
              <w:spacing w:after="0"/>
              <w:rPr>
                <w:sz w:val="14"/>
                <w:szCs w:val="14"/>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132,055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88,539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900" w:type="dxa"/>
            <w:vAlign w:val="bottom"/>
          </w:tcPr>
          <w:p>
            <w:pPr>
              <w:spacing w:after="0"/>
              <w:rPr>
                <w:sz w:val="20"/>
                <w:szCs w:val="20"/>
                <w:color w:val="auto"/>
              </w:rPr>
            </w:pPr>
            <w:r>
              <w:rPr>
                <w:rFonts w:ascii="Arial" w:cs="Arial" w:eastAsia="Arial" w:hAnsi="Arial"/>
                <w:sz w:val="13"/>
                <w:szCs w:val="13"/>
                <w:color w:val="auto"/>
              </w:rPr>
              <w:t>Long-term debt, less current maturities, net of unamortized loan fees</w:t>
            </w:r>
          </w:p>
        </w:tc>
        <w:tc>
          <w:tcPr>
            <w:tcW w:w="280" w:type="dxa"/>
            <w:vAlign w:val="bottom"/>
          </w:tcPr>
          <w:p>
            <w:pPr>
              <w:spacing w:after="0"/>
              <w:rPr>
                <w:sz w:val="14"/>
                <w:szCs w:val="14"/>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696,378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749,624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3"/>
                <w:szCs w:val="13"/>
                <w:color w:val="auto"/>
              </w:rPr>
              <w:t>Other long-term liabilities: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Deferred income taxes</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129,651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127,453</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Deferred lease</w:t>
            </w:r>
          </w:p>
        </w:tc>
        <w:tc>
          <w:tcPr>
            <w:tcW w:w="2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22,436</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Asset retirement obligations</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29,956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28,584</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Retirement plan obligations</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10,311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11,519</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Noncurrent operating lease liabilities</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359,985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Other liabilities</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16,676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14,364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900" w:type="dxa"/>
            <w:vAlign w:val="bottom"/>
          </w:tcPr>
          <w:p>
            <w:pPr>
              <w:ind w:left="200"/>
              <w:spacing w:after="0"/>
              <w:rPr>
                <w:sz w:val="20"/>
                <w:szCs w:val="20"/>
                <w:color w:val="auto"/>
              </w:rPr>
            </w:pPr>
            <w:r>
              <w:rPr>
                <w:rFonts w:ascii="Arial" w:cs="Arial" w:eastAsia="Arial" w:hAnsi="Arial"/>
                <w:sz w:val="13"/>
                <w:szCs w:val="13"/>
                <w:color w:val="auto"/>
              </w:rPr>
              <w:t>Total other long-term liabilities</w:t>
            </w:r>
          </w:p>
        </w:tc>
        <w:tc>
          <w:tcPr>
            <w:tcW w:w="280" w:type="dxa"/>
            <w:vAlign w:val="bottom"/>
          </w:tcPr>
          <w:p>
            <w:pPr>
              <w:spacing w:after="0"/>
              <w:rPr>
                <w:sz w:val="14"/>
                <w:szCs w:val="14"/>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546,579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204,356</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3"/>
                <w:szCs w:val="13"/>
                <w:color w:val="auto"/>
              </w:rPr>
              <w:t>Shareholders’ equity:</w:t>
            </w: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120"/>
              <w:spacing w:after="0"/>
              <w:rPr>
                <w:sz w:val="20"/>
                <w:szCs w:val="20"/>
                <w:color w:val="auto"/>
              </w:rPr>
            </w:pPr>
            <w:r>
              <w:rPr>
                <w:rFonts w:ascii="Arial" w:cs="Arial" w:eastAsia="Arial" w:hAnsi="Arial"/>
                <w:sz w:val="13"/>
                <w:szCs w:val="13"/>
                <w:color w:val="auto"/>
                <w:w w:val="95"/>
              </w:rPr>
              <w:t>Common stock, no par value, authorized 96,000; 49,857 and 49,630 issued and outstanding at September 30, 2019 and December 31, 2018,</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900" w:type="dxa"/>
            <w:vAlign w:val="bottom"/>
          </w:tcPr>
          <w:p>
            <w:pPr>
              <w:ind w:left="120"/>
              <w:spacing w:after="0"/>
              <w:rPr>
                <w:sz w:val="20"/>
                <w:szCs w:val="20"/>
                <w:color w:val="auto"/>
              </w:rPr>
            </w:pPr>
            <w:r>
              <w:rPr>
                <w:rFonts w:ascii="Arial" w:cs="Arial" w:eastAsia="Arial" w:hAnsi="Arial"/>
                <w:sz w:val="13"/>
                <w:szCs w:val="13"/>
                <w:color w:val="auto"/>
              </w:rPr>
              <w:t>respectively</w:t>
            </w:r>
          </w:p>
        </w:tc>
        <w:tc>
          <w:tcPr>
            <w:tcW w:w="28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Additional paid in capital</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48,083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47,456</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Retained earnings</w:t>
            </w:r>
          </w:p>
        </w:tc>
        <w:tc>
          <w:tcPr>
            <w:tcW w:w="28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427,925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386,511</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3"/>
                <w:szCs w:val="13"/>
                <w:color w:val="auto"/>
              </w:rPr>
              <w:t>Accumulated other comprehensive income (loss), net of taxes</w:t>
            </w:r>
          </w:p>
        </w:tc>
        <w:tc>
          <w:tcPr>
            <w:tcW w:w="280" w:type="dxa"/>
            <w:vAlign w:val="bottom"/>
          </w:tcPr>
          <w:p>
            <w:pPr>
              <w:spacing w:after="0"/>
              <w:rPr>
                <w:sz w:val="18"/>
                <w:szCs w:val="18"/>
                <w:color w:val="auto"/>
              </w:rPr>
            </w:pPr>
          </w:p>
        </w:tc>
        <w:tc>
          <w:tcPr>
            <w:tcW w:w="1460" w:type="dxa"/>
            <w:vAlign w:val="bottom"/>
          </w:tcPr>
          <w:p>
            <w:pPr>
              <w:jc w:val="right"/>
              <w:ind w:right="15"/>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8,280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900" w:type="dxa"/>
            <w:vAlign w:val="bottom"/>
          </w:tcPr>
          <w:p>
            <w:pPr>
              <w:ind w:left="200"/>
              <w:spacing w:after="0"/>
              <w:rPr>
                <w:sz w:val="20"/>
                <w:szCs w:val="20"/>
                <w:color w:val="auto"/>
              </w:rPr>
            </w:pPr>
            <w:r>
              <w:rPr>
                <w:rFonts w:ascii="Arial" w:cs="Arial" w:eastAsia="Arial" w:hAnsi="Arial"/>
                <w:sz w:val="13"/>
                <w:szCs w:val="13"/>
                <w:color w:val="auto"/>
              </w:rPr>
              <w:t>Total shareholders’ equity</w:t>
            </w:r>
          </w:p>
        </w:tc>
        <w:tc>
          <w:tcPr>
            <w:tcW w:w="280" w:type="dxa"/>
            <w:vAlign w:val="bottom"/>
          </w:tcPr>
          <w:p>
            <w:pPr>
              <w:spacing w:after="0"/>
              <w:rPr>
                <w:sz w:val="14"/>
                <w:szCs w:val="14"/>
                <w:color w:val="auto"/>
              </w:rPr>
            </w:pPr>
          </w:p>
        </w:tc>
        <w:tc>
          <w:tcPr>
            <w:tcW w:w="1460" w:type="dxa"/>
            <w:vAlign w:val="bottom"/>
          </w:tcPr>
          <w:p>
            <w:pPr>
              <w:jc w:val="right"/>
              <w:ind w:right="55"/>
              <w:spacing w:after="0"/>
              <w:rPr>
                <w:sz w:val="20"/>
                <w:szCs w:val="20"/>
                <w:color w:val="auto"/>
              </w:rPr>
            </w:pPr>
            <w:r>
              <w:rPr>
                <w:rFonts w:ascii="Arial" w:cs="Arial" w:eastAsia="Arial" w:hAnsi="Arial"/>
                <w:sz w:val="13"/>
                <w:szCs w:val="13"/>
                <w:color w:val="auto"/>
              </w:rPr>
              <w:t>475,854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35"/>
              <w:spacing w:after="0"/>
              <w:rPr>
                <w:sz w:val="20"/>
                <w:szCs w:val="20"/>
                <w:color w:val="auto"/>
              </w:rPr>
            </w:pPr>
            <w:r>
              <w:rPr>
                <w:rFonts w:ascii="Arial" w:cs="Arial" w:eastAsia="Arial" w:hAnsi="Arial"/>
                <w:sz w:val="13"/>
                <w:szCs w:val="13"/>
                <w:color w:val="auto"/>
              </w:rPr>
              <w:t>442,247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1,850,866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1,484,766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unaudited condensed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129" w:right="21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SHENANDOAH TELECOMMUNICATIONS COMPANY AND SUBSIDIARIES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UNAUDITED CONDENSED CONSOLIDATED STATEMENTS OF OPERATIONS AND COMPREHENSIVE INCOME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5380" w:type="dxa"/>
            <w:vAlign w:val="bottom"/>
          </w:tcPr>
          <w:p>
            <w:pPr>
              <w:spacing w:after="0"/>
              <w:rPr>
                <w:sz w:val="20"/>
                <w:szCs w:val="20"/>
                <w:color w:val="auto"/>
              </w:rPr>
            </w:pPr>
            <w:r>
              <w:rPr>
                <w:rFonts w:ascii="Arial" w:cs="Arial" w:eastAsia="Arial" w:hAnsi="Arial"/>
                <w:sz w:val="13"/>
                <w:szCs w:val="13"/>
                <w:i w:val="1"/>
                <w:iCs w:val="1"/>
                <w:color w:val="auto"/>
              </w:rPr>
              <w:t>(in thousands, except per share amounts)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right"/>
              <w:ind w:right="155"/>
              <w:spacing w:after="0"/>
              <w:rPr>
                <w:sz w:val="20"/>
                <w:szCs w:val="20"/>
                <w:color w:val="auto"/>
              </w:rPr>
            </w:pPr>
            <w:r>
              <w:rPr>
                <w:rFonts w:ascii="Arial" w:cs="Arial" w:eastAsia="Arial" w:hAnsi="Arial"/>
                <w:sz w:val="13"/>
                <w:szCs w:val="13"/>
                <w:b w:val="1"/>
                <w:bCs w:val="1"/>
                <w:color w:val="auto"/>
              </w:rPr>
              <w:t>September 30,</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right"/>
              <w:ind w:right="115"/>
              <w:spacing w:after="0"/>
              <w:rPr>
                <w:sz w:val="20"/>
                <w:szCs w:val="20"/>
                <w:color w:val="auto"/>
              </w:rPr>
            </w:pPr>
            <w:r>
              <w:rPr>
                <w:rFonts w:ascii="Arial" w:cs="Arial" w:eastAsia="Arial" w:hAnsi="Arial"/>
                <w:sz w:val="13"/>
                <w:szCs w:val="13"/>
                <w:b w:val="1"/>
                <w:bCs w:val="1"/>
                <w:color w:val="auto"/>
              </w:rPr>
              <w:t>September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rPr>
                <w:sz w:val="20"/>
                <w:szCs w:val="20"/>
                <w:color w:val="auto"/>
              </w:rPr>
            </w:pPr>
            <w:r>
              <w:rPr>
                <w:rFonts w:ascii="Arial" w:cs="Arial" w:eastAsia="Arial" w:hAnsi="Arial"/>
                <w:sz w:val="13"/>
                <w:szCs w:val="13"/>
                <w:color w:val="auto"/>
              </w:rPr>
              <w:t>Operating revenue:</w:t>
            </w:r>
          </w:p>
        </w:tc>
        <w:tc>
          <w:tcPr>
            <w:tcW w:w="320" w:type="dxa"/>
            <w:vAlign w:val="bottom"/>
          </w:tcPr>
          <w:p>
            <w:pPr>
              <w:spacing w:after="0"/>
              <w:rPr>
                <w:sz w:val="15"/>
                <w:szCs w:val="15"/>
                <w:color w:val="auto"/>
              </w:rPr>
            </w:pPr>
          </w:p>
        </w:tc>
        <w:tc>
          <w:tcPr>
            <w:tcW w:w="1060" w:type="dxa"/>
            <w:vAlign w:val="bottom"/>
          </w:tcPr>
          <w:p>
            <w:pPr>
              <w:jc w:val="right"/>
              <w:ind w:right="495"/>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515"/>
              <w:spacing w:after="0"/>
              <w:rPr>
                <w:sz w:val="20"/>
                <w:szCs w:val="20"/>
                <w:color w:val="auto"/>
              </w:rPr>
            </w:pPr>
            <w:r>
              <w:rPr>
                <w:rFonts w:ascii="Arial" w:cs="Arial" w:eastAsia="Arial" w:hAnsi="Arial"/>
                <w:sz w:val="13"/>
                <w:szCs w:val="13"/>
                <w:b w:val="1"/>
                <w:bCs w:val="1"/>
                <w:color w:val="auto"/>
                <w:w w:val="82"/>
              </w:rPr>
              <w:t>2018</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95"/>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ind w:right="475"/>
              <w:spacing w:after="0"/>
              <w:rPr>
                <w:sz w:val="20"/>
                <w:szCs w:val="20"/>
                <w:color w:val="auto"/>
              </w:rPr>
            </w:pPr>
            <w:r>
              <w:rPr>
                <w:rFonts w:ascii="Arial" w:cs="Arial" w:eastAsia="Arial" w:hAnsi="Arial"/>
                <w:sz w:val="13"/>
                <w:szCs w:val="13"/>
                <w:b w:val="1"/>
                <w:bCs w:val="1"/>
                <w:color w:val="auto"/>
                <w:w w:val="89"/>
              </w:rPr>
              <w:t>2018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120"/>
              <w:spacing w:after="0"/>
              <w:rPr>
                <w:sz w:val="20"/>
                <w:szCs w:val="20"/>
                <w:color w:val="auto"/>
              </w:rPr>
            </w:pPr>
            <w:r>
              <w:rPr>
                <w:rFonts w:ascii="Arial" w:cs="Arial" w:eastAsia="Arial" w:hAnsi="Arial"/>
                <w:sz w:val="13"/>
                <w:szCs w:val="13"/>
                <w:color w:val="auto"/>
              </w:rPr>
              <w:t>Service revenue and other</w:t>
            </w: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138,832</w:t>
            </w:r>
          </w:p>
        </w:tc>
        <w:tc>
          <w:tcPr>
            <w:tcW w:w="120" w:type="dxa"/>
            <w:vAlign w:val="bottom"/>
          </w:tcPr>
          <w:p>
            <w:pPr>
              <w:spacing w:after="0"/>
              <w:rPr>
                <w:sz w:val="14"/>
                <w:szCs w:val="14"/>
                <w:color w:val="auto"/>
              </w:rPr>
            </w:pPr>
          </w:p>
        </w:tc>
        <w:tc>
          <w:tcPr>
            <w:tcW w:w="560" w:type="dxa"/>
            <w:vAlign w:val="bottom"/>
          </w:tcPr>
          <w:p>
            <w:pPr>
              <w:jc w:val="right"/>
              <w:ind w:right="415"/>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142,768</w:t>
            </w:r>
          </w:p>
        </w:tc>
        <w:tc>
          <w:tcPr>
            <w:tcW w:w="340" w:type="dxa"/>
            <w:vAlign w:val="bottom"/>
          </w:tcPr>
          <w:p>
            <w:pPr>
              <w:spacing w:after="0"/>
              <w:rPr>
                <w:sz w:val="14"/>
                <w:szCs w:val="14"/>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424,122</w:t>
            </w:r>
          </w:p>
        </w:tc>
        <w:tc>
          <w:tcPr>
            <w:tcW w:w="100" w:type="dxa"/>
            <w:vAlign w:val="bottom"/>
          </w:tcPr>
          <w:p>
            <w:pPr>
              <w:spacing w:after="0"/>
              <w:rPr>
                <w:sz w:val="14"/>
                <w:szCs w:val="14"/>
                <w:color w:val="auto"/>
              </w:rPr>
            </w:pPr>
          </w:p>
        </w:tc>
        <w:tc>
          <w:tcPr>
            <w:tcW w:w="540" w:type="dxa"/>
            <w:vAlign w:val="bottom"/>
          </w:tcPr>
          <w:p>
            <w:pPr>
              <w:jc w:val="right"/>
              <w:ind w:right="375"/>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419,819</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3"/>
                <w:szCs w:val="13"/>
                <w:color w:val="auto"/>
              </w:rPr>
              <w:t>Equipment revenue</w:t>
            </w:r>
          </w:p>
        </w:tc>
        <w:tc>
          <w:tcPr>
            <w:tcW w:w="3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16,320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15,963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48,787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49,551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200"/>
              <w:spacing w:after="0"/>
              <w:rPr>
                <w:sz w:val="20"/>
                <w:szCs w:val="20"/>
                <w:color w:val="auto"/>
              </w:rPr>
            </w:pPr>
            <w:r>
              <w:rPr>
                <w:rFonts w:ascii="Arial" w:cs="Arial" w:eastAsia="Arial" w:hAnsi="Arial"/>
                <w:sz w:val="13"/>
                <w:szCs w:val="13"/>
                <w:color w:val="auto"/>
              </w:rPr>
              <w:t>Total operating revenue</w:t>
            </w:r>
          </w:p>
        </w:tc>
        <w:tc>
          <w:tcPr>
            <w:tcW w:w="320" w:type="dxa"/>
            <w:vAlign w:val="bottom"/>
          </w:tcPr>
          <w:p>
            <w:pPr>
              <w:spacing w:after="0"/>
              <w:rPr>
                <w:sz w:val="14"/>
                <w:szCs w:val="14"/>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155,152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158,731</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472,909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469,370</w:t>
            </w:r>
          </w:p>
        </w:tc>
        <w:tc>
          <w:tcPr>
            <w:tcW w:w="0" w:type="dxa"/>
            <w:vAlign w:val="bottom"/>
          </w:tcPr>
          <w:p>
            <w:pPr>
              <w:spacing w:after="0"/>
              <w:rPr>
                <w:sz w:val="1"/>
                <w:szCs w:val="1"/>
                <w:color w:val="auto"/>
              </w:rPr>
            </w:pPr>
          </w:p>
        </w:tc>
      </w:tr>
      <w:tr>
        <w:trPr>
          <w:trHeight w:val="27"/>
        </w:trPr>
        <w:tc>
          <w:tcPr>
            <w:tcW w:w="5380" w:type="dxa"/>
            <w:vAlign w:val="bottom"/>
            <w:vMerge w:val="restart"/>
          </w:tcPr>
          <w:p>
            <w:pPr>
              <w:spacing w:after="0"/>
              <w:rPr>
                <w:sz w:val="20"/>
                <w:szCs w:val="20"/>
                <w:color w:val="auto"/>
              </w:rPr>
            </w:pPr>
            <w:r>
              <w:rPr>
                <w:rFonts w:ascii="Arial" w:cs="Arial" w:eastAsia="Arial" w:hAnsi="Arial"/>
                <w:sz w:val="13"/>
                <w:szCs w:val="13"/>
                <w:color w:val="auto"/>
              </w:rPr>
              <w:t>Operating expenses: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3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3"/>
                <w:szCs w:val="13"/>
                <w:color w:val="auto"/>
              </w:rPr>
              <w:t>Cost of services</w:t>
            </w:r>
          </w:p>
        </w:tc>
        <w:tc>
          <w:tcPr>
            <w:tcW w:w="3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50,164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47,886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149,179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146,362</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3"/>
                <w:szCs w:val="13"/>
                <w:color w:val="auto"/>
              </w:rPr>
              <w:t>Cost of goods sold</w:t>
            </w:r>
          </w:p>
        </w:tc>
        <w:tc>
          <w:tcPr>
            <w:tcW w:w="3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15,825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15,036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46,336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46,007</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3"/>
                <w:szCs w:val="13"/>
                <w:color w:val="auto"/>
              </w:rPr>
              <w:t>Selling, general and administrative</w:t>
            </w:r>
          </w:p>
        </w:tc>
        <w:tc>
          <w:tcPr>
            <w:tcW w:w="3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27,178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27,452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83,070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86,117</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36,626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40,028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120,158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124,632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200"/>
              <w:spacing w:after="0"/>
              <w:rPr>
                <w:sz w:val="20"/>
                <w:szCs w:val="20"/>
                <w:color w:val="auto"/>
              </w:rPr>
            </w:pPr>
            <w:r>
              <w:rPr>
                <w:rFonts w:ascii="Arial" w:cs="Arial" w:eastAsia="Arial" w:hAnsi="Arial"/>
                <w:sz w:val="13"/>
                <w:szCs w:val="13"/>
                <w:color w:val="auto"/>
              </w:rPr>
              <w:t>Total operating expenses</w:t>
            </w:r>
          </w:p>
        </w:tc>
        <w:tc>
          <w:tcPr>
            <w:tcW w:w="320" w:type="dxa"/>
            <w:vAlign w:val="bottom"/>
          </w:tcPr>
          <w:p>
            <w:pPr>
              <w:spacing w:after="0"/>
              <w:rPr>
                <w:sz w:val="14"/>
                <w:szCs w:val="14"/>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129,793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130,402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398,743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403,118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200"/>
              <w:spacing w:after="0"/>
              <w:rPr>
                <w:sz w:val="20"/>
                <w:szCs w:val="20"/>
                <w:color w:val="auto"/>
              </w:rPr>
            </w:pPr>
            <w:r>
              <w:rPr>
                <w:rFonts w:ascii="Arial" w:cs="Arial" w:eastAsia="Arial" w:hAnsi="Arial"/>
                <w:sz w:val="13"/>
                <w:szCs w:val="13"/>
                <w:color w:val="auto"/>
              </w:rPr>
              <w:t>Operating income</w:t>
            </w:r>
          </w:p>
        </w:tc>
        <w:tc>
          <w:tcPr>
            <w:tcW w:w="320" w:type="dxa"/>
            <w:vAlign w:val="bottom"/>
          </w:tcPr>
          <w:p>
            <w:pPr>
              <w:spacing w:after="0"/>
              <w:rPr>
                <w:sz w:val="14"/>
                <w:szCs w:val="14"/>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25,359</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28,329</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74,166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66,252</w:t>
            </w:r>
          </w:p>
        </w:tc>
        <w:tc>
          <w:tcPr>
            <w:tcW w:w="0" w:type="dxa"/>
            <w:vAlign w:val="bottom"/>
          </w:tcPr>
          <w:p>
            <w:pPr>
              <w:spacing w:after="0"/>
              <w:rPr>
                <w:sz w:val="1"/>
                <w:szCs w:val="1"/>
                <w:color w:val="auto"/>
              </w:rPr>
            </w:pPr>
          </w:p>
        </w:tc>
      </w:tr>
      <w:tr>
        <w:trPr>
          <w:trHeight w:val="27"/>
        </w:trPr>
        <w:tc>
          <w:tcPr>
            <w:tcW w:w="5380" w:type="dxa"/>
            <w:vAlign w:val="bottom"/>
            <w:vMerge w:val="restart"/>
          </w:tcPr>
          <w:p>
            <w:pPr>
              <w:spacing w:after="0"/>
              <w:rPr>
                <w:sz w:val="20"/>
                <w:szCs w:val="20"/>
                <w:color w:val="auto"/>
              </w:rPr>
            </w:pPr>
            <w:r>
              <w:rPr>
                <w:rFonts w:ascii="Arial" w:cs="Arial" w:eastAsia="Arial" w:hAnsi="Arial"/>
                <w:sz w:val="13"/>
                <w:szCs w:val="13"/>
                <w:color w:val="auto"/>
              </w:rPr>
              <w:t>Other income (expense):</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3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3"/>
                <w:szCs w:val="13"/>
                <w:color w:val="auto"/>
              </w:rPr>
              <w:t>Interest expense</w:t>
            </w:r>
          </w:p>
        </w:tc>
        <w:tc>
          <w:tcPr>
            <w:tcW w:w="32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3"/>
                <w:szCs w:val="13"/>
                <w:color w:val="auto"/>
              </w:rPr>
              <w:t>(7,505)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3"/>
                <w:szCs w:val="13"/>
                <w:color w:val="auto"/>
              </w:rPr>
              <w:t>(9,001)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(22,981)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(27,184)</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3"/>
                <w:szCs w:val="13"/>
                <w:color w:val="auto"/>
              </w:rPr>
              <w:t>Other</w:t>
            </w:r>
          </w:p>
        </w:tc>
        <w:tc>
          <w:tcPr>
            <w:tcW w:w="3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1,099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1,054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3,562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2,882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80" w:type="dxa"/>
            <w:vAlign w:val="bottom"/>
          </w:tcPr>
          <w:p>
            <w:pPr>
              <w:ind w:left="200"/>
              <w:spacing w:after="0"/>
              <w:rPr>
                <w:sz w:val="20"/>
                <w:szCs w:val="20"/>
                <w:color w:val="auto"/>
              </w:rPr>
            </w:pPr>
            <w:r>
              <w:rPr>
                <w:rFonts w:ascii="Arial" w:cs="Arial" w:eastAsia="Arial" w:hAnsi="Arial"/>
                <w:sz w:val="13"/>
                <w:szCs w:val="13"/>
                <w:color w:val="auto"/>
              </w:rPr>
              <w:t>Income before income taxes</w:t>
            </w:r>
          </w:p>
        </w:tc>
        <w:tc>
          <w:tcPr>
            <w:tcW w:w="320" w:type="dxa"/>
            <w:vAlign w:val="bottom"/>
          </w:tcPr>
          <w:p>
            <w:pPr>
              <w:spacing w:after="0"/>
              <w:rPr>
                <w:sz w:val="14"/>
                <w:szCs w:val="14"/>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18,953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20,382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54,747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41,950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3"/>
                <w:szCs w:val="13"/>
                <w:color w:val="auto"/>
              </w:rPr>
              <w:t>Income tax expense</w:t>
            </w:r>
          </w:p>
        </w:tc>
        <w:tc>
          <w:tcPr>
            <w:tcW w:w="32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4,599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4,848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3"/>
                <w:szCs w:val="13"/>
                <w:color w:val="auto"/>
              </w:rPr>
              <w:t>13,333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10,207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8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14,354</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15,534</w:t>
            </w: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41,414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31,743</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3"/>
                <w:szCs w:val="13"/>
                <w:color w:val="auto"/>
              </w:rPr>
              <w:t>Other comprehensive income (loss):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3"/>
                <w:szCs w:val="13"/>
                <w:color w:val="auto"/>
              </w:rPr>
              <w:t>Unrealized gain (loss) on interest rate hedge, net of tax</w:t>
            </w:r>
          </w:p>
        </w:tc>
        <w:tc>
          <w:tcPr>
            <w:tcW w:w="32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3"/>
                <w:szCs w:val="13"/>
                <w:color w:val="auto"/>
              </w:rPr>
              <w:t>(1,494)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465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(8,434)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4,360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80" w:type="dxa"/>
            <w:vAlign w:val="bottom"/>
          </w:tcPr>
          <w:p>
            <w:pPr>
              <w:ind w:left="200"/>
              <w:spacing w:after="0"/>
              <w:rPr>
                <w:sz w:val="20"/>
                <w:szCs w:val="20"/>
                <w:color w:val="auto"/>
              </w:rPr>
            </w:pPr>
            <w:r>
              <w:rPr>
                <w:rFonts w:ascii="Arial" w:cs="Arial" w:eastAsia="Arial" w:hAnsi="Arial"/>
                <w:sz w:val="13"/>
                <w:szCs w:val="13"/>
                <w:color w:val="auto"/>
              </w:rPr>
              <w:t>Comprehensive income</w:t>
            </w:r>
          </w:p>
        </w:tc>
        <w:tc>
          <w:tcPr>
            <w:tcW w:w="3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12,860</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15,999</w:t>
            </w:r>
          </w:p>
        </w:tc>
        <w:tc>
          <w:tcPr>
            <w:tcW w:w="340" w:type="dxa"/>
            <w:vAlign w:val="bottom"/>
          </w:tcPr>
          <w:p>
            <w:pPr>
              <w:spacing w:after="0"/>
              <w:rPr>
                <w:sz w:val="16"/>
                <w:szCs w:val="16"/>
                <w:color w:val="auto"/>
              </w:rPr>
            </w:pPr>
          </w:p>
        </w:tc>
        <w:tc>
          <w:tcPr>
            <w:tcW w:w="3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32,980</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36,103</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3"/>
                <w:szCs w:val="13"/>
                <w:color w:val="auto"/>
              </w:rPr>
              <w:t>Net income per share, basic and diluted: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120"/>
              <w:spacing w:after="0"/>
              <w:rPr>
                <w:sz w:val="20"/>
                <w:szCs w:val="20"/>
                <w:color w:val="auto"/>
              </w:rPr>
            </w:pPr>
            <w:r>
              <w:rPr>
                <w:rFonts w:ascii="Arial" w:cs="Arial" w:eastAsia="Arial" w:hAnsi="Arial"/>
                <w:sz w:val="13"/>
                <w:szCs w:val="13"/>
                <w:color w:val="auto"/>
              </w:rPr>
              <w:t>Basic net income per share</w:t>
            </w:r>
          </w:p>
        </w:tc>
        <w:tc>
          <w:tcPr>
            <w:tcW w:w="3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0.29</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0.31</w:t>
            </w:r>
          </w:p>
        </w:tc>
        <w:tc>
          <w:tcPr>
            <w:tcW w:w="340" w:type="dxa"/>
            <w:vAlign w:val="bottom"/>
          </w:tcPr>
          <w:p>
            <w:pPr>
              <w:spacing w:after="0"/>
              <w:rPr>
                <w:sz w:val="19"/>
                <w:szCs w:val="19"/>
                <w:color w:val="auto"/>
              </w:rPr>
            </w:pPr>
          </w:p>
        </w:tc>
        <w:tc>
          <w:tcPr>
            <w:tcW w:w="3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0.83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0.64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tcPr>
          <w:p>
            <w:pPr>
              <w:ind w:left="120"/>
              <w:spacing w:after="0"/>
              <w:rPr>
                <w:sz w:val="20"/>
                <w:szCs w:val="20"/>
                <w:color w:val="auto"/>
              </w:rPr>
            </w:pPr>
            <w:r>
              <w:rPr>
                <w:rFonts w:ascii="Arial" w:cs="Arial" w:eastAsia="Arial" w:hAnsi="Arial"/>
                <w:sz w:val="13"/>
                <w:szCs w:val="13"/>
                <w:color w:val="auto"/>
              </w:rPr>
              <w:t>Diluted net income per share</w:t>
            </w:r>
          </w:p>
        </w:tc>
        <w:tc>
          <w:tcPr>
            <w:tcW w:w="3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0.29</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0.31</w:t>
            </w:r>
          </w:p>
        </w:tc>
        <w:tc>
          <w:tcPr>
            <w:tcW w:w="340" w:type="dxa"/>
            <w:vAlign w:val="bottom"/>
          </w:tcPr>
          <w:p>
            <w:pPr>
              <w:spacing w:after="0"/>
              <w:rPr>
                <w:sz w:val="15"/>
                <w:szCs w:val="15"/>
                <w:color w:val="auto"/>
              </w:rPr>
            </w:pPr>
          </w:p>
        </w:tc>
        <w:tc>
          <w:tcPr>
            <w:tcW w:w="3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0.83</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0.63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tcPr>
          <w:p>
            <w:pPr>
              <w:ind w:left="120"/>
              <w:spacing w:after="0"/>
              <w:rPr>
                <w:sz w:val="20"/>
                <w:szCs w:val="20"/>
                <w:color w:val="auto"/>
              </w:rPr>
            </w:pPr>
            <w:r>
              <w:rPr>
                <w:rFonts w:ascii="Arial" w:cs="Arial" w:eastAsia="Arial" w:hAnsi="Arial"/>
                <w:sz w:val="13"/>
                <w:szCs w:val="13"/>
                <w:color w:val="auto"/>
              </w:rPr>
              <w:t>Weighted average shares outstanding, basic</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49,857</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49,559</w:t>
            </w: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49,827</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49,527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tcPr>
          <w:p>
            <w:pPr>
              <w:ind w:left="120"/>
              <w:spacing w:after="0"/>
              <w:rPr>
                <w:sz w:val="20"/>
                <w:szCs w:val="20"/>
                <w:color w:val="auto"/>
              </w:rPr>
            </w:pPr>
            <w:r>
              <w:rPr>
                <w:rFonts w:ascii="Arial" w:cs="Arial" w:eastAsia="Arial" w:hAnsi="Arial"/>
                <w:sz w:val="13"/>
                <w:szCs w:val="13"/>
                <w:color w:val="auto"/>
              </w:rPr>
              <w:t>Weighted average shares outstanding, diluted</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50,129</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50,117</w:t>
            </w: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50,110</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50,044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unaudited condensed consolidated financial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129" w:right="21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SHENANDOAH TELECOMMUNICATIONS COMPANY AND SUBSIDIARIES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UNAUDITED CONDENSED CONSOLIDATED STATEMENTS OF SHAREHOLDERS' EQUITY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per share amounts)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0"/>
              </w:rPr>
              <w:t>Shares of Common Stock</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Accumulated Other</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33"/>
        </w:trPr>
        <w:tc>
          <w:tcPr>
            <w:tcW w:w="4240" w:type="dxa"/>
            <w:vAlign w:val="bottom"/>
          </w:tcPr>
          <w:p>
            <w:pPr>
              <w:spacing w:after="0"/>
              <w:rPr>
                <w:sz w:val="11"/>
                <w:szCs w:val="11"/>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(no par value)</w:t>
            </w:r>
          </w:p>
        </w:tc>
        <w:tc>
          <w:tcPr>
            <w:tcW w:w="100" w:type="dxa"/>
            <w:vAlign w:val="bottom"/>
          </w:tcPr>
          <w:p>
            <w:pPr>
              <w:spacing w:after="0"/>
              <w:rPr>
                <w:sz w:val="11"/>
                <w:szCs w:val="11"/>
                <w:color w:val="auto"/>
              </w:rPr>
            </w:pPr>
          </w:p>
        </w:tc>
        <w:tc>
          <w:tcPr>
            <w:tcW w:w="1420" w:type="dxa"/>
            <w:vAlign w:val="bottom"/>
            <w:gridSpan w:val="2"/>
          </w:tcPr>
          <w:p>
            <w:pPr>
              <w:ind w:left="40"/>
              <w:spacing w:after="0"/>
              <w:rPr>
                <w:sz w:val="20"/>
                <w:szCs w:val="20"/>
                <w:color w:val="auto"/>
              </w:rPr>
            </w:pPr>
            <w:r>
              <w:rPr>
                <w:rFonts w:ascii="Arial" w:cs="Arial" w:eastAsia="Arial" w:hAnsi="Arial"/>
                <w:sz w:val="10"/>
                <w:szCs w:val="10"/>
                <w:b w:val="1"/>
                <w:bCs w:val="1"/>
                <w:color w:val="auto"/>
              </w:rPr>
              <w:t>Additional Paid in Capital</w:t>
            </w:r>
          </w:p>
        </w:tc>
        <w:tc>
          <w:tcPr>
            <w:tcW w:w="180" w:type="dxa"/>
            <w:vAlign w:val="bottom"/>
          </w:tcPr>
          <w:p>
            <w:pPr>
              <w:spacing w:after="0"/>
              <w:rPr>
                <w:sz w:val="11"/>
                <w:szCs w:val="11"/>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b w:val="1"/>
                <w:bCs w:val="1"/>
                <w:color w:val="auto"/>
              </w:rPr>
              <w:t>Retained Earnings</w:t>
            </w:r>
          </w:p>
        </w:tc>
        <w:tc>
          <w:tcPr>
            <w:tcW w:w="1460" w:type="dxa"/>
            <w:vAlign w:val="bottom"/>
            <w:gridSpan w:val="3"/>
          </w:tcPr>
          <w:p>
            <w:pPr>
              <w:ind w:left="20"/>
              <w:spacing w:after="0"/>
              <w:rPr>
                <w:sz w:val="20"/>
                <w:szCs w:val="20"/>
                <w:color w:val="auto"/>
              </w:rPr>
            </w:pPr>
            <w:r>
              <w:rPr>
                <w:rFonts w:ascii="Arial" w:cs="Arial" w:eastAsia="Arial" w:hAnsi="Arial"/>
                <w:sz w:val="10"/>
                <w:szCs w:val="10"/>
                <w:b w:val="1"/>
                <w:bCs w:val="1"/>
                <w:color w:val="auto"/>
                <w:w w:val="97"/>
              </w:rPr>
              <w:t>Comprehensive Income (Loss)</w:t>
            </w:r>
          </w:p>
        </w:tc>
        <w:tc>
          <w:tcPr>
            <w:tcW w:w="320" w:type="dxa"/>
            <w:vAlign w:val="bottom"/>
          </w:tcPr>
          <w:p>
            <w:pPr>
              <w:spacing w:after="0"/>
              <w:rPr>
                <w:sz w:val="11"/>
                <w:szCs w:val="11"/>
                <w:color w:val="auto"/>
              </w:rPr>
            </w:pPr>
          </w:p>
        </w:tc>
        <w:tc>
          <w:tcPr>
            <w:tcW w:w="1040" w:type="dxa"/>
            <w:vAlign w:val="bottom"/>
          </w:tcPr>
          <w:p>
            <w:pPr>
              <w:jc w:val="right"/>
              <w:ind w:right="503"/>
              <w:spacing w:after="0"/>
              <w:rPr>
                <w:sz w:val="20"/>
                <w:szCs w:val="20"/>
                <w:color w:val="auto"/>
              </w:rPr>
            </w:pPr>
            <w:r>
              <w:rPr>
                <w:rFonts w:ascii="Arial" w:cs="Arial" w:eastAsia="Arial" w:hAnsi="Arial"/>
                <w:sz w:val="10"/>
                <w:szCs w:val="10"/>
                <w:b w:val="1"/>
                <w:bCs w:val="1"/>
                <w:color w:val="auto"/>
              </w:rPr>
              <w:t>Total</w:t>
            </w:r>
          </w:p>
        </w:tc>
      </w:tr>
      <w:tr>
        <w:trPr>
          <w:trHeight w:val="196"/>
        </w:trPr>
        <w:tc>
          <w:tcPr>
            <w:tcW w:w="4240" w:type="dxa"/>
            <w:vAlign w:val="bottom"/>
          </w:tcPr>
          <w:p>
            <w:pPr>
              <w:spacing w:after="0"/>
              <w:rPr>
                <w:sz w:val="20"/>
                <w:szCs w:val="20"/>
                <w:color w:val="auto"/>
              </w:rPr>
            </w:pPr>
            <w:r>
              <w:rPr>
                <w:rFonts w:ascii="Arial" w:cs="Arial" w:eastAsia="Arial" w:hAnsi="Arial"/>
                <w:sz w:val="11"/>
                <w:szCs w:val="11"/>
                <w:b w:val="1"/>
                <w:bCs w:val="1"/>
                <w:color w:val="auto"/>
              </w:rPr>
              <w:t>Balance, June 30, 2019</w:t>
            </w:r>
          </w:p>
        </w:tc>
        <w:tc>
          <w:tcPr>
            <w:tcW w:w="126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49,857</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47,138</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413,571</w:t>
            </w:r>
          </w:p>
        </w:tc>
        <w:tc>
          <w:tcPr>
            <w:tcW w:w="10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4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1,340</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rPr>
              <w:t>462,049</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14,354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14,354</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Other comprehensive loss, net of tax</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Arial" w:cs="Arial" w:eastAsia="Arial" w:hAnsi="Arial"/>
                <w:sz w:val="11"/>
                <w:szCs w:val="11"/>
                <w:color w:val="auto"/>
              </w:rPr>
              <w:t>(1,494)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(1,494)</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Stock 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tcPr>
          <w:p>
            <w:pPr>
              <w:jc w:val="right"/>
              <w:ind w:right="63"/>
              <w:spacing w:after="0"/>
              <w:rPr>
                <w:sz w:val="20"/>
                <w:szCs w:val="20"/>
                <w:color w:val="auto"/>
              </w:rPr>
            </w:pPr>
            <w:r>
              <w:rPr>
                <w:rFonts w:ascii="Arial" w:cs="Arial" w:eastAsia="Arial" w:hAnsi="Arial"/>
                <w:sz w:val="11"/>
                <w:szCs w:val="11"/>
                <w:color w:val="auto"/>
              </w:rPr>
              <w:t>936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936</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Common stock issued</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tcPr>
          <w:p>
            <w:pPr>
              <w:jc w:val="right"/>
              <w:ind w:right="63"/>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9</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w w:val="96"/>
              </w:rPr>
              <w:t>Shares retired for settlement of employee taxes upon issuance of vested equity awards</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189"/>
        </w:trPr>
        <w:tc>
          <w:tcPr>
            <w:tcW w:w="4240" w:type="dxa"/>
            <w:vAlign w:val="bottom"/>
          </w:tcPr>
          <w:p>
            <w:pPr>
              <w:spacing w:after="0"/>
              <w:rPr>
                <w:sz w:val="20"/>
                <w:szCs w:val="20"/>
                <w:color w:val="auto"/>
              </w:rPr>
            </w:pPr>
            <w:r>
              <w:rPr>
                <w:rFonts w:ascii="Arial" w:cs="Arial" w:eastAsia="Arial" w:hAnsi="Arial"/>
                <w:sz w:val="11"/>
                <w:szCs w:val="11"/>
                <w:b w:val="1"/>
                <w:bCs w:val="1"/>
                <w:color w:val="auto"/>
              </w:rPr>
              <w:t>Balance, September 30, 2019</w:t>
            </w:r>
          </w:p>
        </w:tc>
        <w:tc>
          <w:tcPr>
            <w:tcW w:w="12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49,857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48,083</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427,925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rPr>
              <w:t>(154)</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475,854</w:t>
            </w:r>
          </w:p>
        </w:tc>
      </w:tr>
      <w:tr>
        <w:trPr>
          <w:trHeight w:val="20"/>
        </w:trPr>
        <w:tc>
          <w:tcPr>
            <w:tcW w:w="4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3"/>
        </w:trPr>
        <w:tc>
          <w:tcPr>
            <w:tcW w:w="424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0"/>
              </w:rPr>
              <w:t>Shares of Common Stock</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Accumulated Other</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33"/>
        </w:trPr>
        <w:tc>
          <w:tcPr>
            <w:tcW w:w="4240" w:type="dxa"/>
            <w:vAlign w:val="bottom"/>
          </w:tcPr>
          <w:p>
            <w:pPr>
              <w:spacing w:after="0"/>
              <w:rPr>
                <w:sz w:val="11"/>
                <w:szCs w:val="11"/>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(no par value)</w:t>
            </w:r>
          </w:p>
        </w:tc>
        <w:tc>
          <w:tcPr>
            <w:tcW w:w="100" w:type="dxa"/>
            <w:vAlign w:val="bottom"/>
          </w:tcPr>
          <w:p>
            <w:pPr>
              <w:spacing w:after="0"/>
              <w:rPr>
                <w:sz w:val="11"/>
                <w:szCs w:val="11"/>
                <w:color w:val="auto"/>
              </w:rPr>
            </w:pPr>
          </w:p>
        </w:tc>
        <w:tc>
          <w:tcPr>
            <w:tcW w:w="1420" w:type="dxa"/>
            <w:vAlign w:val="bottom"/>
            <w:gridSpan w:val="2"/>
          </w:tcPr>
          <w:p>
            <w:pPr>
              <w:ind w:left="40"/>
              <w:spacing w:after="0"/>
              <w:rPr>
                <w:sz w:val="20"/>
                <w:szCs w:val="20"/>
                <w:color w:val="auto"/>
              </w:rPr>
            </w:pPr>
            <w:r>
              <w:rPr>
                <w:rFonts w:ascii="Arial" w:cs="Arial" w:eastAsia="Arial" w:hAnsi="Arial"/>
                <w:sz w:val="10"/>
                <w:szCs w:val="10"/>
                <w:b w:val="1"/>
                <w:bCs w:val="1"/>
                <w:color w:val="auto"/>
              </w:rPr>
              <w:t>Additional Paid in Capital</w:t>
            </w:r>
          </w:p>
        </w:tc>
        <w:tc>
          <w:tcPr>
            <w:tcW w:w="180" w:type="dxa"/>
            <w:vAlign w:val="bottom"/>
          </w:tcPr>
          <w:p>
            <w:pPr>
              <w:spacing w:after="0"/>
              <w:rPr>
                <w:sz w:val="11"/>
                <w:szCs w:val="11"/>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b w:val="1"/>
                <w:bCs w:val="1"/>
                <w:color w:val="auto"/>
              </w:rPr>
              <w:t>Retained Earnings</w:t>
            </w:r>
          </w:p>
        </w:tc>
        <w:tc>
          <w:tcPr>
            <w:tcW w:w="1460" w:type="dxa"/>
            <w:vAlign w:val="bottom"/>
            <w:gridSpan w:val="3"/>
          </w:tcPr>
          <w:p>
            <w:pPr>
              <w:ind w:left="20"/>
              <w:spacing w:after="0"/>
              <w:rPr>
                <w:sz w:val="20"/>
                <w:szCs w:val="20"/>
                <w:color w:val="auto"/>
              </w:rPr>
            </w:pPr>
            <w:r>
              <w:rPr>
                <w:rFonts w:ascii="Arial" w:cs="Arial" w:eastAsia="Arial" w:hAnsi="Arial"/>
                <w:sz w:val="10"/>
                <w:szCs w:val="10"/>
                <w:b w:val="1"/>
                <w:bCs w:val="1"/>
                <w:color w:val="auto"/>
                <w:w w:val="97"/>
              </w:rPr>
              <w:t>Comprehensive Income (Loss)</w:t>
            </w:r>
          </w:p>
        </w:tc>
        <w:tc>
          <w:tcPr>
            <w:tcW w:w="320" w:type="dxa"/>
            <w:vAlign w:val="bottom"/>
          </w:tcPr>
          <w:p>
            <w:pPr>
              <w:spacing w:after="0"/>
              <w:rPr>
                <w:sz w:val="11"/>
                <w:szCs w:val="11"/>
                <w:color w:val="auto"/>
              </w:rPr>
            </w:pPr>
          </w:p>
        </w:tc>
        <w:tc>
          <w:tcPr>
            <w:tcW w:w="1040" w:type="dxa"/>
            <w:vAlign w:val="bottom"/>
          </w:tcPr>
          <w:p>
            <w:pPr>
              <w:jc w:val="right"/>
              <w:ind w:right="503"/>
              <w:spacing w:after="0"/>
              <w:rPr>
                <w:sz w:val="20"/>
                <w:szCs w:val="20"/>
                <w:color w:val="auto"/>
              </w:rPr>
            </w:pPr>
            <w:r>
              <w:rPr>
                <w:rFonts w:ascii="Arial" w:cs="Arial" w:eastAsia="Arial" w:hAnsi="Arial"/>
                <w:sz w:val="10"/>
                <w:szCs w:val="10"/>
                <w:b w:val="1"/>
                <w:bCs w:val="1"/>
                <w:color w:val="auto"/>
              </w:rPr>
              <w:t>Total</w:t>
            </w:r>
          </w:p>
        </w:tc>
      </w:tr>
      <w:tr>
        <w:trPr>
          <w:trHeight w:val="196"/>
        </w:trPr>
        <w:tc>
          <w:tcPr>
            <w:tcW w:w="4240" w:type="dxa"/>
            <w:vAlign w:val="bottom"/>
          </w:tcPr>
          <w:p>
            <w:pPr>
              <w:spacing w:after="0"/>
              <w:rPr>
                <w:sz w:val="20"/>
                <w:szCs w:val="20"/>
                <w:color w:val="auto"/>
              </w:rPr>
            </w:pPr>
            <w:r>
              <w:rPr>
                <w:rFonts w:ascii="Arial" w:cs="Arial" w:eastAsia="Arial" w:hAnsi="Arial"/>
                <w:sz w:val="11"/>
                <w:szCs w:val="11"/>
                <w:b w:val="1"/>
                <w:bCs w:val="1"/>
                <w:color w:val="auto"/>
              </w:rPr>
              <w:t>Balance, December 31, 2018</w:t>
            </w:r>
          </w:p>
        </w:tc>
        <w:tc>
          <w:tcPr>
            <w:tcW w:w="126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49,630</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47,456</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386,511</w:t>
            </w:r>
          </w:p>
        </w:tc>
        <w:tc>
          <w:tcPr>
            <w:tcW w:w="10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4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8,280</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rPr>
              <w:t>442,247</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41,414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41,414</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Other comprehensive loss, net of tax</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Arial" w:cs="Arial" w:eastAsia="Arial" w:hAnsi="Arial"/>
                <w:sz w:val="11"/>
                <w:szCs w:val="11"/>
                <w:color w:val="auto"/>
              </w:rPr>
              <w:t>(8,434)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(8,434)</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Stock based compensation</w:t>
            </w: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63"/>
              <w:spacing w:after="0"/>
              <w:rPr>
                <w:sz w:val="20"/>
                <w:szCs w:val="20"/>
                <w:color w:val="auto"/>
              </w:rPr>
            </w:pPr>
            <w:r>
              <w:rPr>
                <w:rFonts w:ascii="Arial" w:cs="Arial" w:eastAsia="Arial" w:hAnsi="Arial"/>
                <w:sz w:val="11"/>
                <w:szCs w:val="11"/>
                <w:color w:val="auto"/>
              </w:rPr>
              <w:t>3,433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3,433</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Stock options exercised</w:t>
            </w: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63"/>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81</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Common stock issued</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tcPr>
          <w:p>
            <w:pPr>
              <w:jc w:val="right"/>
              <w:ind w:right="63"/>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25</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w w:val="96"/>
              </w:rPr>
              <w:t>Shares retired for settlement of employee taxes upon issuance of vested equity awards</w:t>
            </w:r>
          </w:p>
        </w:tc>
        <w:tc>
          <w:tcPr>
            <w:tcW w:w="1260" w:type="dxa"/>
            <w:vAlign w:val="bottom"/>
          </w:tcPr>
          <w:p>
            <w:pPr>
              <w:jc w:val="right"/>
              <w:ind w:right="24"/>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3"/>
              <w:spacing w:after="0"/>
              <w:rPr>
                <w:sz w:val="20"/>
                <w:szCs w:val="20"/>
                <w:color w:val="auto"/>
              </w:rPr>
            </w:pPr>
            <w:r>
              <w:rPr>
                <w:rFonts w:ascii="Arial" w:cs="Arial" w:eastAsia="Arial" w:hAnsi="Arial"/>
                <w:sz w:val="11"/>
                <w:szCs w:val="11"/>
                <w:color w:val="auto"/>
              </w:rPr>
              <w:t>(2,912)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(2,912)</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Common stock issued to acquire non-controlling interest in nTelos</w:t>
            </w: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189"/>
        </w:trPr>
        <w:tc>
          <w:tcPr>
            <w:tcW w:w="4240" w:type="dxa"/>
            <w:vAlign w:val="bottom"/>
          </w:tcPr>
          <w:p>
            <w:pPr>
              <w:spacing w:after="0"/>
              <w:rPr>
                <w:sz w:val="20"/>
                <w:szCs w:val="20"/>
                <w:color w:val="auto"/>
              </w:rPr>
            </w:pPr>
            <w:r>
              <w:rPr>
                <w:rFonts w:ascii="Arial" w:cs="Arial" w:eastAsia="Arial" w:hAnsi="Arial"/>
                <w:sz w:val="11"/>
                <w:szCs w:val="11"/>
                <w:b w:val="1"/>
                <w:bCs w:val="1"/>
                <w:color w:val="auto"/>
              </w:rPr>
              <w:t>Balance, September 30, 2019</w:t>
            </w:r>
          </w:p>
        </w:tc>
        <w:tc>
          <w:tcPr>
            <w:tcW w:w="12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49,857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48,083</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427,925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rPr>
              <w:t>(154)</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475,854</w:t>
            </w:r>
          </w:p>
        </w:tc>
      </w:tr>
      <w:tr>
        <w:trPr>
          <w:trHeight w:val="20"/>
        </w:trPr>
        <w:tc>
          <w:tcPr>
            <w:tcW w:w="4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3"/>
        </w:trPr>
        <w:tc>
          <w:tcPr>
            <w:tcW w:w="424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0"/>
              </w:rPr>
              <w:t>Shares of Common Stock</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Accumulated Other</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33"/>
        </w:trPr>
        <w:tc>
          <w:tcPr>
            <w:tcW w:w="4240" w:type="dxa"/>
            <w:vAlign w:val="bottom"/>
          </w:tcPr>
          <w:p>
            <w:pPr>
              <w:spacing w:after="0"/>
              <w:rPr>
                <w:sz w:val="11"/>
                <w:szCs w:val="11"/>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(no par value)</w:t>
            </w:r>
          </w:p>
        </w:tc>
        <w:tc>
          <w:tcPr>
            <w:tcW w:w="100" w:type="dxa"/>
            <w:vAlign w:val="bottom"/>
          </w:tcPr>
          <w:p>
            <w:pPr>
              <w:spacing w:after="0"/>
              <w:rPr>
                <w:sz w:val="11"/>
                <w:szCs w:val="11"/>
                <w:color w:val="auto"/>
              </w:rPr>
            </w:pPr>
          </w:p>
        </w:tc>
        <w:tc>
          <w:tcPr>
            <w:tcW w:w="1420" w:type="dxa"/>
            <w:vAlign w:val="bottom"/>
            <w:gridSpan w:val="2"/>
          </w:tcPr>
          <w:p>
            <w:pPr>
              <w:ind w:left="40"/>
              <w:spacing w:after="0"/>
              <w:rPr>
                <w:sz w:val="20"/>
                <w:szCs w:val="20"/>
                <w:color w:val="auto"/>
              </w:rPr>
            </w:pPr>
            <w:r>
              <w:rPr>
                <w:rFonts w:ascii="Arial" w:cs="Arial" w:eastAsia="Arial" w:hAnsi="Arial"/>
                <w:sz w:val="10"/>
                <w:szCs w:val="10"/>
                <w:b w:val="1"/>
                <w:bCs w:val="1"/>
                <w:color w:val="auto"/>
              </w:rPr>
              <w:t>Additional Paid in Capital</w:t>
            </w:r>
          </w:p>
        </w:tc>
        <w:tc>
          <w:tcPr>
            <w:tcW w:w="180" w:type="dxa"/>
            <w:vAlign w:val="bottom"/>
          </w:tcPr>
          <w:p>
            <w:pPr>
              <w:spacing w:after="0"/>
              <w:rPr>
                <w:sz w:val="11"/>
                <w:szCs w:val="11"/>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b w:val="1"/>
                <w:bCs w:val="1"/>
                <w:color w:val="auto"/>
              </w:rPr>
              <w:t>Retained Earnings</w:t>
            </w:r>
          </w:p>
        </w:tc>
        <w:tc>
          <w:tcPr>
            <w:tcW w:w="120" w:type="dxa"/>
            <w:vAlign w:val="bottom"/>
          </w:tcPr>
          <w:p>
            <w:pPr>
              <w:spacing w:after="0"/>
              <w:rPr>
                <w:sz w:val="11"/>
                <w:szCs w:val="1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Comprehensive Income</w:t>
            </w:r>
          </w:p>
        </w:tc>
        <w:tc>
          <w:tcPr>
            <w:tcW w:w="320" w:type="dxa"/>
            <w:vAlign w:val="bottom"/>
          </w:tcPr>
          <w:p>
            <w:pPr>
              <w:spacing w:after="0"/>
              <w:rPr>
                <w:sz w:val="11"/>
                <w:szCs w:val="11"/>
                <w:color w:val="auto"/>
              </w:rPr>
            </w:pPr>
          </w:p>
        </w:tc>
        <w:tc>
          <w:tcPr>
            <w:tcW w:w="1040" w:type="dxa"/>
            <w:vAlign w:val="bottom"/>
          </w:tcPr>
          <w:p>
            <w:pPr>
              <w:jc w:val="right"/>
              <w:ind w:right="503"/>
              <w:spacing w:after="0"/>
              <w:rPr>
                <w:sz w:val="20"/>
                <w:szCs w:val="20"/>
                <w:color w:val="auto"/>
              </w:rPr>
            </w:pPr>
            <w:r>
              <w:rPr>
                <w:rFonts w:ascii="Arial" w:cs="Arial" w:eastAsia="Arial" w:hAnsi="Arial"/>
                <w:sz w:val="10"/>
                <w:szCs w:val="10"/>
                <w:b w:val="1"/>
                <w:bCs w:val="1"/>
                <w:color w:val="auto"/>
              </w:rPr>
              <w:t>Total</w:t>
            </w:r>
          </w:p>
        </w:tc>
      </w:tr>
      <w:tr>
        <w:trPr>
          <w:trHeight w:val="196"/>
        </w:trPr>
        <w:tc>
          <w:tcPr>
            <w:tcW w:w="4240" w:type="dxa"/>
            <w:vAlign w:val="bottom"/>
          </w:tcPr>
          <w:p>
            <w:pPr>
              <w:spacing w:after="0"/>
              <w:rPr>
                <w:sz w:val="20"/>
                <w:szCs w:val="20"/>
                <w:color w:val="auto"/>
              </w:rPr>
            </w:pPr>
            <w:r>
              <w:rPr>
                <w:rFonts w:ascii="Arial" w:cs="Arial" w:eastAsia="Arial" w:hAnsi="Arial"/>
                <w:sz w:val="11"/>
                <w:szCs w:val="11"/>
                <w:b w:val="1"/>
                <w:bCs w:val="1"/>
                <w:color w:val="auto"/>
              </w:rPr>
              <w:t>Balance, June 30, 2018</w:t>
            </w:r>
          </w:p>
        </w:tc>
        <w:tc>
          <w:tcPr>
            <w:tcW w:w="126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49,558</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46,172</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369,511</w:t>
            </w:r>
          </w:p>
        </w:tc>
        <w:tc>
          <w:tcPr>
            <w:tcW w:w="10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4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12,125</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rPr>
              <w:t>427,808</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15,534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15,534</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Other comprehensive gain, net of tax</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465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465</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Stock based compensation</w:t>
            </w: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63"/>
              <w:spacing w:after="0"/>
              <w:rPr>
                <w:sz w:val="20"/>
                <w:szCs w:val="20"/>
                <w:color w:val="auto"/>
              </w:rPr>
            </w:pPr>
            <w:r>
              <w:rPr>
                <w:rFonts w:ascii="Arial" w:cs="Arial" w:eastAsia="Arial" w:hAnsi="Arial"/>
                <w:sz w:val="11"/>
                <w:szCs w:val="11"/>
                <w:color w:val="auto"/>
              </w:rPr>
              <w:t>1,171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1,171</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Common stock issued</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tcPr>
          <w:p>
            <w:pPr>
              <w:jc w:val="right"/>
              <w:ind w:right="63"/>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8</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w w:val="96"/>
              </w:rPr>
              <w:t>Shares retired for settlement of employee taxes upon issuance of vested equity awards</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w:t>
            </w:r>
          </w:p>
        </w:tc>
      </w:tr>
      <w:tr>
        <w:trPr>
          <w:trHeight w:val="189"/>
        </w:trPr>
        <w:tc>
          <w:tcPr>
            <w:tcW w:w="4240" w:type="dxa"/>
            <w:vAlign w:val="bottom"/>
          </w:tcPr>
          <w:p>
            <w:pPr>
              <w:spacing w:after="0"/>
              <w:rPr>
                <w:sz w:val="20"/>
                <w:szCs w:val="20"/>
                <w:color w:val="auto"/>
              </w:rPr>
            </w:pPr>
            <w:r>
              <w:rPr>
                <w:rFonts w:ascii="Arial" w:cs="Arial" w:eastAsia="Arial" w:hAnsi="Arial"/>
                <w:sz w:val="11"/>
                <w:szCs w:val="11"/>
                <w:b w:val="1"/>
                <w:bCs w:val="1"/>
                <w:color w:val="auto"/>
              </w:rPr>
              <w:t>Balance, September 30, 2018</w:t>
            </w:r>
          </w:p>
        </w:tc>
        <w:tc>
          <w:tcPr>
            <w:tcW w:w="12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49,559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47,350</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385,045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12,590</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444,985</w:t>
            </w:r>
          </w:p>
        </w:tc>
      </w:tr>
      <w:tr>
        <w:trPr>
          <w:trHeight w:val="20"/>
        </w:trPr>
        <w:tc>
          <w:tcPr>
            <w:tcW w:w="4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3"/>
        </w:trPr>
        <w:tc>
          <w:tcPr>
            <w:tcW w:w="424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0"/>
              </w:rPr>
              <w:t>Shares of Common Stock</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Accumulated Other</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33"/>
        </w:trPr>
        <w:tc>
          <w:tcPr>
            <w:tcW w:w="4240" w:type="dxa"/>
            <w:vAlign w:val="bottom"/>
          </w:tcPr>
          <w:p>
            <w:pPr>
              <w:spacing w:after="0"/>
              <w:rPr>
                <w:sz w:val="11"/>
                <w:szCs w:val="11"/>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(no par value)</w:t>
            </w:r>
          </w:p>
        </w:tc>
        <w:tc>
          <w:tcPr>
            <w:tcW w:w="100" w:type="dxa"/>
            <w:vAlign w:val="bottom"/>
          </w:tcPr>
          <w:p>
            <w:pPr>
              <w:spacing w:after="0"/>
              <w:rPr>
                <w:sz w:val="11"/>
                <w:szCs w:val="11"/>
                <w:color w:val="auto"/>
              </w:rPr>
            </w:pPr>
          </w:p>
        </w:tc>
        <w:tc>
          <w:tcPr>
            <w:tcW w:w="1420" w:type="dxa"/>
            <w:vAlign w:val="bottom"/>
            <w:gridSpan w:val="2"/>
          </w:tcPr>
          <w:p>
            <w:pPr>
              <w:ind w:left="40"/>
              <w:spacing w:after="0"/>
              <w:rPr>
                <w:sz w:val="20"/>
                <w:szCs w:val="20"/>
                <w:color w:val="auto"/>
              </w:rPr>
            </w:pPr>
            <w:r>
              <w:rPr>
                <w:rFonts w:ascii="Arial" w:cs="Arial" w:eastAsia="Arial" w:hAnsi="Arial"/>
                <w:sz w:val="10"/>
                <w:szCs w:val="10"/>
                <w:b w:val="1"/>
                <w:bCs w:val="1"/>
                <w:color w:val="auto"/>
              </w:rPr>
              <w:t>Additional Paid in Capital</w:t>
            </w:r>
          </w:p>
        </w:tc>
        <w:tc>
          <w:tcPr>
            <w:tcW w:w="180" w:type="dxa"/>
            <w:vAlign w:val="bottom"/>
          </w:tcPr>
          <w:p>
            <w:pPr>
              <w:spacing w:after="0"/>
              <w:rPr>
                <w:sz w:val="11"/>
                <w:szCs w:val="11"/>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b w:val="1"/>
                <w:bCs w:val="1"/>
                <w:color w:val="auto"/>
              </w:rPr>
              <w:t>Retained Earnings</w:t>
            </w:r>
          </w:p>
        </w:tc>
        <w:tc>
          <w:tcPr>
            <w:tcW w:w="120" w:type="dxa"/>
            <w:vAlign w:val="bottom"/>
          </w:tcPr>
          <w:p>
            <w:pPr>
              <w:spacing w:after="0"/>
              <w:rPr>
                <w:sz w:val="11"/>
                <w:szCs w:val="1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Comprehensive Income</w:t>
            </w:r>
          </w:p>
        </w:tc>
        <w:tc>
          <w:tcPr>
            <w:tcW w:w="320" w:type="dxa"/>
            <w:vAlign w:val="bottom"/>
          </w:tcPr>
          <w:p>
            <w:pPr>
              <w:spacing w:after="0"/>
              <w:rPr>
                <w:sz w:val="11"/>
                <w:szCs w:val="11"/>
                <w:color w:val="auto"/>
              </w:rPr>
            </w:pPr>
          </w:p>
        </w:tc>
        <w:tc>
          <w:tcPr>
            <w:tcW w:w="1040" w:type="dxa"/>
            <w:vAlign w:val="bottom"/>
          </w:tcPr>
          <w:p>
            <w:pPr>
              <w:jc w:val="right"/>
              <w:ind w:right="503"/>
              <w:spacing w:after="0"/>
              <w:rPr>
                <w:sz w:val="20"/>
                <w:szCs w:val="20"/>
                <w:color w:val="auto"/>
              </w:rPr>
            </w:pPr>
            <w:r>
              <w:rPr>
                <w:rFonts w:ascii="Arial" w:cs="Arial" w:eastAsia="Arial" w:hAnsi="Arial"/>
                <w:sz w:val="10"/>
                <w:szCs w:val="10"/>
                <w:b w:val="1"/>
                <w:bCs w:val="1"/>
                <w:color w:val="auto"/>
              </w:rPr>
              <w:t>Total</w:t>
            </w:r>
          </w:p>
        </w:tc>
      </w:tr>
      <w:tr>
        <w:trPr>
          <w:trHeight w:val="196"/>
        </w:trPr>
        <w:tc>
          <w:tcPr>
            <w:tcW w:w="4240" w:type="dxa"/>
            <w:vAlign w:val="bottom"/>
          </w:tcPr>
          <w:p>
            <w:pPr>
              <w:spacing w:after="0"/>
              <w:rPr>
                <w:sz w:val="20"/>
                <w:szCs w:val="20"/>
                <w:color w:val="auto"/>
              </w:rPr>
            </w:pPr>
            <w:r>
              <w:rPr>
                <w:rFonts w:ascii="Arial" w:cs="Arial" w:eastAsia="Arial" w:hAnsi="Arial"/>
                <w:sz w:val="11"/>
                <w:szCs w:val="11"/>
                <w:b w:val="1"/>
                <w:bCs w:val="1"/>
                <w:color w:val="auto"/>
              </w:rPr>
              <w:t>Balance, December 31, 2017</w:t>
            </w:r>
          </w:p>
        </w:tc>
        <w:tc>
          <w:tcPr>
            <w:tcW w:w="126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49,328</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44,787</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297,205</w:t>
            </w:r>
          </w:p>
        </w:tc>
        <w:tc>
          <w:tcPr>
            <w:tcW w:w="10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4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8,230</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rPr>
              <w:t>350,222</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Change in Accounting Principle - Adoption of ASU 2014-09</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56,097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56,097</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31,743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31,743</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Other comprehensive gain, net of tax</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240" w:type="dxa"/>
            <w:vAlign w:val="bottom"/>
          </w:tcPr>
          <w:p>
            <w:pPr>
              <w:jc w:val="right"/>
              <w:ind w:right="64"/>
              <w:spacing w:after="0"/>
              <w:rPr>
                <w:sz w:val="20"/>
                <w:szCs w:val="20"/>
                <w:color w:val="auto"/>
              </w:rPr>
            </w:pPr>
            <w:r>
              <w:rPr>
                <w:rFonts w:ascii="Arial" w:cs="Arial" w:eastAsia="Arial" w:hAnsi="Arial"/>
                <w:sz w:val="11"/>
                <w:szCs w:val="11"/>
                <w:color w:val="auto"/>
              </w:rPr>
              <w:t>4,360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4,360</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Stock based compensation</w:t>
            </w: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63"/>
              <w:spacing w:after="0"/>
              <w:rPr>
                <w:sz w:val="20"/>
                <w:szCs w:val="20"/>
                <w:color w:val="auto"/>
              </w:rPr>
            </w:pPr>
            <w:r>
              <w:rPr>
                <w:rFonts w:ascii="Arial" w:cs="Arial" w:eastAsia="Arial" w:hAnsi="Arial"/>
                <w:sz w:val="11"/>
                <w:szCs w:val="11"/>
                <w:color w:val="auto"/>
              </w:rPr>
              <w:t>4,578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4,578</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Stock options exercised</w:t>
            </w: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63"/>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104</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Common stock issued</w:t>
            </w: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tcPr>
          <w:p>
            <w:pPr>
              <w:jc w:val="right"/>
              <w:ind w:right="63"/>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18</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w w:val="96"/>
              </w:rPr>
              <w:t>Shares retired for settlement of employee taxes upon issuance of vested equity awards</w:t>
            </w:r>
          </w:p>
        </w:tc>
        <w:tc>
          <w:tcPr>
            <w:tcW w:w="1260" w:type="dxa"/>
            <w:vAlign w:val="bottom"/>
          </w:tcPr>
          <w:p>
            <w:pPr>
              <w:jc w:val="right"/>
              <w:ind w:right="24"/>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3"/>
              <w:spacing w:after="0"/>
              <w:rPr>
                <w:sz w:val="20"/>
                <w:szCs w:val="20"/>
                <w:color w:val="auto"/>
              </w:rPr>
            </w:pPr>
            <w:r>
              <w:rPr>
                <w:rFonts w:ascii="Arial" w:cs="Arial" w:eastAsia="Arial" w:hAnsi="Arial"/>
                <w:sz w:val="11"/>
                <w:szCs w:val="11"/>
                <w:color w:val="auto"/>
              </w:rPr>
              <w:t>(2,137)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(2,137)</w:t>
            </w:r>
          </w:p>
        </w:tc>
      </w:tr>
      <w:tr>
        <w:trPr>
          <w:trHeight w:val="216"/>
        </w:trPr>
        <w:tc>
          <w:tcPr>
            <w:tcW w:w="4240" w:type="dxa"/>
            <w:vAlign w:val="bottom"/>
          </w:tcPr>
          <w:p>
            <w:pPr>
              <w:ind w:left="120"/>
              <w:spacing w:after="0"/>
              <w:rPr>
                <w:sz w:val="20"/>
                <w:szCs w:val="20"/>
                <w:color w:val="auto"/>
              </w:rPr>
            </w:pPr>
            <w:r>
              <w:rPr>
                <w:rFonts w:ascii="Arial" w:cs="Arial" w:eastAsia="Arial" w:hAnsi="Arial"/>
                <w:sz w:val="11"/>
                <w:szCs w:val="11"/>
                <w:color w:val="auto"/>
              </w:rPr>
              <w:t>Common stock issued to acquire non-controlling interest in nTelos</w:t>
            </w: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185"/>
        </w:trPr>
        <w:tc>
          <w:tcPr>
            <w:tcW w:w="4240" w:type="dxa"/>
            <w:vAlign w:val="bottom"/>
          </w:tcPr>
          <w:p>
            <w:pPr>
              <w:spacing w:after="0"/>
              <w:rPr>
                <w:sz w:val="20"/>
                <w:szCs w:val="20"/>
                <w:color w:val="auto"/>
              </w:rPr>
            </w:pPr>
            <w:r>
              <w:rPr>
                <w:rFonts w:ascii="Arial" w:cs="Arial" w:eastAsia="Arial" w:hAnsi="Arial"/>
                <w:sz w:val="11"/>
                <w:szCs w:val="11"/>
                <w:b w:val="1"/>
                <w:bCs w:val="1"/>
                <w:color w:val="auto"/>
              </w:rPr>
              <w:t>Balance, September 30, 2018</w:t>
            </w:r>
          </w:p>
        </w:tc>
        <w:tc>
          <w:tcPr>
            <w:tcW w:w="126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49,559</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47,350</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color w:val="auto"/>
              </w:rPr>
              <w:t>385,045</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4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12,590</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rPr>
              <w:t>444,985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5715</wp:posOffset>
            </wp:positionV>
            <wp:extent cx="457835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78350" cy="203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unaudited condensed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129" w:right="21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7960" w:type="dxa"/>
            <w:vAlign w:val="bottom"/>
          </w:tcPr>
          <w:p>
            <w:pPr>
              <w:spacing w:after="0"/>
              <w:rPr>
                <w:sz w:val="20"/>
                <w:szCs w:val="20"/>
                <w:color w:val="auto"/>
              </w:rPr>
            </w:pPr>
            <w:r>
              <w:rPr>
                <w:rFonts w:ascii="Arial" w:cs="Arial" w:eastAsia="Arial" w:hAnsi="Arial"/>
                <w:sz w:val="13"/>
                <w:szCs w:val="13"/>
                <w:b w:val="1"/>
                <w:bCs w:val="1"/>
                <w:color w:val="auto"/>
              </w:rPr>
              <w:t>SHENANDOAH TELECOMMUNICATIONS COMPANY AND SUBSIDIARIES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3"/>
                <w:szCs w:val="13"/>
                <w:b w:val="1"/>
                <w:bCs w:val="1"/>
                <w:color w:val="auto"/>
              </w:rPr>
              <w:t>UNAUDITED CONDENSED CONSOLIDATED STATEMENTS OF CASH FLOWS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7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right"/>
              <w:ind w:right="135"/>
              <w:spacing w:after="0"/>
              <w:rPr>
                <w:sz w:val="20"/>
                <w:szCs w:val="20"/>
                <w:color w:val="auto"/>
              </w:rPr>
            </w:pPr>
            <w:r>
              <w:rPr>
                <w:rFonts w:ascii="Arial" w:cs="Arial" w:eastAsia="Arial" w:hAnsi="Arial"/>
                <w:sz w:val="13"/>
                <w:szCs w:val="13"/>
                <w:b w:val="1"/>
                <w:bCs w:val="1"/>
                <w:color w:val="auto"/>
              </w:rPr>
              <w:t>September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55"/>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455"/>
              <w:spacing w:after="0"/>
              <w:rPr>
                <w:sz w:val="20"/>
                <w:szCs w:val="20"/>
                <w:color w:val="auto"/>
              </w:rPr>
            </w:pPr>
            <w:r>
              <w:rPr>
                <w:rFonts w:ascii="Arial" w:cs="Arial" w:eastAsia="Arial" w:hAnsi="Arial"/>
                <w:sz w:val="13"/>
                <w:szCs w:val="13"/>
                <w:b w:val="1"/>
                <w:bCs w:val="1"/>
                <w:color w:val="auto"/>
                <w:w w:val="89"/>
              </w:rPr>
              <w:t>2018</w:t>
            </w:r>
          </w:p>
        </w:tc>
        <w:tc>
          <w:tcPr>
            <w:tcW w:w="0" w:type="dxa"/>
            <w:vAlign w:val="bottom"/>
          </w:tcPr>
          <w:p>
            <w:pPr>
              <w:spacing w:after="0"/>
              <w:rPr>
                <w:sz w:val="1"/>
                <w:szCs w:val="1"/>
                <w:color w:val="auto"/>
              </w:rPr>
            </w:pPr>
          </w:p>
        </w:tc>
      </w:tr>
      <w:tr>
        <w:trPr>
          <w:trHeight w:val="27"/>
        </w:trPr>
        <w:tc>
          <w:tcPr>
            <w:tcW w:w="7960" w:type="dxa"/>
            <w:vAlign w:val="bottom"/>
            <w:vMerge w:val="restart"/>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300" w:type="dxa"/>
            <w:vAlign w:val="bottom"/>
          </w:tcPr>
          <w:p>
            <w:pPr>
              <w:jc w:val="right"/>
              <w:ind w:right="15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41,414</w:t>
            </w:r>
          </w:p>
        </w:tc>
        <w:tc>
          <w:tcPr>
            <w:tcW w:w="200" w:type="dxa"/>
            <w:vAlign w:val="bottom"/>
          </w:tcPr>
          <w:p>
            <w:pPr>
              <w:spacing w:after="0"/>
              <w:rPr>
                <w:sz w:val="18"/>
                <w:szCs w:val="18"/>
                <w:color w:val="auto"/>
              </w:rPr>
            </w:pPr>
          </w:p>
        </w:tc>
        <w:tc>
          <w:tcPr>
            <w:tcW w:w="50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31,743</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Depreciation</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104,503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106,002</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Amortization</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15,655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18,630</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Accretion of asset retirement obligations</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1,093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710</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Bad debt expense</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1,215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1,362</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Stock based compensation expense, net of amount capitalized</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3,158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4,578</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Deferred income taxes</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4,999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(1,989)</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Net gain from patronage and investments</w:t>
            </w:r>
          </w:p>
        </w:tc>
        <w:tc>
          <w:tcPr>
            <w:tcW w:w="3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(3,035)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(2,412)</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Amortization of long-term debt issuance costs</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2,596</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3,472</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Changes in assets and liabilities: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Accounts receivable</w:t>
            </w:r>
          </w:p>
        </w:tc>
        <w:tc>
          <w:tcPr>
            <w:tcW w:w="3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(4,894)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(5,492)</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Inventory, net</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704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Current income taxes</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2,299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14,932</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Waived management fee</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29,016</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28,164</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Other assets</w:t>
            </w:r>
          </w:p>
        </w:tc>
        <w:tc>
          <w:tcPr>
            <w:tcW w:w="3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(15,073)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(13,393)</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Operating lease right-of-use assets</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38,262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Lease liabilities</w:t>
            </w:r>
          </w:p>
        </w:tc>
        <w:tc>
          <w:tcPr>
            <w:tcW w:w="3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(32,173)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Accounts payable</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7,023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(1,913)</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Deferred lease</w:t>
            </w:r>
          </w:p>
        </w:tc>
        <w:tc>
          <w:tcPr>
            <w:tcW w:w="3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4,159</w:t>
            </w:r>
          </w:p>
        </w:tc>
        <w:tc>
          <w:tcPr>
            <w:tcW w:w="0" w:type="dxa"/>
            <w:vAlign w:val="bottom"/>
          </w:tcPr>
          <w:p>
            <w:pPr>
              <w:spacing w:after="0"/>
              <w:rPr>
                <w:sz w:val="1"/>
                <w:szCs w:val="1"/>
                <w:color w:val="auto"/>
              </w:rPr>
            </w:pPr>
          </w:p>
        </w:tc>
      </w:tr>
      <w:tr>
        <w:trPr>
          <w:trHeight w:val="216"/>
        </w:trPr>
        <w:tc>
          <w:tcPr>
            <w:tcW w:w="7960" w:type="dxa"/>
            <w:vAlign w:val="bottom"/>
          </w:tcPr>
          <w:p>
            <w:pPr>
              <w:ind w:left="200"/>
              <w:spacing w:after="0"/>
              <w:rPr>
                <w:sz w:val="20"/>
                <w:szCs w:val="20"/>
                <w:color w:val="auto"/>
              </w:rPr>
            </w:pPr>
            <w:r>
              <w:rPr>
                <w:rFonts w:ascii="Arial" w:cs="Arial" w:eastAsia="Arial" w:hAnsi="Arial"/>
                <w:sz w:val="13"/>
                <w:szCs w:val="13"/>
                <w:color w:val="auto"/>
              </w:rPr>
              <w:t>Other deferrals and accruals</w:t>
            </w:r>
          </w:p>
        </w:tc>
        <w:tc>
          <w:tcPr>
            <w:tcW w:w="3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(3,303)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960" w:type="dxa"/>
            <w:vAlign w:val="bottom"/>
          </w:tcPr>
          <w:p>
            <w:pPr>
              <w:ind w:left="280"/>
              <w:spacing w:after="0"/>
              <w:rPr>
                <w:sz w:val="20"/>
                <w:szCs w:val="20"/>
                <w:color w:val="auto"/>
              </w:rPr>
            </w:pPr>
            <w:r>
              <w:rPr>
                <w:rFonts w:ascii="Arial" w:cs="Arial" w:eastAsia="Arial" w:hAnsi="Arial"/>
                <w:sz w:val="13"/>
                <w:szCs w:val="13"/>
                <w:color w:val="auto"/>
              </w:rPr>
              <w:t>Net cash provided by operating activities</w:t>
            </w:r>
          </w:p>
        </w:tc>
        <w:tc>
          <w:tcPr>
            <w:tcW w:w="30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193,459</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188,800</w:t>
            </w:r>
          </w:p>
        </w:tc>
        <w:tc>
          <w:tcPr>
            <w:tcW w:w="0" w:type="dxa"/>
            <w:vAlign w:val="bottom"/>
          </w:tcPr>
          <w:p>
            <w:pPr>
              <w:spacing w:after="0"/>
              <w:rPr>
                <w:sz w:val="1"/>
                <w:szCs w:val="1"/>
                <w:color w:val="auto"/>
              </w:rPr>
            </w:pPr>
          </w:p>
        </w:tc>
      </w:tr>
      <w:tr>
        <w:trPr>
          <w:trHeight w:val="27"/>
        </w:trPr>
        <w:tc>
          <w:tcPr>
            <w:tcW w:w="7960" w:type="dxa"/>
            <w:vAlign w:val="bottom"/>
            <w:vMerge w:val="restart"/>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7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Capital expenditures</w:t>
            </w:r>
          </w:p>
        </w:tc>
        <w:tc>
          <w:tcPr>
            <w:tcW w:w="3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(107,038)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(92,309)</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Cash disbursed for acquisitions</w:t>
            </w:r>
          </w:p>
        </w:tc>
        <w:tc>
          <w:tcPr>
            <w:tcW w:w="3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(10,000)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(52,000)</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Cash disbursed for FCC spectrum licenses</w:t>
            </w:r>
          </w:p>
        </w:tc>
        <w:tc>
          <w:tcPr>
            <w:tcW w:w="3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(16,742)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Proceeds from sale of assets and other</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156</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960" w:type="dxa"/>
            <w:vAlign w:val="bottom"/>
          </w:tcPr>
          <w:p>
            <w:pPr>
              <w:ind w:left="200"/>
              <w:spacing w:after="0"/>
              <w:rPr>
                <w:sz w:val="20"/>
                <w:szCs w:val="20"/>
                <w:color w:val="auto"/>
              </w:rPr>
            </w:pPr>
            <w:r>
              <w:rPr>
                <w:rFonts w:ascii="Arial" w:cs="Arial" w:eastAsia="Arial" w:hAnsi="Arial"/>
                <w:sz w:val="13"/>
                <w:szCs w:val="13"/>
                <w:color w:val="auto"/>
              </w:rPr>
              <w:t>Net cash used in investing activities</w:t>
            </w:r>
          </w:p>
        </w:tc>
        <w:tc>
          <w:tcPr>
            <w:tcW w:w="30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(133,624)</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(143,770)</w:t>
            </w:r>
          </w:p>
        </w:tc>
        <w:tc>
          <w:tcPr>
            <w:tcW w:w="0" w:type="dxa"/>
            <w:vAlign w:val="bottom"/>
          </w:tcPr>
          <w:p>
            <w:pPr>
              <w:spacing w:after="0"/>
              <w:rPr>
                <w:sz w:val="1"/>
                <w:szCs w:val="1"/>
                <w:color w:val="auto"/>
              </w:rPr>
            </w:pPr>
          </w:p>
        </w:tc>
      </w:tr>
      <w:tr>
        <w:trPr>
          <w:trHeight w:val="27"/>
        </w:trPr>
        <w:tc>
          <w:tcPr>
            <w:tcW w:w="7960" w:type="dxa"/>
            <w:vAlign w:val="bottom"/>
            <w:vMerge w:val="restart"/>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7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Principal payments on long-term debt</w:t>
            </w:r>
          </w:p>
        </w:tc>
        <w:tc>
          <w:tcPr>
            <w:tcW w:w="3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(44,666)</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(46,375)</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Proceeds from revolving credit facility borrowings</w:t>
            </w:r>
          </w:p>
        </w:tc>
        <w:tc>
          <w:tcPr>
            <w:tcW w:w="3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Principal payments on revolving credit facility</w:t>
            </w:r>
          </w:p>
        </w:tc>
        <w:tc>
          <w:tcPr>
            <w:tcW w:w="3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Proceeds from exercises of stock options</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81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Taxes paid for equity award issuances</w:t>
            </w:r>
          </w:p>
        </w:tc>
        <w:tc>
          <w:tcPr>
            <w:tcW w:w="3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(2,912)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(2,033)</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Other</w:t>
            </w:r>
          </w:p>
        </w:tc>
        <w:tc>
          <w:tcPr>
            <w:tcW w:w="3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960" w:type="dxa"/>
            <w:vAlign w:val="bottom"/>
          </w:tcPr>
          <w:p>
            <w:pPr>
              <w:ind w:left="200"/>
              <w:spacing w:after="0"/>
              <w:rPr>
                <w:sz w:val="20"/>
                <w:szCs w:val="20"/>
                <w:color w:val="auto"/>
              </w:rPr>
            </w:pPr>
            <w:r>
              <w:rPr>
                <w:rFonts w:ascii="Arial" w:cs="Arial" w:eastAsia="Arial" w:hAnsi="Arial"/>
                <w:sz w:val="13"/>
                <w:szCs w:val="13"/>
                <w:color w:val="auto"/>
              </w:rPr>
              <w:t>Net cash used in financing activities</w:t>
            </w:r>
          </w:p>
        </w:tc>
        <w:tc>
          <w:tcPr>
            <w:tcW w:w="30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(47,506)</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(48,408)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960" w:type="dxa"/>
            <w:vAlign w:val="bottom"/>
          </w:tcPr>
          <w:p>
            <w:pPr>
              <w:ind w:left="120"/>
              <w:spacing w:after="0"/>
              <w:rPr>
                <w:sz w:val="20"/>
                <w:szCs w:val="20"/>
                <w:color w:val="auto"/>
              </w:rPr>
            </w:pPr>
            <w:r>
              <w:rPr>
                <w:rFonts w:ascii="Arial" w:cs="Arial" w:eastAsia="Arial" w:hAnsi="Arial"/>
                <w:sz w:val="13"/>
                <w:szCs w:val="13"/>
                <w:color w:val="auto"/>
              </w:rPr>
              <w:t>Net increase (decrease) in cash and cash equivalents</w:t>
            </w:r>
          </w:p>
        </w:tc>
        <w:tc>
          <w:tcPr>
            <w:tcW w:w="30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12,329</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(3,378)</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Arial" w:cs="Arial" w:eastAsia="Arial" w:hAnsi="Arial"/>
                <w:sz w:val="13"/>
                <w:szCs w:val="13"/>
                <w:color w:val="auto"/>
              </w:rPr>
              <w:t>Cash and cash equivalents, beginning of period</w:t>
            </w:r>
          </w:p>
        </w:tc>
        <w:tc>
          <w:tcPr>
            <w:tcW w:w="3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85,086</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78,585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960" w:type="dxa"/>
            <w:vAlign w:val="bottom"/>
          </w:tcPr>
          <w:p>
            <w:pPr>
              <w:ind w:left="120"/>
              <w:spacing w:after="0"/>
              <w:rPr>
                <w:sz w:val="20"/>
                <w:szCs w:val="20"/>
                <w:color w:val="auto"/>
              </w:rPr>
            </w:pPr>
            <w:r>
              <w:rPr>
                <w:rFonts w:ascii="Arial" w:cs="Arial" w:eastAsia="Arial" w:hAnsi="Arial"/>
                <w:sz w:val="13"/>
                <w:szCs w:val="13"/>
                <w:b w:val="1"/>
                <w:bCs w:val="1"/>
                <w:color w:val="auto"/>
              </w:rPr>
              <w:t>Cash and cash equivalents, end of period</w:t>
            </w:r>
          </w:p>
        </w:tc>
        <w:tc>
          <w:tcPr>
            <w:tcW w:w="3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97,415</w:t>
            </w:r>
          </w:p>
        </w:tc>
        <w:tc>
          <w:tcPr>
            <w:tcW w:w="200" w:type="dxa"/>
            <w:vAlign w:val="bottom"/>
          </w:tcPr>
          <w:p>
            <w:pPr>
              <w:spacing w:after="0"/>
              <w:rPr>
                <w:sz w:val="16"/>
                <w:szCs w:val="16"/>
                <w:color w:val="auto"/>
              </w:rPr>
            </w:pPr>
          </w:p>
        </w:tc>
        <w:tc>
          <w:tcPr>
            <w:tcW w:w="500" w:type="dxa"/>
            <w:vAlign w:val="bottom"/>
            <w:tcBorders>
              <w:bottom w:val="single" w:sz="8" w:color="auto"/>
            </w:tcBorders>
          </w:tcPr>
          <w:p>
            <w:pPr>
              <w:jc w:val="right"/>
              <w:ind w:right="335"/>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75,207</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unaudited condensed consolidated financial statements.</w:t>
      </w:r>
    </w:p>
    <w:p>
      <w:pPr>
        <w:spacing w:after="0" w:line="19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780"/>
          </w:cols>
          <w:pgMar w:left="220" w:top="129" w:right="89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SHENANDOAH TELECOMMUNICATIONS COMPANY AND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Basis of Presentation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interim condensed consolidated financial statements of Shenandoah Telecommunications Company and Subsidiaries (collectively, the “Company”) are unaudited. In the opinion of management, all adjustments necessary for a fair presentation of the interim results have been reflected therein in accordance with accounting principles generally accepted in the United States ("GAAP") for interim financial reporting and as required by Rule 10-01 of Regulation S-X. Accordingly, the unaudited condensed consolidated financial statements may not include all of the information and notes required by GAAP for audited financial statements. The information contained herein should be read in conjunction with the audited financial statements included in the Company's Annual Report on Form 10-K for the year ended December 31, 2018.</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Accounting Principles</w:t>
      </w:r>
    </w:p>
    <w:p>
      <w:pPr>
        <w:spacing w:after="0" w:line="176" w:lineRule="exact"/>
        <w:rPr>
          <w:sz w:val="20"/>
          <w:szCs w:val="20"/>
          <w:color w:val="auto"/>
        </w:rPr>
      </w:pPr>
    </w:p>
    <w:p>
      <w:pPr>
        <w:jc w:val="both"/>
        <w:spacing w:after="0" w:line="376" w:lineRule="auto"/>
        <w:rPr>
          <w:sz w:val="20"/>
          <w:szCs w:val="20"/>
          <w:color w:val="auto"/>
        </w:rPr>
      </w:pPr>
      <w:r>
        <w:rPr>
          <w:rFonts w:ascii="Arial" w:cs="Arial" w:eastAsia="Arial" w:hAnsi="Arial"/>
          <w:sz w:val="12"/>
          <w:szCs w:val="12"/>
          <w:color w:val="auto"/>
        </w:rPr>
        <w:t>There have been no developments related to recently issued accounting standards, including the expected dates of adoption and estimated effects on the Company's unaudited condensed consolidated financial statements and note disclosures, from those disclosed in the Company's 2018 Annual Report on Form 10-K, that would be expected to impact the Company except for the following:</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The Company adopted ASU No. 2018-02, </w:t>
      </w:r>
      <w:r>
        <w:rPr>
          <w:rFonts w:ascii="Arial" w:cs="Arial" w:eastAsia="Arial" w:hAnsi="Arial"/>
          <w:sz w:val="14"/>
          <w:szCs w:val="14"/>
          <w:i w:val="1"/>
          <w:iCs w:val="1"/>
          <w:color w:val="auto"/>
        </w:rPr>
        <w:t>Income Statement - Reporting Comprehensive Income (Topic 220),</w:t>
      </w:r>
      <w:r>
        <w:rPr>
          <w:rFonts w:ascii="Arial" w:cs="Arial" w:eastAsia="Arial" w:hAnsi="Arial"/>
          <w:sz w:val="14"/>
          <w:szCs w:val="14"/>
          <w:color w:val="auto"/>
        </w:rPr>
        <w:t xml:space="preserve"> as of January 1, 2019. The Company elected not to reclassify stranded income tax effects from accumulated other comprehensive income (OCI) to retained earnings and has implemented this election as its accounting policy as of January 1, 2019. The Company utilizes the portfolio approach as its policy to release the income tax effects from accumulated OCI as the entire portfolio is liquidated, sold, or extinguished.</w:t>
      </w:r>
    </w:p>
    <w:p>
      <w:pPr>
        <w:spacing w:after="0" w:line="142"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 xml:space="preserve">The Company adopted ASU No.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w:t>
      </w:r>
      <w:r>
        <w:rPr>
          <w:rFonts w:ascii="Arial" w:cs="Arial" w:eastAsia="Arial" w:hAnsi="Arial"/>
          <w:sz w:val="13"/>
          <w:szCs w:val="13"/>
          <w:i w:val="1"/>
          <w:iCs w:val="1"/>
          <w:color w:val="auto"/>
        </w:rPr>
        <w:t>Topic 842</w:t>
      </w:r>
      <w:r>
        <w:rPr>
          <w:rFonts w:ascii="Arial" w:cs="Arial" w:eastAsia="Arial" w:hAnsi="Arial"/>
          <w:sz w:val="13"/>
          <w:szCs w:val="13"/>
          <w:color w:val="auto"/>
        </w:rPr>
        <w:t>” or “</w:t>
      </w:r>
      <w:r>
        <w:rPr>
          <w:rFonts w:ascii="Arial" w:cs="Arial" w:eastAsia="Arial" w:hAnsi="Arial"/>
          <w:sz w:val="13"/>
          <w:szCs w:val="13"/>
          <w:i w:val="1"/>
          <w:iCs w:val="1"/>
          <w:color w:val="auto"/>
        </w:rPr>
        <w:t>the new lease standard</w:t>
      </w:r>
      <w:r>
        <w:rPr>
          <w:rFonts w:ascii="Arial" w:cs="Arial" w:eastAsia="Arial" w:hAnsi="Arial"/>
          <w:sz w:val="13"/>
          <w:szCs w:val="13"/>
          <w:color w:val="auto"/>
        </w:rPr>
        <w:t>”) on January 1, 2019. Topic 842 replaces previous leasing guidance with a comprehensive lease measurement and recognition standard and expanded disclosure requirements. Topic 842 requires lessees to recognize most leases on their balance sheet as liabilities, with corresponding right-of-use, or ROU assets. The Company adopted the new lease standard utilizing the modified retrospective approach. As a result, comparable period information has not been retrospectively updated. The modified retrospective approach includes a package of optional practical expedients that we elected to apply. As a result, the Company did not reassess prior conclusions regarding lease identification, lease classification and initial direct costs under the new standard. In those circumstances where the Company is the lessee, we have elected to account for non-lease components associated with our leases (e.g., maintenance costs) and lease components as a single lease component for substantially all of our asset classes under Topic 842.</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Leases</w:t>
      </w:r>
    </w:p>
    <w:p>
      <w:pPr>
        <w:spacing w:after="0" w:line="188" w:lineRule="exact"/>
        <w:rPr>
          <w:sz w:val="20"/>
          <w:szCs w:val="20"/>
          <w:color w:val="auto"/>
        </w:rPr>
      </w:pPr>
    </w:p>
    <w:p>
      <w:pPr>
        <w:jc w:val="both"/>
        <w:spacing w:after="0" w:line="338" w:lineRule="auto"/>
        <w:rPr>
          <w:sz w:val="20"/>
          <w:szCs w:val="20"/>
          <w:color w:val="auto"/>
        </w:rPr>
      </w:pPr>
      <w:r>
        <w:rPr>
          <w:rFonts w:ascii="Arial" w:cs="Arial" w:eastAsia="Arial" w:hAnsi="Arial"/>
          <w:sz w:val="12"/>
          <w:szCs w:val="12"/>
          <w:color w:val="auto"/>
        </w:rPr>
        <w:t>The Company leases various cell sites, warehouses, retail stores, and office facilities for use in our business. These agreements include fixed rental payments as well as variable rental payments, such as those based on relevant inflation indices. The accounting lease term includes optional renewal periods that we are reasonably certain to exercise based on our assessment of relevant contractual and economic factors. The related lease payments are discounted at lease commencement using the Company's incremental borrowing rate in order to measure the lease liability and ROU asset.</w:t>
      </w:r>
    </w:p>
    <w:p>
      <w:pPr>
        <w:spacing w:after="0" w:line="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incremental borrowing rate is determined using a portfolio approach based on the rate of interest that the Company would have to pay to borrow an amount equal to the lease payments on a collateralized basis over a similar term. The Company uses the observable unsecured borrowing rate and risk-adjusts that rate to approximate a collateralized rate. Under the new lease standard, leases are remeasured upon the occurrence of certain events or modifications.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Adoption of the new lease standard did not materially impact the Company's consolidated net earnings, cash flows, liquidity, or loan covenants.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129"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46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9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9300" w:type="dxa"/>
            <w:vAlign w:val="bottom"/>
            <w:gridSpan w:val="8"/>
          </w:tcPr>
          <w:p>
            <w:pPr>
              <w:spacing w:after="0"/>
              <w:rPr>
                <w:sz w:val="20"/>
                <w:szCs w:val="20"/>
                <w:color w:val="auto"/>
              </w:rPr>
            </w:pPr>
            <w:r>
              <w:rPr>
                <w:rFonts w:ascii="Arial" w:cs="Arial" w:eastAsia="Arial" w:hAnsi="Arial"/>
                <w:sz w:val="14"/>
                <w:szCs w:val="14"/>
                <w:color w:val="auto"/>
                <w:w w:val="97"/>
              </w:rPr>
              <w:t>The cumulative effect of the changes made to the consolidated January 1, 2019 balance sheet for the adoption of the new lease standard were as follows:</w:t>
            </w: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 xml:space="preserve">December 31, 2018 </w:t>
            </w:r>
            <w:r>
              <w:rPr>
                <w:rFonts w:ascii="Arial" w:cs="Arial" w:eastAsia="Arial" w:hAnsi="Arial"/>
                <w:sz w:val="14"/>
                <w:szCs w:val="14"/>
                <w:b w:val="1"/>
                <w:bCs w:val="1"/>
                <w:i w:val="1"/>
                <w:iCs w:val="1"/>
                <w:color w:val="auto"/>
                <w:w w:val="90"/>
              </w:rPr>
              <w:t>As Previously</w:t>
            </w:r>
          </w:p>
        </w:tc>
        <w:tc>
          <w:tcPr>
            <w:tcW w:w="140" w:type="dxa"/>
            <w:vAlign w:val="bottom"/>
          </w:tcPr>
          <w:p>
            <w:pPr>
              <w:spacing w:after="0"/>
              <w:rPr>
                <w:sz w:val="24"/>
                <w:szCs w:val="2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 of the Adoption of ASC</w:t>
            </w: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6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Pr>
          <w:p>
            <w:pPr>
              <w:spacing w:after="0"/>
              <w:rPr>
                <w:sz w:val="16"/>
                <w:szCs w:val="16"/>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7"/>
              </w:rPr>
              <w:t>Reported</w:t>
            </w:r>
          </w:p>
        </w:tc>
        <w:tc>
          <w:tcPr>
            <w:tcW w:w="140" w:type="dxa"/>
            <w:vAlign w:val="bottom"/>
          </w:tcPr>
          <w:p>
            <w:pPr>
              <w:spacing w:after="0"/>
              <w:rPr>
                <w:sz w:val="16"/>
                <w:szCs w:val="16"/>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Topic 842 (Leases)</w:t>
            </w:r>
          </w:p>
        </w:tc>
        <w:tc>
          <w:tcPr>
            <w:tcW w:w="160" w:type="dxa"/>
            <w:vAlign w:val="bottom"/>
          </w:tcPr>
          <w:p>
            <w:pPr>
              <w:spacing w:after="0"/>
              <w:rPr>
                <w:sz w:val="16"/>
                <w:szCs w:val="16"/>
                <w:color w:val="auto"/>
              </w:rPr>
            </w:pPr>
          </w:p>
        </w:tc>
        <w:tc>
          <w:tcPr>
            <w:tcW w:w="2000" w:type="dxa"/>
            <w:vAlign w:val="bottom"/>
          </w:tcPr>
          <w:p>
            <w:pPr>
              <w:jc w:val="right"/>
              <w:ind w:right="148"/>
              <w:spacing w:after="0"/>
              <w:rPr>
                <w:sz w:val="20"/>
                <w:szCs w:val="20"/>
                <w:color w:val="auto"/>
              </w:rPr>
            </w:pPr>
            <w:r>
              <w:rPr>
                <w:rFonts w:ascii="Arial" w:cs="Arial" w:eastAsia="Arial" w:hAnsi="Arial"/>
                <w:sz w:val="14"/>
                <w:szCs w:val="14"/>
                <w:b w:val="1"/>
                <w:bCs w:val="1"/>
                <w:color w:val="auto"/>
                <w:w w:val="92"/>
              </w:rPr>
              <w:t xml:space="preserve">January 1, 2019 </w:t>
            </w:r>
            <w:r>
              <w:rPr>
                <w:rFonts w:ascii="Arial" w:cs="Arial" w:eastAsia="Arial" w:hAnsi="Arial"/>
                <w:sz w:val="14"/>
                <w:szCs w:val="14"/>
                <w:b w:val="1"/>
                <w:bCs w:val="1"/>
                <w:i w:val="1"/>
                <w:iCs w:val="1"/>
                <w:color w:val="auto"/>
                <w:w w:val="92"/>
              </w:rPr>
              <w:t>As Adjusted</w:t>
            </w:r>
          </w:p>
        </w:tc>
        <w:tc>
          <w:tcPr>
            <w:tcW w:w="0" w:type="dxa"/>
            <w:vAlign w:val="bottom"/>
          </w:tcPr>
          <w:p>
            <w:pPr>
              <w:spacing w:after="0"/>
              <w:rPr>
                <w:sz w:val="1"/>
                <w:szCs w:val="1"/>
                <w:color w:val="auto"/>
              </w:rPr>
            </w:pPr>
          </w:p>
        </w:tc>
      </w:tr>
      <w:tr>
        <w:trPr>
          <w:trHeight w:val="23"/>
        </w:trPr>
        <w:tc>
          <w:tcPr>
            <w:tcW w:w="46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Assets</w:t>
            </w: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Prepaid expenses and other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60,162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Pr>
          <w:p>
            <w:pPr>
              <w:jc w:val="right"/>
              <w:spacing w:after="0"/>
              <w:rPr>
                <w:sz w:val="20"/>
                <w:szCs w:val="20"/>
                <w:color w:val="auto"/>
              </w:rPr>
            </w:pPr>
            <w:r>
              <w:rPr>
                <w:rFonts w:ascii="Arial" w:cs="Arial" w:eastAsia="Arial" w:hAnsi="Arial"/>
                <w:sz w:val="14"/>
                <w:szCs w:val="14"/>
                <w:color w:val="auto"/>
              </w:rPr>
              <w:t>(11,580)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48,582</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tcPr>
          <w:p>
            <w:pPr>
              <w:spacing w:after="0"/>
              <w:rPr>
                <w:sz w:val="18"/>
                <w:szCs w:val="18"/>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701,359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1,789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703,148</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8"/>
                <w:szCs w:val="18"/>
                <w:color w:val="auto"/>
              </w:rPr>
            </w:pPr>
          </w:p>
        </w:tc>
        <w:tc>
          <w:tcPr>
            <w:tcW w:w="2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369,344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369,344</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8"/>
                <w:szCs w:val="18"/>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366,029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(13,828)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352,201</w:t>
            </w: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Current operating lease liabilities</w:t>
            </w:r>
          </w:p>
        </w:tc>
        <w:tc>
          <w:tcPr>
            <w:tcW w:w="120" w:type="dxa"/>
            <w:vAlign w:val="bottom"/>
          </w:tcPr>
          <w:p>
            <w:pPr>
              <w:spacing w:after="0"/>
              <w:rPr>
                <w:sz w:val="18"/>
                <w:szCs w:val="18"/>
                <w:color w:val="auto"/>
              </w:rPr>
            </w:pPr>
          </w:p>
        </w:tc>
        <w:tc>
          <w:tcPr>
            <w:tcW w:w="2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38,773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38,773</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Accrued liabilities and other</w:t>
            </w:r>
          </w:p>
        </w:tc>
        <w:tc>
          <w:tcPr>
            <w:tcW w:w="120" w:type="dxa"/>
            <w:vAlign w:val="bottom"/>
          </w:tcPr>
          <w:p>
            <w:pPr>
              <w:spacing w:after="0"/>
              <w:rPr>
                <w:sz w:val="18"/>
                <w:szCs w:val="18"/>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14,563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14,151</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Deferred Lease</w:t>
            </w:r>
          </w:p>
        </w:tc>
        <w:tc>
          <w:tcPr>
            <w:tcW w:w="120" w:type="dxa"/>
            <w:vAlign w:val="bottom"/>
          </w:tcPr>
          <w:p>
            <w:pPr>
              <w:spacing w:after="0"/>
              <w:rPr>
                <w:sz w:val="18"/>
                <w:szCs w:val="18"/>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22,436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(22,436)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Noncurrent operating lease liabilities</w:t>
            </w:r>
          </w:p>
        </w:tc>
        <w:tc>
          <w:tcPr>
            <w:tcW w:w="120" w:type="dxa"/>
            <w:vAlign w:val="bottom"/>
          </w:tcPr>
          <w:p>
            <w:pPr>
              <w:spacing w:after="0"/>
              <w:rPr>
                <w:sz w:val="18"/>
                <w:szCs w:val="18"/>
                <w:color w:val="auto"/>
              </w:rPr>
            </w:pPr>
          </w:p>
        </w:tc>
        <w:tc>
          <w:tcPr>
            <w:tcW w:w="2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328,156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328,156</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8"/>
                <w:szCs w:val="18"/>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14,364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16,008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In addition to recognizing the operating lease liabilities and right-of-use assets, Topic 842 also reclassified prepaid and deferred rent balances, off-market leases, and lease incentives into the right-of-use assets.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80" w:type="dxa"/>
            <w:vAlign w:val="bottom"/>
          </w:tcPr>
          <w:p>
            <w:pPr>
              <w:spacing w:after="0"/>
              <w:rPr>
                <w:sz w:val="20"/>
                <w:szCs w:val="20"/>
                <w:color w:val="auto"/>
              </w:rPr>
            </w:pPr>
            <w:r>
              <w:rPr>
                <w:rFonts w:ascii="Arial" w:cs="Arial" w:eastAsia="Arial" w:hAnsi="Arial"/>
                <w:sz w:val="14"/>
                <w:szCs w:val="14"/>
                <w:color w:val="auto"/>
              </w:rPr>
              <w:t>The following table shows the components of lease income and costs:</w:t>
            </w: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6780" w:type="dxa"/>
            <w:vAlign w:val="bottom"/>
          </w:tcPr>
          <w:p>
            <w:pPr>
              <w:spacing w:after="0"/>
              <w:rPr>
                <w:sz w:val="24"/>
                <w:szCs w:val="24"/>
                <w:color w:val="auto"/>
              </w:rPr>
            </w:pPr>
          </w:p>
        </w:tc>
        <w:tc>
          <w:tcPr>
            <w:tcW w:w="24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Three Months Ended September 30,</w:t>
            </w: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86"/>
        </w:trPr>
        <w:tc>
          <w:tcPr>
            <w:tcW w:w="6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6"/>
                <w:szCs w:val="16"/>
                <w:color w:val="auto"/>
              </w:rPr>
            </w:pPr>
          </w:p>
        </w:tc>
        <w:tc>
          <w:tcPr>
            <w:tcW w:w="1760" w:type="dxa"/>
            <w:vAlign w:val="bottom"/>
          </w:tcPr>
          <w:p>
            <w:pPr>
              <w:jc w:val="right"/>
              <w:ind w:right="9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tcPr>
          <w:p>
            <w:pPr>
              <w:jc w:val="right"/>
              <w:ind w:right="9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rPr>
                <w:sz w:val="20"/>
                <w:szCs w:val="20"/>
                <w:color w:val="auto"/>
              </w:rPr>
            </w:pPr>
            <w:r>
              <w:rPr>
                <w:rFonts w:ascii="Arial" w:cs="Arial" w:eastAsia="Arial" w:hAnsi="Arial"/>
                <w:sz w:val="14"/>
                <w:szCs w:val="14"/>
                <w:color w:val="auto"/>
              </w:rPr>
              <w:t>Lease income from operating leases - fixed</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6,219</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6780" w:type="dxa"/>
            <w:vAlign w:val="bottom"/>
          </w:tcPr>
          <w:p>
            <w:pPr>
              <w:ind w:left="140"/>
              <w:spacing w:after="0"/>
              <w:rPr>
                <w:sz w:val="20"/>
                <w:szCs w:val="20"/>
                <w:color w:val="auto"/>
              </w:rPr>
            </w:pPr>
            <w:r>
              <w:rPr>
                <w:rFonts w:ascii="Arial" w:cs="Arial" w:eastAsia="Arial" w:hAnsi="Arial"/>
                <w:sz w:val="14"/>
                <w:szCs w:val="14"/>
                <w:color w:val="auto"/>
              </w:rPr>
              <w:t>Operating lease expense</w:t>
            </w:r>
          </w:p>
        </w:tc>
        <w:tc>
          <w:tcPr>
            <w:tcW w:w="540" w:type="dxa"/>
            <w:vAlign w:val="bottom"/>
          </w:tcPr>
          <w:p>
            <w:pPr>
              <w:spacing w:after="0"/>
              <w:rPr>
                <w:sz w:val="24"/>
                <w:szCs w:val="24"/>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18,151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51,811</w:t>
            </w:r>
          </w:p>
        </w:tc>
        <w:tc>
          <w:tcPr>
            <w:tcW w:w="0" w:type="dxa"/>
            <w:vAlign w:val="bottom"/>
          </w:tcPr>
          <w:p>
            <w:pPr>
              <w:spacing w:after="0"/>
              <w:rPr>
                <w:sz w:val="1"/>
                <w:szCs w:val="1"/>
                <w:color w:val="auto"/>
              </w:rPr>
            </w:pPr>
          </w:p>
        </w:tc>
      </w:tr>
      <w:tr>
        <w:trPr>
          <w:trHeight w:val="431"/>
        </w:trPr>
        <w:tc>
          <w:tcPr>
            <w:tcW w:w="6780" w:type="dxa"/>
            <w:vAlign w:val="bottom"/>
          </w:tcPr>
          <w:p>
            <w:pPr>
              <w:ind w:left="140"/>
              <w:spacing w:after="0"/>
              <w:rPr>
                <w:sz w:val="20"/>
                <w:szCs w:val="20"/>
                <w:color w:val="auto"/>
              </w:rPr>
            </w:pPr>
            <w:r>
              <w:rPr>
                <w:rFonts w:ascii="Arial" w:cs="Arial" w:eastAsia="Arial" w:hAnsi="Arial"/>
                <w:sz w:val="14"/>
                <w:szCs w:val="14"/>
                <w:color w:val="auto"/>
              </w:rPr>
              <w:t>Amortization of finance lease assets</w:t>
            </w:r>
          </w:p>
        </w:tc>
        <w:tc>
          <w:tcPr>
            <w:tcW w:w="540" w:type="dxa"/>
            <w:vAlign w:val="bottom"/>
          </w:tcPr>
          <w:p>
            <w:pPr>
              <w:spacing w:after="0"/>
              <w:rPr>
                <w:sz w:val="24"/>
                <w:szCs w:val="24"/>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16"/>
        </w:trPr>
        <w:tc>
          <w:tcPr>
            <w:tcW w:w="6780" w:type="dxa"/>
            <w:vAlign w:val="bottom"/>
          </w:tcPr>
          <w:p>
            <w:pPr>
              <w:ind w:left="140"/>
              <w:spacing w:after="0"/>
              <w:rPr>
                <w:sz w:val="20"/>
                <w:szCs w:val="20"/>
                <w:color w:val="auto"/>
              </w:rPr>
            </w:pPr>
            <w:r>
              <w:rPr>
                <w:rFonts w:ascii="Arial" w:cs="Arial" w:eastAsia="Arial" w:hAnsi="Arial"/>
                <w:sz w:val="14"/>
                <w:szCs w:val="14"/>
                <w:color w:val="auto"/>
              </w:rPr>
              <w:t>Interest on finance lease liabilities</w:t>
            </w:r>
          </w:p>
        </w:tc>
        <w:tc>
          <w:tcPr>
            <w:tcW w:w="540" w:type="dxa"/>
            <w:vAlign w:val="bottom"/>
          </w:tcPr>
          <w:p>
            <w:pPr>
              <w:spacing w:after="0"/>
              <w:rPr>
                <w:sz w:val="18"/>
                <w:szCs w:val="18"/>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780" w:type="dxa"/>
            <w:vAlign w:val="bottom"/>
          </w:tcPr>
          <w:p>
            <w:pPr>
              <w:ind w:left="220"/>
              <w:spacing w:after="0"/>
              <w:rPr>
                <w:sz w:val="20"/>
                <w:szCs w:val="20"/>
                <w:color w:val="auto"/>
              </w:rPr>
            </w:pPr>
            <w:r>
              <w:rPr>
                <w:rFonts w:ascii="Arial" w:cs="Arial" w:eastAsia="Arial" w:hAnsi="Arial"/>
                <w:sz w:val="14"/>
                <w:szCs w:val="14"/>
                <w:color w:val="auto"/>
              </w:rPr>
              <w:t>Subtotal finance lease cost</w:t>
            </w:r>
          </w:p>
        </w:tc>
        <w:tc>
          <w:tcPr>
            <w:tcW w:w="540" w:type="dxa"/>
            <w:vAlign w:val="bottom"/>
          </w:tcPr>
          <w:p>
            <w:pPr>
              <w:spacing w:after="0"/>
              <w:rPr>
                <w:sz w:val="15"/>
                <w:szCs w:val="15"/>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38"/>
        </w:trPr>
        <w:tc>
          <w:tcPr>
            <w:tcW w:w="67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80" w:type="dxa"/>
            <w:vAlign w:val="bottom"/>
          </w:tcPr>
          <w:p>
            <w:pPr>
              <w:ind w:left="20"/>
              <w:spacing w:after="0"/>
              <w:rPr>
                <w:sz w:val="20"/>
                <w:szCs w:val="20"/>
                <w:color w:val="auto"/>
              </w:rPr>
            </w:pPr>
            <w:r>
              <w:rPr>
                <w:rFonts w:ascii="Arial" w:cs="Arial" w:eastAsia="Arial" w:hAnsi="Arial"/>
                <w:sz w:val="14"/>
                <w:szCs w:val="14"/>
                <w:color w:val="auto"/>
              </w:rPr>
              <w:t>Total lease expense</w:t>
            </w: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18,323</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52,269</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4"/>
                <w:szCs w:val="14"/>
                <w:color w:val="auto"/>
              </w:rPr>
              <w:t>Substantially all of the Company's sublease income from operating leases relates to fixed lease payments.</w:t>
            </w: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78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420"/>
        <w:spacing w:after="0" w:line="272" w:lineRule="auto"/>
        <w:rPr>
          <w:sz w:val="20"/>
          <w:szCs w:val="20"/>
          <w:color w:val="auto"/>
        </w:rPr>
      </w:pPr>
      <w:r>
        <w:rPr>
          <w:rFonts w:ascii="Arial" w:cs="Arial" w:eastAsia="Arial" w:hAnsi="Arial"/>
          <w:sz w:val="14"/>
          <w:szCs w:val="14"/>
          <w:color w:val="auto"/>
        </w:rPr>
        <w:t>All operating lease expenses, including short-term and variable lease expenses, are split between cost of service and selling, general and administrative expense in the condensed consolidated statements of operations based on the use of the facility that the rent is being paid on. Operating lease expense includes variable lease payments and short-term lease expense, both of which are immaterial. Variable lease expenses represent payments that are dependent on a rate or index, or on usage of the asset.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80" w:type="dxa"/>
            <w:vAlign w:val="bottom"/>
          </w:tcPr>
          <w:p>
            <w:pPr>
              <w:spacing w:after="0"/>
              <w:rPr>
                <w:sz w:val="20"/>
                <w:szCs w:val="20"/>
                <w:color w:val="auto"/>
              </w:rPr>
            </w:pPr>
            <w:r>
              <w:rPr>
                <w:rFonts w:ascii="Arial" w:cs="Arial" w:eastAsia="Arial" w:hAnsi="Arial"/>
                <w:sz w:val="14"/>
                <w:szCs w:val="14"/>
                <w:color w:val="auto"/>
              </w:rPr>
              <w:t>The following table summarizes other information related to operating and finance leases:</w:t>
            </w: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88"/>
        </w:trPr>
        <w:tc>
          <w:tcPr>
            <w:tcW w:w="6780" w:type="dxa"/>
            <w:vAlign w:val="bottom"/>
          </w:tcPr>
          <w:p>
            <w:pPr>
              <w:spacing w:after="0"/>
              <w:rPr>
                <w:sz w:val="24"/>
                <w:szCs w:val="24"/>
                <w:color w:val="auto"/>
              </w:rPr>
            </w:pPr>
          </w:p>
        </w:tc>
        <w:tc>
          <w:tcPr>
            <w:tcW w:w="24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Three Months Ended September 30,</w:t>
            </w: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6"/>
        </w:trPr>
        <w:tc>
          <w:tcPr>
            <w:tcW w:w="6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6"/>
                <w:szCs w:val="16"/>
                <w:color w:val="auto"/>
              </w:rPr>
            </w:pPr>
          </w:p>
        </w:tc>
        <w:tc>
          <w:tcPr>
            <w:tcW w:w="1760" w:type="dxa"/>
            <w:vAlign w:val="bottom"/>
          </w:tcPr>
          <w:p>
            <w:pPr>
              <w:jc w:val="right"/>
              <w:ind w:right="9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tcPr>
          <w:p>
            <w:pPr>
              <w:jc w:val="right"/>
              <w:ind w:right="928"/>
              <w:spacing w:after="0"/>
              <w:rPr>
                <w:sz w:val="20"/>
                <w:szCs w:val="20"/>
                <w:color w:val="auto"/>
              </w:rPr>
            </w:pPr>
            <w:r>
              <w:rPr>
                <w:rFonts w:ascii="Arial" w:cs="Arial" w:eastAsia="Arial" w:hAnsi="Arial"/>
                <w:sz w:val="14"/>
                <w:szCs w:val="14"/>
                <w:b w:val="1"/>
                <w:bCs w:val="1"/>
                <w:color w:val="auto"/>
              </w:rPr>
              <w:t>2019</w:t>
            </w:r>
          </w:p>
        </w:tc>
      </w:tr>
      <w:tr>
        <w:trPr>
          <w:trHeight w:val="23"/>
        </w:trPr>
        <w:tc>
          <w:tcPr>
            <w:tcW w:w="6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399"/>
        </w:trPr>
        <w:tc>
          <w:tcPr>
            <w:tcW w:w="6780" w:type="dxa"/>
            <w:vAlign w:val="bottom"/>
          </w:tcPr>
          <w:p>
            <w:pPr>
              <w:ind w:left="20"/>
              <w:spacing w:after="0"/>
              <w:rPr>
                <w:sz w:val="20"/>
                <w:szCs w:val="20"/>
                <w:color w:val="auto"/>
              </w:rPr>
            </w:pPr>
            <w:r>
              <w:rPr>
                <w:rFonts w:ascii="Arial" w:cs="Arial" w:eastAsia="Arial" w:hAnsi="Arial"/>
                <w:sz w:val="14"/>
                <w:szCs w:val="14"/>
                <w:color w:val="auto"/>
              </w:rPr>
              <w:t>Operating cash flows used by leases</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16,002</w:t>
            </w:r>
          </w:p>
        </w:tc>
        <w:tc>
          <w:tcPr>
            <w:tcW w:w="10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46,546</w:t>
            </w:r>
          </w:p>
        </w:tc>
      </w:tr>
      <w:tr>
        <w:trPr>
          <w:trHeight w:val="216"/>
        </w:trPr>
        <w:tc>
          <w:tcPr>
            <w:tcW w:w="6780" w:type="dxa"/>
            <w:vAlign w:val="bottom"/>
          </w:tcPr>
          <w:p>
            <w:pPr>
              <w:ind w:left="20"/>
              <w:spacing w:after="0"/>
              <w:rPr>
                <w:sz w:val="20"/>
                <w:szCs w:val="20"/>
                <w:color w:val="auto"/>
              </w:rPr>
            </w:pPr>
            <w:r>
              <w:rPr>
                <w:rFonts w:ascii="Arial" w:cs="Arial" w:eastAsia="Arial" w:hAnsi="Arial"/>
                <w:sz w:val="14"/>
                <w:szCs w:val="14"/>
                <w:color w:val="auto"/>
              </w:rPr>
              <w:t>Leased assets obtained in exchange for new operating lease liabilities</w:t>
            </w:r>
          </w:p>
        </w:tc>
        <w:tc>
          <w:tcPr>
            <w:tcW w:w="540" w:type="dxa"/>
            <w:vAlign w:val="bottom"/>
          </w:tcPr>
          <w:p>
            <w:pPr>
              <w:spacing w:after="0"/>
              <w:rPr>
                <w:sz w:val="18"/>
                <w:szCs w:val="18"/>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43,647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69,407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119"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72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7240" w:type="dxa"/>
            <w:vAlign w:val="bottom"/>
            <w:gridSpan w:val="2"/>
          </w:tcPr>
          <w:p>
            <w:pPr>
              <w:spacing w:after="0"/>
              <w:rPr>
                <w:sz w:val="20"/>
                <w:szCs w:val="20"/>
                <w:color w:val="auto"/>
              </w:rPr>
            </w:pPr>
            <w:r>
              <w:rPr>
                <w:rFonts w:ascii="Arial" w:cs="Arial" w:eastAsia="Arial" w:hAnsi="Arial"/>
                <w:sz w:val="14"/>
                <w:szCs w:val="14"/>
                <w:color w:val="auto"/>
              </w:rPr>
              <w:t>The following table summarizes the lease terms and discount rates:</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100" w:type="dxa"/>
            <w:vAlign w:val="bottom"/>
          </w:tcPr>
          <w:p>
            <w:pPr>
              <w:jc w:val="right"/>
              <w:ind w:right="5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100" w:type="dxa"/>
            <w:vAlign w:val="bottom"/>
          </w:tcPr>
          <w:p>
            <w:pPr>
              <w:jc w:val="right"/>
              <w:ind w:right="8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
        </w:trPr>
        <w:tc>
          <w:tcPr>
            <w:tcW w:w="724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Weighted-average remaining lease term </w:t>
            </w:r>
            <w:r>
              <w:rPr>
                <w:rFonts w:ascii="Arial" w:cs="Arial" w:eastAsia="Arial" w:hAnsi="Arial"/>
                <w:sz w:val="14"/>
                <w:szCs w:val="14"/>
                <w:i w:val="1"/>
                <w:iCs w:val="1"/>
                <w:color w:val="auto"/>
              </w:rPr>
              <w:t>(years)</w:t>
            </w: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240" w:type="dxa"/>
            <w:vAlign w:val="bottom"/>
            <w:gridSpan w:val="2"/>
            <w:vMerge w:val="continue"/>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40"/>
              <w:spacing w:after="0"/>
              <w:rPr>
                <w:sz w:val="20"/>
                <w:szCs w:val="20"/>
                <w:color w:val="auto"/>
              </w:rPr>
            </w:pPr>
            <w:r>
              <w:rPr>
                <w:rFonts w:ascii="Arial" w:cs="Arial" w:eastAsia="Arial" w:hAnsi="Arial"/>
                <w:sz w:val="14"/>
                <w:szCs w:val="14"/>
                <w:color w:val="auto"/>
              </w:rPr>
              <w:t>Operating leases</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6"/>
        </w:trPr>
        <w:tc>
          <w:tcPr>
            <w:tcW w:w="7240" w:type="dxa"/>
            <w:vAlign w:val="bottom"/>
            <w:gridSpan w:val="2"/>
          </w:tcPr>
          <w:p>
            <w:pPr>
              <w:ind w:left="140"/>
              <w:spacing w:after="0"/>
              <w:rPr>
                <w:sz w:val="20"/>
                <w:szCs w:val="20"/>
                <w:color w:val="auto"/>
              </w:rPr>
            </w:pPr>
            <w:r>
              <w:rPr>
                <w:rFonts w:ascii="Arial" w:cs="Arial" w:eastAsia="Arial" w:hAnsi="Arial"/>
                <w:sz w:val="14"/>
                <w:szCs w:val="14"/>
                <w:color w:val="auto"/>
              </w:rPr>
              <w:t>Finance leases</w:t>
            </w: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40"/>
              <w:spacing w:after="0"/>
              <w:rPr>
                <w:sz w:val="20"/>
                <w:szCs w:val="20"/>
                <w:color w:val="auto"/>
              </w:rPr>
            </w:pPr>
            <w:r>
              <w:rPr>
                <w:rFonts w:ascii="Arial" w:cs="Arial" w:eastAsia="Arial" w:hAnsi="Arial"/>
                <w:sz w:val="14"/>
                <w:szCs w:val="14"/>
                <w:color w:val="auto"/>
              </w:rPr>
              <w:t>Operating leases</w:t>
            </w:r>
          </w:p>
        </w:tc>
        <w:tc>
          <w:tcPr>
            <w:tcW w:w="21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16"/>
        </w:trPr>
        <w:tc>
          <w:tcPr>
            <w:tcW w:w="7240" w:type="dxa"/>
            <w:vAlign w:val="bottom"/>
            <w:gridSpan w:val="2"/>
          </w:tcPr>
          <w:p>
            <w:pPr>
              <w:ind w:left="140"/>
              <w:spacing w:after="0"/>
              <w:rPr>
                <w:sz w:val="20"/>
                <w:szCs w:val="20"/>
                <w:color w:val="auto"/>
              </w:rPr>
            </w:pPr>
            <w:r>
              <w:rPr>
                <w:rFonts w:ascii="Arial" w:cs="Arial" w:eastAsia="Arial" w:hAnsi="Arial"/>
                <w:sz w:val="14"/>
                <w:szCs w:val="14"/>
                <w:color w:val="auto"/>
              </w:rPr>
              <w:t>Finance leases</w:t>
            </w:r>
          </w:p>
        </w:tc>
        <w:tc>
          <w:tcPr>
            <w:tcW w:w="210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expected maturity of lease liabilities at September 30, 2019:</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900" w:type="dxa"/>
            <w:vAlign w:val="bottom"/>
            <w:gridSpan w:val="2"/>
          </w:tcPr>
          <w:p>
            <w:pPr>
              <w:ind w:left="200"/>
              <w:spacing w:after="0"/>
              <w:rPr>
                <w:sz w:val="20"/>
                <w:szCs w:val="20"/>
                <w:color w:val="auto"/>
              </w:rPr>
            </w:pPr>
            <w:r>
              <w:rPr>
                <w:rFonts w:ascii="Arial" w:cs="Arial" w:eastAsia="Arial" w:hAnsi="Arial"/>
                <w:sz w:val="14"/>
                <w:szCs w:val="14"/>
                <w:b w:val="1"/>
                <w:bCs w:val="1"/>
                <w:color w:val="auto"/>
              </w:rPr>
              <w:t>Operating Leases</w:t>
            </w: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Finance Leases</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788"/>
              <w:spacing w:after="0"/>
              <w:rPr>
                <w:sz w:val="20"/>
                <w:szCs w:val="20"/>
                <w:color w:val="auto"/>
              </w:rPr>
            </w:pPr>
            <w:r>
              <w:rPr>
                <w:rFonts w:ascii="Arial" w:cs="Arial" w:eastAsia="Arial" w:hAnsi="Arial"/>
                <w:sz w:val="14"/>
                <w:szCs w:val="14"/>
                <w:b w:val="1"/>
                <w:bCs w:val="1"/>
                <w:color w:val="auto"/>
              </w:rPr>
              <w:t>Total</w:t>
            </w:r>
          </w:p>
        </w:tc>
      </w:tr>
      <w:tr>
        <w:trPr>
          <w:trHeight w:val="23"/>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4"/>
        </w:trPr>
        <w:tc>
          <w:tcPr>
            <w:tcW w:w="5040" w:type="dxa"/>
            <w:vAlign w:val="bottom"/>
          </w:tcPr>
          <w:p>
            <w:pPr>
              <w:spacing w:after="0"/>
              <w:rPr>
                <w:sz w:val="20"/>
                <w:szCs w:val="20"/>
                <w:color w:val="auto"/>
              </w:rPr>
            </w:pPr>
            <w:r>
              <w:rPr>
                <w:rFonts w:ascii="Arial" w:cs="Arial" w:eastAsia="Arial" w:hAnsi="Arial"/>
                <w:sz w:val="14"/>
                <w:szCs w:val="14"/>
                <w:color w:val="auto"/>
              </w:rPr>
              <w:t>2019</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12,742</w:t>
            </w:r>
          </w:p>
        </w:tc>
        <w:tc>
          <w:tcPr>
            <w:tcW w:w="120" w:type="dxa"/>
            <w:vAlign w:val="bottom"/>
          </w:tcPr>
          <w:p>
            <w:pPr>
              <w:spacing w:after="0"/>
              <w:rPr>
                <w:sz w:val="15"/>
                <w:szCs w:val="15"/>
                <w:color w:val="auto"/>
              </w:rPr>
            </w:pPr>
          </w:p>
        </w:tc>
        <w:tc>
          <w:tcPr>
            <w:tcW w:w="1560" w:type="dxa"/>
            <w:vAlign w:val="bottom"/>
          </w:tcPr>
          <w:p>
            <w:pPr>
              <w:jc w:val="right"/>
              <w:ind w:right="138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12,805</w:t>
            </w:r>
          </w:p>
        </w:tc>
      </w:tr>
      <w:tr>
        <w:trPr>
          <w:trHeight w:val="216"/>
        </w:trPr>
        <w:tc>
          <w:tcPr>
            <w:tcW w:w="5040" w:type="dxa"/>
            <w:vAlign w:val="bottom"/>
          </w:tcPr>
          <w:p>
            <w:pPr>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8"/>
                <w:szCs w:val="18"/>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64,474</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64,648</w:t>
            </w:r>
          </w:p>
        </w:tc>
      </w:tr>
      <w:tr>
        <w:trPr>
          <w:trHeight w:val="216"/>
        </w:trPr>
        <w:tc>
          <w:tcPr>
            <w:tcW w:w="5040" w:type="dxa"/>
            <w:vAlign w:val="bottom"/>
          </w:tcPr>
          <w:p>
            <w:pPr>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8"/>
                <w:szCs w:val="18"/>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65,087</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65,261</w:t>
            </w:r>
          </w:p>
        </w:tc>
      </w:tr>
      <w:tr>
        <w:trPr>
          <w:trHeight w:val="216"/>
        </w:trPr>
        <w:tc>
          <w:tcPr>
            <w:tcW w:w="5040" w:type="dxa"/>
            <w:vAlign w:val="bottom"/>
          </w:tcPr>
          <w:p>
            <w:pPr>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8"/>
                <w:szCs w:val="18"/>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63,341</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63,515</w:t>
            </w:r>
          </w:p>
        </w:tc>
      </w:tr>
      <w:tr>
        <w:trPr>
          <w:trHeight w:val="216"/>
        </w:trPr>
        <w:tc>
          <w:tcPr>
            <w:tcW w:w="5040" w:type="dxa"/>
            <w:vAlign w:val="bottom"/>
          </w:tcPr>
          <w:p>
            <w:pPr>
              <w:spacing w:after="0"/>
              <w:rPr>
                <w:sz w:val="20"/>
                <w:szCs w:val="20"/>
                <w:color w:val="auto"/>
              </w:rPr>
            </w:pPr>
            <w:r>
              <w:rPr>
                <w:rFonts w:ascii="Arial" w:cs="Arial" w:eastAsia="Arial" w:hAnsi="Arial"/>
                <w:sz w:val="14"/>
                <w:szCs w:val="14"/>
                <w:color w:val="auto"/>
              </w:rPr>
              <w:t>2023</w:t>
            </w:r>
          </w:p>
        </w:tc>
        <w:tc>
          <w:tcPr>
            <w:tcW w:w="300" w:type="dxa"/>
            <w:vAlign w:val="bottom"/>
          </w:tcPr>
          <w:p>
            <w:pPr>
              <w:spacing w:after="0"/>
              <w:rPr>
                <w:sz w:val="18"/>
                <w:szCs w:val="18"/>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59,885</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60,059</w:t>
            </w:r>
          </w:p>
        </w:tc>
      </w:tr>
      <w:tr>
        <w:trPr>
          <w:trHeight w:val="216"/>
        </w:trPr>
        <w:tc>
          <w:tcPr>
            <w:tcW w:w="5040" w:type="dxa"/>
            <w:vAlign w:val="bottom"/>
          </w:tcPr>
          <w:p>
            <w:pPr>
              <w:spacing w:after="0"/>
              <w:rPr>
                <w:sz w:val="20"/>
                <w:szCs w:val="20"/>
                <w:color w:val="auto"/>
              </w:rPr>
            </w:pPr>
            <w:r>
              <w:rPr>
                <w:rFonts w:ascii="Arial" w:cs="Arial" w:eastAsia="Arial" w:hAnsi="Arial"/>
                <w:sz w:val="14"/>
                <w:szCs w:val="14"/>
                <w:color w:val="auto"/>
              </w:rPr>
              <w:t>2024 and thereafter</w:t>
            </w:r>
          </w:p>
        </w:tc>
        <w:tc>
          <w:tcPr>
            <w:tcW w:w="300" w:type="dxa"/>
            <w:vAlign w:val="bottom"/>
          </w:tcPr>
          <w:p>
            <w:pPr>
              <w:spacing w:after="0"/>
              <w:rPr>
                <w:sz w:val="18"/>
                <w:szCs w:val="18"/>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242,115</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1,704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243,819</w:t>
            </w:r>
          </w:p>
        </w:tc>
      </w:tr>
      <w:tr>
        <w:trPr>
          <w:trHeight w:val="23"/>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4"/>
        </w:trPr>
        <w:tc>
          <w:tcPr>
            <w:tcW w:w="5040" w:type="dxa"/>
            <w:vAlign w:val="bottom"/>
          </w:tcPr>
          <w:p>
            <w:pPr>
              <w:ind w:left="120"/>
              <w:spacing w:after="0"/>
              <w:rPr>
                <w:sz w:val="20"/>
                <w:szCs w:val="20"/>
                <w:color w:val="auto"/>
              </w:rPr>
            </w:pPr>
            <w:r>
              <w:rPr>
                <w:rFonts w:ascii="Arial" w:cs="Arial" w:eastAsia="Arial" w:hAnsi="Arial"/>
                <w:sz w:val="14"/>
                <w:szCs w:val="14"/>
                <w:color w:val="auto"/>
              </w:rPr>
              <w:t>Total lease payments</w:t>
            </w:r>
          </w:p>
        </w:tc>
        <w:tc>
          <w:tcPr>
            <w:tcW w:w="300" w:type="dxa"/>
            <w:vAlign w:val="bottom"/>
          </w:tcPr>
          <w:p>
            <w:pPr>
              <w:spacing w:after="0"/>
              <w:rPr>
                <w:sz w:val="15"/>
                <w:szCs w:val="15"/>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507,644</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2,463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510,107</w:t>
            </w:r>
          </w:p>
        </w:tc>
      </w:tr>
      <w:tr>
        <w:trPr>
          <w:trHeight w:val="216"/>
        </w:trPr>
        <w:tc>
          <w:tcPr>
            <w:tcW w:w="5040" w:type="dxa"/>
            <w:vAlign w:val="bottom"/>
          </w:tcPr>
          <w:p>
            <w:pPr>
              <w:spacing w:after="0"/>
              <w:rPr>
                <w:sz w:val="20"/>
                <w:szCs w:val="20"/>
                <w:color w:val="auto"/>
              </w:rPr>
            </w:pPr>
            <w:r>
              <w:rPr>
                <w:rFonts w:ascii="Arial" w:cs="Arial" w:eastAsia="Arial" w:hAnsi="Arial"/>
                <w:sz w:val="14"/>
                <w:szCs w:val="14"/>
                <w:color w:val="auto"/>
              </w:rPr>
              <w:t>Less: Interest</w:t>
            </w:r>
          </w:p>
        </w:tc>
        <w:tc>
          <w:tcPr>
            <w:tcW w:w="300" w:type="dxa"/>
            <w:vAlign w:val="bottom"/>
          </w:tcPr>
          <w:p>
            <w:pPr>
              <w:spacing w:after="0"/>
              <w:rPr>
                <w:sz w:val="18"/>
                <w:szCs w:val="18"/>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103,481</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104,229</w:t>
            </w:r>
          </w:p>
        </w:tc>
      </w:tr>
      <w:tr>
        <w:trPr>
          <w:trHeight w:val="23"/>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0"/>
        </w:trPr>
        <w:tc>
          <w:tcPr>
            <w:tcW w:w="5040" w:type="dxa"/>
            <w:vAlign w:val="bottom"/>
          </w:tcPr>
          <w:p>
            <w:pPr>
              <w:ind w:left="120"/>
              <w:spacing w:after="0"/>
              <w:rPr>
                <w:sz w:val="20"/>
                <w:szCs w:val="20"/>
                <w:color w:val="auto"/>
              </w:rPr>
            </w:pPr>
            <w:r>
              <w:rPr>
                <w:rFonts w:ascii="Arial" w:cs="Arial" w:eastAsia="Arial" w:hAnsi="Arial"/>
                <w:sz w:val="14"/>
                <w:szCs w:val="14"/>
                <w:color w:val="auto"/>
              </w:rPr>
              <w:t>Present value of lease liabilities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404,163</w:t>
            </w:r>
          </w:p>
        </w:tc>
        <w:tc>
          <w:tcPr>
            <w:tcW w:w="120" w:type="dxa"/>
            <w:vAlign w:val="bottom"/>
          </w:tcPr>
          <w:p>
            <w:pPr>
              <w:spacing w:after="0"/>
              <w:rPr>
                <w:sz w:val="17"/>
                <w:szCs w:val="17"/>
                <w:color w:val="auto"/>
              </w:rPr>
            </w:pPr>
          </w:p>
        </w:tc>
        <w:tc>
          <w:tcPr>
            <w:tcW w:w="156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1,715</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405,878</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ind w:right="20"/>
        <w:spacing w:after="0" w:line="288" w:lineRule="auto"/>
        <w:rPr>
          <w:sz w:val="20"/>
          <w:szCs w:val="20"/>
          <w:color w:val="auto"/>
        </w:rPr>
      </w:pPr>
      <w:r>
        <w:rPr>
          <w:rFonts w:ascii="Arial" w:cs="Arial" w:eastAsia="Arial" w:hAnsi="Arial"/>
          <w:sz w:val="14"/>
          <w:szCs w:val="14"/>
          <w:color w:val="auto"/>
        </w:rPr>
        <w:t>The Company's finance lease liabilities are presented in the accrued liabilities and other and the other liabilities lines of the unaudited condensed consolidated balance sheets. The related finance lease assets are included in the property, plant and equipment line.</w:t>
      </w:r>
    </w:p>
    <w:p>
      <w:pPr>
        <w:spacing w:after="0" w:line="131"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Our commitments under leases existing as of December 31, 2018 were approximately $55.1 million for the year ending December 31, 2019, $104.4 million in total for the years ending December 31, 2020 and 2021, $97.6 million in total for the years ending December 31, 2022 and 2023 and $168.5 million in total for years thereafter.</w:t>
      </w:r>
    </w:p>
    <w:p>
      <w:pPr>
        <w:spacing w:after="0" w:line="131" w:lineRule="exact"/>
        <w:rPr>
          <w:sz w:val="20"/>
          <w:szCs w:val="20"/>
          <w:color w:val="auto"/>
        </w:rPr>
      </w:pPr>
    </w:p>
    <w:p>
      <w:pPr>
        <w:ind w:right="300"/>
        <w:spacing w:after="0" w:line="272" w:lineRule="auto"/>
        <w:rPr>
          <w:sz w:val="20"/>
          <w:szCs w:val="20"/>
          <w:color w:val="auto"/>
        </w:rPr>
      </w:pPr>
      <w:r>
        <w:rPr>
          <w:rFonts w:ascii="Arial" w:cs="Arial" w:eastAsia="Arial" w:hAnsi="Arial"/>
          <w:sz w:val="14"/>
          <w:szCs w:val="14"/>
          <w:color w:val="auto"/>
        </w:rPr>
        <w:t>The Company is also the lessor on agreements to lease assets such as collocation space at cell sites and dedicated fiber-optic strands to third parties. These agreements have been accounted for as operating leases both before and after adoption of the new lease standard. The new lease standard did not have a significant impact on the recognition of lease revenue associated with these agreements. The following table summarizes the total minimum rental receipts under lease agreements at September 30, 2019:</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2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740" w:type="dxa"/>
            <w:vAlign w:val="bottom"/>
          </w:tcPr>
          <w:p>
            <w:pPr>
              <w:jc w:val="right"/>
              <w:ind w:right="408"/>
              <w:spacing w:after="0"/>
              <w:rPr>
                <w:sz w:val="20"/>
                <w:szCs w:val="20"/>
                <w:color w:val="auto"/>
              </w:rPr>
            </w:pPr>
            <w:r>
              <w:rPr>
                <w:rFonts w:ascii="Arial" w:cs="Arial" w:eastAsia="Arial" w:hAnsi="Arial"/>
                <w:sz w:val="14"/>
                <w:szCs w:val="14"/>
                <w:b w:val="1"/>
                <w:bCs w:val="1"/>
                <w:color w:val="auto"/>
              </w:rPr>
              <w:t>Operating Leases</w:t>
            </w:r>
          </w:p>
        </w:tc>
      </w:tr>
      <w:tr>
        <w:trPr>
          <w:trHeight w:val="23"/>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rPr>
              <w:t>2019</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1,774</w:t>
            </w:r>
          </w:p>
        </w:tc>
      </w:tr>
      <w:tr>
        <w:trPr>
          <w:trHeight w:val="216"/>
        </w:trPr>
        <w:tc>
          <w:tcPr>
            <w:tcW w:w="5200" w:type="dxa"/>
            <w:vAlign w:val="bottom"/>
          </w:tcPr>
          <w:p>
            <w:pPr>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6,621</w:t>
            </w:r>
          </w:p>
        </w:tc>
      </w:tr>
      <w:tr>
        <w:trPr>
          <w:trHeight w:val="216"/>
        </w:trPr>
        <w:tc>
          <w:tcPr>
            <w:tcW w:w="5200" w:type="dxa"/>
            <w:vAlign w:val="bottom"/>
          </w:tcPr>
          <w:p>
            <w:pPr>
              <w:spacing w:after="0"/>
              <w:rPr>
                <w:sz w:val="20"/>
                <w:szCs w:val="20"/>
                <w:color w:val="auto"/>
              </w:rPr>
            </w:pPr>
            <w:r>
              <w:rPr>
                <w:rFonts w:ascii="Arial" w:cs="Arial" w:eastAsia="Arial" w:hAnsi="Arial"/>
                <w:sz w:val="14"/>
                <w:szCs w:val="14"/>
                <w:color w:val="auto"/>
              </w:rPr>
              <w:t>2021</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4,526</w:t>
            </w:r>
          </w:p>
        </w:tc>
      </w:tr>
      <w:tr>
        <w:trPr>
          <w:trHeight w:val="216"/>
        </w:trPr>
        <w:tc>
          <w:tcPr>
            <w:tcW w:w="5200" w:type="dxa"/>
            <w:vAlign w:val="bottom"/>
          </w:tcPr>
          <w:p>
            <w:pPr>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3,432</w:t>
            </w:r>
          </w:p>
        </w:tc>
      </w:tr>
      <w:tr>
        <w:trPr>
          <w:trHeight w:val="216"/>
        </w:trPr>
        <w:tc>
          <w:tcPr>
            <w:tcW w:w="5200" w:type="dxa"/>
            <w:vAlign w:val="bottom"/>
          </w:tcPr>
          <w:p>
            <w:pPr>
              <w:spacing w:after="0"/>
              <w:rPr>
                <w:sz w:val="20"/>
                <w:szCs w:val="20"/>
                <w:color w:val="auto"/>
              </w:rPr>
            </w:pPr>
            <w:r>
              <w:rPr>
                <w:rFonts w:ascii="Arial" w:cs="Arial" w:eastAsia="Arial" w:hAnsi="Arial"/>
                <w:sz w:val="14"/>
                <w:szCs w:val="14"/>
                <w:color w:val="auto"/>
              </w:rPr>
              <w:t>2023</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1,801</w:t>
            </w:r>
          </w:p>
        </w:tc>
      </w:tr>
      <w:tr>
        <w:trPr>
          <w:trHeight w:val="216"/>
        </w:trPr>
        <w:tc>
          <w:tcPr>
            <w:tcW w:w="5200" w:type="dxa"/>
            <w:vAlign w:val="bottom"/>
          </w:tcPr>
          <w:p>
            <w:pPr>
              <w:spacing w:after="0"/>
              <w:rPr>
                <w:sz w:val="20"/>
                <w:szCs w:val="20"/>
                <w:color w:val="auto"/>
              </w:rPr>
            </w:pPr>
            <w:r>
              <w:rPr>
                <w:rFonts w:ascii="Arial" w:cs="Arial" w:eastAsia="Arial" w:hAnsi="Arial"/>
                <w:sz w:val="14"/>
                <w:szCs w:val="14"/>
                <w:color w:val="auto"/>
              </w:rPr>
              <w:t>2024 and thereafter</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4,978</w:t>
            </w:r>
          </w:p>
        </w:tc>
      </w:tr>
      <w:tr>
        <w:trPr>
          <w:trHeight w:val="23"/>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0"/>
        </w:trPr>
        <w:tc>
          <w:tcPr>
            <w:tcW w:w="5200" w:type="dxa"/>
            <w:vAlign w:val="bottom"/>
          </w:tcPr>
          <w:p>
            <w:pPr>
              <w:ind w:left="120"/>
              <w:spacing w:after="0"/>
              <w:rPr>
                <w:sz w:val="20"/>
                <w:szCs w:val="20"/>
                <w:color w:val="auto"/>
              </w:rPr>
            </w:pPr>
            <w:r>
              <w:rPr>
                <w:rFonts w:ascii="Arial" w:cs="Arial" w:eastAsia="Arial" w:hAnsi="Arial"/>
                <w:sz w:val="14"/>
                <w:szCs w:val="14"/>
                <w:color w:val="auto"/>
              </w:rPr>
              <w:t>Total lease income</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23,132</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Revenue from Contracts with Customers</w:t>
      </w:r>
    </w:p>
    <w:p>
      <w:pPr>
        <w:spacing w:after="0" w:line="188" w:lineRule="exact"/>
        <w:rPr>
          <w:sz w:val="20"/>
          <w:szCs w:val="20"/>
          <w:color w:val="auto"/>
        </w:rPr>
      </w:pPr>
    </w:p>
    <w:p>
      <w:pPr>
        <w:ind w:right="300"/>
        <w:spacing w:after="0" w:line="288" w:lineRule="auto"/>
        <w:rPr>
          <w:sz w:val="20"/>
          <w:szCs w:val="20"/>
          <w:color w:val="auto"/>
        </w:rPr>
      </w:pPr>
      <w:r>
        <w:rPr>
          <w:rFonts w:ascii="Arial" w:cs="Arial" w:eastAsia="Arial" w:hAnsi="Arial"/>
          <w:sz w:val="14"/>
          <w:szCs w:val="14"/>
          <w:color w:val="auto"/>
        </w:rPr>
        <w:t>The Company earns revenue primarily through the sale of its wireless service. Additional revenue is earned from the sale of wireless equipment; from business, residential and enterprise services which provide video, broadband, and voice services; 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119" w:right="21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from tower and other services. Refer to Note 14, </w:t>
      </w:r>
      <w:r>
        <w:rPr>
          <w:rFonts w:ascii="Arial" w:cs="Arial" w:eastAsia="Arial" w:hAnsi="Arial"/>
          <w:sz w:val="14"/>
          <w:szCs w:val="14"/>
          <w:i w:val="1"/>
          <w:iCs w:val="1"/>
          <w:color w:val="auto"/>
        </w:rPr>
        <w:t>Segment Reporting</w:t>
      </w:r>
      <w:r>
        <w:rPr>
          <w:rFonts w:ascii="Arial" w:cs="Arial" w:eastAsia="Arial" w:hAnsi="Arial"/>
          <w:sz w:val="14"/>
          <w:szCs w:val="14"/>
          <w:color w:val="auto"/>
        </w:rPr>
        <w:t>, for a tabular summary of revenue for the three and nine months ended September 30, 2019.</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Wireless service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Company earns revenue primarily through the sale of its wireless service by providing network access to Sprint under the affiliate agreement. Wireless service revenue is variable based on billed revenue to Sprint’s subscribers that originated in the Company's affiliate area, less applicable fees retained by Sprint.</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Company's revenue related to Sprint’s postpaid customers is the amount that Sprint bills its postpaid subscribers, reduced by customer credits, estimates of bad debt, and 8% management and 8.6% service fees. The Company is also charged for the costs of subsidized handsets sold through Sprint’s national channels as well as commissions paid by Sprint to third-party resellers in the Company's service territory.</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Company's revenue related to Sprint’s prepaid customers is the amount that Sprint bills its prepaid subscribers, reduced by costs to acquire and support the customers, based on national averages for Sprint’s prepaid programs, and a 6% management fee.</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Under our affiliate agreement with Sprint, we have historically earned and recognized monthly revenue of $1.5 million for providing service to Sprint customers who pass through our network area ("Travel Revenue"). While we continue to provide these services to Sprint, the agreed upon payments were suspended by Sprint on April 30, 2019. Accordingly, we have ceased recognizing revenue for the services provided after that date until a new prospective fee can be agreed. We have commenced final dispute resolution proceedings to settle this dispute and expect it to be settled by early 2020.</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considers Sprint, rather than Sprint's subscribers, to be the customer and the Company's performance obligation is to provide Sprint a series of continuous network access services within the Sprint Affiliate Area. The Company determined that reimbursements to Sprint including the cost of prepaid handsets and commissions, and postpaid commissions paid by Sprint to third-party resellers, represent consideration payable to a customer. These reimbursements are initially recorded as a contract asset and are subsequently recognized as a reduction of revenue over the expected benefit period between 21 and 53 months. Contract asset balances and activity for 2019 were as follows: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8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23"/>
        </w:trPr>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4"/>
        </w:trPr>
        <w:tc>
          <w:tcPr>
            <w:tcW w:w="2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r>
      <w:tr>
        <w:trPr>
          <w:trHeight w:val="23"/>
        </w:trPr>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4"/>
        </w:trPr>
        <w:tc>
          <w:tcPr>
            <w:tcW w:w="2220" w:type="dxa"/>
            <w:vAlign w:val="bottom"/>
          </w:tcPr>
          <w:p>
            <w:pPr>
              <w:spacing w:after="0"/>
              <w:rPr>
                <w:sz w:val="20"/>
                <w:szCs w:val="20"/>
                <w:color w:val="auto"/>
              </w:rPr>
            </w:pPr>
            <w:r>
              <w:rPr>
                <w:rFonts w:ascii="Arial" w:cs="Arial" w:eastAsia="Arial" w:hAnsi="Arial"/>
                <w:sz w:val="14"/>
                <w:szCs w:val="14"/>
                <w:color w:val="auto"/>
              </w:rPr>
              <w:t>Beginning balance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73,789</w:t>
            </w:r>
          </w:p>
        </w:tc>
        <w:tc>
          <w:tcPr>
            <w:tcW w:w="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57,256</w:t>
            </w:r>
          </w:p>
        </w:tc>
        <w:tc>
          <w:tcPr>
            <w:tcW w:w="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65,674</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51,103</w:t>
            </w: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Contract payments</w:t>
            </w: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20,761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16,421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56,477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44,790</w:t>
            </w: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Contract amortization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(42,531)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(34,077)</w:t>
            </w:r>
          </w:p>
        </w:tc>
      </w:tr>
      <w:tr>
        <w:trPr>
          <w:trHeight w:val="23"/>
        </w:trPr>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0"/>
        </w:trPr>
        <w:tc>
          <w:tcPr>
            <w:tcW w:w="2220" w:type="dxa"/>
            <w:vAlign w:val="bottom"/>
          </w:tcPr>
          <w:p>
            <w:pPr>
              <w:ind w:left="120"/>
              <w:spacing w:after="0"/>
              <w:rPr>
                <w:sz w:val="20"/>
                <w:szCs w:val="20"/>
                <w:color w:val="auto"/>
              </w:rPr>
            </w:pPr>
            <w:r>
              <w:rPr>
                <w:rFonts w:ascii="Arial" w:cs="Arial" w:eastAsia="Arial" w:hAnsi="Arial"/>
                <w:sz w:val="14"/>
                <w:szCs w:val="14"/>
                <w:color w:val="auto"/>
              </w:rPr>
              <w:t>Ending balance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79,620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61,816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79,620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61,816</w:t>
            </w:r>
          </w:p>
        </w:tc>
      </w:tr>
      <w:tr>
        <w:trPr>
          <w:trHeight w:val="20"/>
        </w:trPr>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Wireless equipment</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Company also earns revenue through the sale of wireless equipment. The Company owns and operates Sprint-branded retail stores within the Sprint Affiliate Area from which the Company sells equipment, primarily wireless handsets, and service to Sprint subscribers. The Company's equipment is predominantly sold to subscribers through Sprint's equipment financing plans. Under the equipment financing plans, Sprint purchases the equipment from the Company and resells the equipment to its subscribers. The Company is the principal in these equipment financing transactions, as it controls and bears the risk of ownership of the inventory prior to sale, and accordingly, revenue and handset costs are recorded on a gross basis, and the corresponding cost of the equipment is recorded separately to cost of goods sold.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residential and enterprise</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also earns revenue in the Cable and Wireline segments from the sale of business, residential, and enterprise services to customers where the performance obligations are to provide cable, broadband, and telephone network services, sell and lease equipment and wiring services, and lease fiber-optic cable. The Company's arrangements for residential services are generally composed of contracts that are cancellable at the customer’s discretion without penalty at any time. As there are multiple performance obligations in these arrangements, the Company recognizes revenue based on the standalone selling price of each distinct good or service. The Company generally recognizes this revenue over time as customers simultaneously receive and consume the benefits of the service, with the exception of equipment sales and home wiring which are recognized as revenue at a point in time when control transfers and when installation is complete,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129" w:right="21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Installation fees are allocated to services and are recognized ratably over the longer of the contract term or the period the unrecognized portion of the fee remains material to the contract, typically 10 and 11 months for Cable and Wireline customers, respectively. Additionally, the Company incurs commission and installation costs related to in-house employees and third-party vendors which are capitalized and amortized over the expected benefit period which is approximately 44 months and 72 months for Cable and Wireline,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Tower and Other</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 xml:space="preserve">The Company also earns revenue from tower and other services. Tower revenue consists primarily of tower collocation space on cell towers owned by the Company accounted for under Topic 842, </w:t>
      </w:r>
      <w:r>
        <w:rPr>
          <w:rFonts w:ascii="Arial" w:cs="Arial" w:eastAsia="Arial" w:hAnsi="Arial"/>
          <w:sz w:val="14"/>
          <w:szCs w:val="14"/>
          <w:i w:val="1"/>
          <w:iCs w:val="1"/>
          <w:color w:val="auto"/>
        </w:rPr>
        <w:t xml:space="preserve">Leases. </w:t>
      </w:r>
      <w:r>
        <w:rPr>
          <w:rFonts w:ascii="Arial" w:cs="Arial" w:eastAsia="Arial" w:hAnsi="Arial"/>
          <w:sz w:val="14"/>
          <w:szCs w:val="14"/>
          <w:color w:val="auto"/>
        </w:rPr>
        <w:t>Other revenue includes network access-related charges for service provided to customers across the segments.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Future performance obligations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On September 30, 2019, the Company had approximately $3.5 million allocated to unsatisfied performance obligations, which excludes contracts with original expected duration of one year or less.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approximate amounts expected to be recognized as revenue after September 30, 2019.</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2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Amount Expected to be Recognized</w:t>
            </w:r>
          </w:p>
        </w:tc>
        <w:tc>
          <w:tcPr>
            <w:tcW w:w="0" w:type="dxa"/>
            <w:vAlign w:val="bottom"/>
          </w:tcPr>
          <w:p>
            <w:pPr>
              <w:spacing w:after="0"/>
              <w:rPr>
                <w:sz w:val="1"/>
                <w:szCs w:val="1"/>
                <w:color w:val="auto"/>
              </w:rPr>
            </w:pPr>
          </w:p>
        </w:tc>
      </w:tr>
      <w:tr>
        <w:trPr>
          <w:trHeight w:val="186"/>
        </w:trPr>
        <w:tc>
          <w:tcPr>
            <w:tcW w:w="2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Pr>
          <w:p>
            <w:pPr>
              <w:jc w:val="right"/>
              <w:ind w:right="668"/>
              <w:spacing w:after="0"/>
              <w:rPr>
                <w:sz w:val="20"/>
                <w:szCs w:val="20"/>
                <w:color w:val="auto"/>
              </w:rPr>
            </w:pPr>
            <w:r>
              <w:rPr>
                <w:rFonts w:ascii="Arial" w:cs="Arial" w:eastAsia="Arial" w:hAnsi="Arial"/>
                <w:sz w:val="14"/>
                <w:szCs w:val="14"/>
                <w:b w:val="1"/>
                <w:bCs w:val="1"/>
                <w:color w:val="auto"/>
              </w:rPr>
              <w:t>as Revenue:</w:t>
            </w:r>
          </w:p>
        </w:tc>
        <w:tc>
          <w:tcPr>
            <w:tcW w:w="0" w:type="dxa"/>
            <w:vAlign w:val="bottom"/>
          </w:tcPr>
          <w:p>
            <w:pPr>
              <w:spacing w:after="0"/>
              <w:rPr>
                <w:sz w:val="1"/>
                <w:szCs w:val="1"/>
                <w:color w:val="auto"/>
              </w:rPr>
            </w:pPr>
          </w:p>
        </w:tc>
      </w:tr>
      <w:tr>
        <w:trPr>
          <w:trHeight w:val="23"/>
        </w:trPr>
        <w:tc>
          <w:tcPr>
            <w:tcW w:w="22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2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2019</w:t>
            </w: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2020</w:t>
            </w: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2021</w:t>
            </w: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2022 and thereafter</w:t>
            </w: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23"/>
        </w:trPr>
        <w:tc>
          <w:tcPr>
            <w:tcW w:w="2220" w:type="dxa"/>
            <w:vAlign w:val="bottom"/>
            <w:vMerge w:val="restart"/>
          </w:tcPr>
          <w:p>
            <w:pPr>
              <w:ind w:left="12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220" w:type="dxa"/>
            <w:vAlign w:val="bottom"/>
            <w:vMerge w:val="continue"/>
          </w:tcPr>
          <w:p>
            <w:pPr>
              <w:spacing w:after="0"/>
              <w:rPr>
                <w:sz w:val="15"/>
                <w:szCs w:val="15"/>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3,546</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acquisition costs and costs to fulfill contracts</w:t>
      </w:r>
    </w:p>
    <w:p>
      <w:pPr>
        <w:spacing w:after="0" w:line="25"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Capitalized contract costs represent contract fulfillment costs and contract acquisition costs which include commissions and installation costs in the Cable and Wireline segments. Capitalized contract assets, including commissions and installation costs, are amortized on a straight-line basis over the average customer life of 44 months and 72 months for Cable and Wireline, respectively. The Company elected to apply the practical expedient to expense contract acquisition costs when incurred, if the amortization period would be twelve months or less. The amortization of these costs is included in cost of services, and selling, general and administrative expenses. Amortized and capitalized costs for Cable and Wireline contracts were as follows: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8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23"/>
        </w:trPr>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4"/>
        </w:trPr>
        <w:tc>
          <w:tcPr>
            <w:tcW w:w="2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r>
      <w:tr>
        <w:trPr>
          <w:trHeight w:val="23"/>
        </w:trPr>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4"/>
        </w:trPr>
        <w:tc>
          <w:tcPr>
            <w:tcW w:w="2220" w:type="dxa"/>
            <w:vAlign w:val="bottom"/>
          </w:tcPr>
          <w:p>
            <w:pPr>
              <w:spacing w:after="0"/>
              <w:rPr>
                <w:sz w:val="20"/>
                <w:szCs w:val="20"/>
                <w:color w:val="auto"/>
              </w:rPr>
            </w:pPr>
            <w:r>
              <w:rPr>
                <w:rFonts w:ascii="Arial" w:cs="Arial" w:eastAsia="Arial" w:hAnsi="Arial"/>
                <w:sz w:val="14"/>
                <w:szCs w:val="14"/>
                <w:color w:val="auto"/>
              </w:rPr>
              <w:t>Beginning Balance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10,476</w:t>
            </w:r>
          </w:p>
        </w:tc>
        <w:tc>
          <w:tcPr>
            <w:tcW w:w="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9,755</w:t>
            </w:r>
          </w:p>
        </w:tc>
        <w:tc>
          <w:tcPr>
            <w:tcW w:w="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10,091</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9,841</w:t>
            </w: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Contract payments</w:t>
            </w: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4,246</w:t>
            </w: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Contract amortization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(4,058)</w:t>
            </w:r>
          </w:p>
        </w:tc>
      </w:tr>
      <w:tr>
        <w:trPr>
          <w:trHeight w:val="23"/>
        </w:trPr>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0"/>
        </w:trPr>
        <w:tc>
          <w:tcPr>
            <w:tcW w:w="2220" w:type="dxa"/>
            <w:vAlign w:val="bottom"/>
          </w:tcPr>
          <w:p>
            <w:pPr>
              <w:ind w:left="120"/>
              <w:spacing w:after="0"/>
              <w:rPr>
                <w:sz w:val="20"/>
                <w:szCs w:val="20"/>
                <w:color w:val="auto"/>
              </w:rPr>
            </w:pPr>
            <w:r>
              <w:rPr>
                <w:rFonts w:ascii="Arial" w:cs="Arial" w:eastAsia="Arial" w:hAnsi="Arial"/>
                <w:sz w:val="14"/>
                <w:szCs w:val="14"/>
                <w:color w:val="auto"/>
              </w:rPr>
              <w:t>Ending Balance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10,917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10,029</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10,029</w:t>
            </w:r>
          </w:p>
        </w:tc>
      </w:tr>
      <w:tr>
        <w:trPr>
          <w:trHeight w:val="20"/>
        </w:trPr>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Big Sandy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 xml:space="preserve">On February 28, 2019, the Company completed its preliminary valuation for the acquisition of the assets of Big Sandy Broadband, Inc. ("Big Sandy") for $10 million and recorded $4.6 million of property, plant and equipment; $2.8 million of subscriber relationships; and $2.6 million of goodwill which is reported in the Cable segment and was accounted for as a business combination under ASC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The estimated remaining useful lives of the acquired property, plant and equipment were approximately 2.5 years to 12.5 years and the estimated useful lives for subscriber relationships were 7 years at the time of the acquisition. Big Sandy was a provider of cable television, telephone and high speed internet services. Our preliminary allocation of the acquisition price is based on our preliminary estimate of fair value for each of the acquired assets and liabilities. These estimates may be revised during the one year measurement period provided by the authoritative guidance applicable to business combinations.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129" w:right="21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Customer Concentration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Significant Contractual Relationship</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 1999, the Company executed a Management Agreement (the “Agreement”) with Sprint whereby the Company committed to construct and operate a PCS network using CDMA air interface technology. The Agreement has been amended numerous times. Under the amended Agreement, the Company is the exclusive PCS Affiliate of Sprint providing wireless mobility communications network products and services on the 800 MHz, 1900 MHz and 2.5 GHz spectrum ranges in its territory across a multi-state area covering large portions of central and western Virginia, south-central Pennsylvania, West Virginia, and portions of Maryland, North Carolina, Kentucky, and Ohio. Effective February 1, 2018, the Company amended its Agreement with Sprint to expand its wireless service area to include certain areas in Kentucky, Pennsylvania, Virginia and West Virginia.</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As an exclusive PCS Affiliate of Sprint, the Company has the exclusive right to build, own and maintain its portion of Sprint’s nationwide PCS network, in the aforementioned areas, to Sprint’s specifications. The initial term of the Agreement extends through November 2029, with two successive 10-year renewal periods, unless terminated by either party under provisions outlined in the Agreement. Upon non-renewal by either party, the Company may cause Sprint to buy or Sprint may cause the Company to sell the business, at 90% of Entire Business Value ("EBV") as defined in the Agreement. EBV is defined as i) the fair market value of a going concern paid by a willing buyer to a willing seller; ii) valued as if the business will continue to utilize existing brands and operate under existing agreements; and, iii) valued as if Shentel has continued access to the spectrum. Determination of EBV is made by an independent appraisal process.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Earnings Per Share ("EPS")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Basic EPS was computed by dividing net income by the weighted average number of shares of common stock outstanding. Diluted EPS was computed under the treasury stock method by dividing net income by the sum of the weighted average number of shares of common stock outstanding and potentially dilutive securities outstanding during the period under the treasury stock method. Potentially dilutive securities include unvested equity awards that are expected to vest and shares that the Company is contractually obligated to issue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indicates the computation of basic and diluted earnings per share:</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3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0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0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
        </w:trPr>
        <w:tc>
          <w:tcPr>
            <w:tcW w:w="3900" w:type="dxa"/>
            <w:vAlign w:val="bottom"/>
            <w:vMerge w:val="restart"/>
          </w:tcPr>
          <w:p>
            <w:pPr>
              <w:spacing w:after="0"/>
              <w:rPr>
                <w:sz w:val="20"/>
                <w:szCs w:val="20"/>
                <w:color w:val="auto"/>
              </w:rPr>
            </w:pPr>
            <w:r>
              <w:rPr>
                <w:rFonts w:ascii="Arial" w:cs="Arial" w:eastAsia="Arial" w:hAnsi="Arial"/>
                <w:sz w:val="14"/>
                <w:szCs w:val="14"/>
                <w:color w:val="auto"/>
              </w:rPr>
              <w:t>Calculation of net income per share:</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9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14,354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15,534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41,414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31,743</w:t>
            </w: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4"/>
                <w:szCs w:val="14"/>
                <w:color w:val="auto"/>
              </w:rPr>
              <w:t>Basic weighted average shares outstanding</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49,857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49,559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49,827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49,527</w:t>
            </w:r>
          </w:p>
        </w:tc>
        <w:tc>
          <w:tcPr>
            <w:tcW w:w="0" w:type="dxa"/>
            <w:vAlign w:val="bottom"/>
          </w:tcPr>
          <w:p>
            <w:pPr>
              <w:spacing w:after="0"/>
              <w:rPr>
                <w:sz w:val="1"/>
                <w:szCs w:val="1"/>
                <w:color w:val="auto"/>
              </w:rPr>
            </w:pPr>
          </w:p>
        </w:tc>
      </w:tr>
      <w:tr>
        <w:trPr>
          <w:trHeight w:val="23"/>
        </w:trPr>
        <w:tc>
          <w:tcPr>
            <w:tcW w:w="3900" w:type="dxa"/>
            <w:vAlign w:val="bottom"/>
            <w:vMerge w:val="restart"/>
          </w:tcPr>
          <w:p>
            <w:pPr>
              <w:ind w:left="200"/>
              <w:spacing w:after="0"/>
              <w:rPr>
                <w:sz w:val="20"/>
                <w:szCs w:val="20"/>
                <w:color w:val="auto"/>
              </w:rPr>
            </w:pPr>
            <w:r>
              <w:rPr>
                <w:rFonts w:ascii="Arial" w:cs="Arial" w:eastAsia="Arial" w:hAnsi="Arial"/>
                <w:sz w:val="14"/>
                <w:szCs w:val="14"/>
                <w:color w:val="auto"/>
              </w:rPr>
              <w:t>Basic net income per share</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0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0.29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0.83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23"/>
        </w:trPr>
        <w:tc>
          <w:tcPr>
            <w:tcW w:w="3900" w:type="dxa"/>
            <w:vAlign w:val="bottom"/>
            <w:vMerge w:val="restart"/>
          </w:tcPr>
          <w:p>
            <w:pPr>
              <w:spacing w:after="0"/>
              <w:rPr>
                <w:sz w:val="20"/>
                <w:szCs w:val="20"/>
                <w:color w:val="auto"/>
              </w:rPr>
            </w:pPr>
            <w:r>
              <w:rPr>
                <w:rFonts w:ascii="Arial" w:cs="Arial" w:eastAsia="Arial" w:hAnsi="Arial"/>
                <w:sz w:val="14"/>
                <w:szCs w:val="14"/>
                <w:color w:val="auto"/>
              </w:rPr>
              <w:t>Effect of stock options outstanding:</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4"/>
                <w:szCs w:val="14"/>
                <w:color w:val="auto"/>
              </w:rPr>
              <w:t>Basic weighted average shares outstanding</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49,857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49,559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49,827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49,527</w:t>
            </w: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4"/>
                <w:szCs w:val="14"/>
                <w:color w:val="auto"/>
              </w:rPr>
              <w:t>Effect from dilutive shares and options outstanding</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3"/>
        </w:trPr>
        <w:tc>
          <w:tcPr>
            <w:tcW w:w="3900" w:type="dxa"/>
            <w:vAlign w:val="bottom"/>
            <w:vMerge w:val="restart"/>
          </w:tcPr>
          <w:p>
            <w:pPr>
              <w:ind w:left="200"/>
              <w:spacing w:after="0"/>
              <w:rPr>
                <w:sz w:val="20"/>
                <w:szCs w:val="20"/>
                <w:color w:val="auto"/>
              </w:rPr>
            </w:pPr>
            <w:r>
              <w:rPr>
                <w:rFonts w:ascii="Arial" w:cs="Arial" w:eastAsia="Arial" w:hAnsi="Arial"/>
                <w:sz w:val="14"/>
                <w:szCs w:val="14"/>
                <w:color w:val="auto"/>
              </w:rPr>
              <w:t>Diluted weighted average shares outstanding</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50,129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50,117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50,110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50,044</w:t>
            </w:r>
          </w:p>
        </w:tc>
        <w:tc>
          <w:tcPr>
            <w:tcW w:w="0" w:type="dxa"/>
            <w:vAlign w:val="bottom"/>
          </w:tcPr>
          <w:p>
            <w:pPr>
              <w:spacing w:after="0"/>
              <w:rPr>
                <w:sz w:val="1"/>
                <w:szCs w:val="1"/>
                <w:color w:val="auto"/>
              </w:rPr>
            </w:pPr>
          </w:p>
        </w:tc>
      </w:tr>
      <w:tr>
        <w:trPr>
          <w:trHeight w:val="23"/>
        </w:trPr>
        <w:tc>
          <w:tcPr>
            <w:tcW w:w="3900" w:type="dxa"/>
            <w:vAlign w:val="bottom"/>
            <w:vMerge w:val="restart"/>
          </w:tcPr>
          <w:p>
            <w:pPr>
              <w:ind w:left="280"/>
              <w:spacing w:after="0"/>
              <w:rPr>
                <w:sz w:val="20"/>
                <w:szCs w:val="20"/>
                <w:color w:val="auto"/>
              </w:rPr>
            </w:pPr>
            <w:r>
              <w:rPr>
                <w:rFonts w:ascii="Arial" w:cs="Arial" w:eastAsia="Arial" w:hAnsi="Arial"/>
                <w:sz w:val="14"/>
                <w:szCs w:val="14"/>
                <w:color w:val="auto"/>
              </w:rPr>
              <w:t>Diluted net income per share</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0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0.29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0.83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computation of diluted EPS does not include certain unvested awards, on a weighted average basis, because their inclusion would have an anti-dilutive effect on EPS. The awards excluded because of their anti-dilutive effect were as follows:</w:t>
      </w:r>
    </w:p>
    <w:p>
      <w:pPr>
        <w:sectPr>
          <w:pgSz w:w="11900" w:h="16838" w:orient="portrait"/>
          <w:cols w:equalWidth="0" w:num="1">
            <w:col w:w="11460"/>
          </w:cols>
          <w:pgMar w:left="220" w:top="129" w:right="21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55" w:lineRule="exact"/>
        <w:rPr>
          <w:sz w:val="20"/>
          <w:szCs w:val="20"/>
          <w:color w:val="auto"/>
        </w:rPr>
      </w:pPr>
    </w:p>
    <w:p>
      <w:pPr>
        <w:ind w:left="20"/>
        <w:spacing w:after="0" w:line="288" w:lineRule="auto"/>
        <w:rPr>
          <w:sz w:val="20"/>
          <w:szCs w:val="20"/>
          <w:color w:val="auto"/>
        </w:rPr>
      </w:pPr>
      <w:r>
        <w:rPr>
          <w:rFonts w:ascii="Arial" w:cs="Arial" w:eastAsia="Arial" w:hAnsi="Arial"/>
          <w:sz w:val="14"/>
          <w:szCs w:val="14"/>
          <w:color w:val="auto"/>
        </w:rPr>
        <w:t>Awards excluded from the computation of diluted net income per share because their inclusion would have been anti-dilutive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960" w:type="dxa"/>
            <w:vAlign w:val="bottom"/>
            <w:gridSpan w:val="4"/>
          </w:tcPr>
          <w:p>
            <w:pPr>
              <w:jc w:val="center"/>
              <w:ind w:left="288"/>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700" w:type="dxa"/>
            <w:vAlign w:val="bottom"/>
          </w:tcPr>
          <w:p>
            <w:pPr>
              <w:spacing w:after="0"/>
              <w:rPr>
                <w:sz w:val="16"/>
                <w:szCs w:val="16"/>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left="62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6"/>
                <w:szCs w:val="16"/>
                <w:color w:val="auto"/>
              </w:rPr>
            </w:pPr>
          </w:p>
        </w:tc>
      </w:tr>
      <w:tr>
        <w:trPr>
          <w:trHeight w:val="23"/>
        </w:trPr>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4"/>
        </w:trPr>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328"/>
              <w:spacing w:after="0"/>
              <w:rPr>
                <w:sz w:val="20"/>
                <w:szCs w:val="20"/>
                <w:color w:val="auto"/>
              </w:rPr>
            </w:pPr>
            <w:r>
              <w:rPr>
                <w:rFonts w:ascii="Arial" w:cs="Arial" w:eastAsia="Arial" w:hAnsi="Arial"/>
                <w:sz w:val="14"/>
                <w:szCs w:val="14"/>
                <w:b w:val="1"/>
                <w:bCs w:val="1"/>
                <w:color w:val="auto"/>
                <w:w w:val="83"/>
              </w:rPr>
              <w:t>2018</w:t>
            </w:r>
          </w:p>
        </w:tc>
      </w:tr>
      <w:tr>
        <w:trPr>
          <w:trHeight w:val="23"/>
        </w:trPr>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9"/>
        </w:trPr>
        <w:tc>
          <w:tcPr>
            <w:tcW w:w="700" w:type="dxa"/>
            <w:vAlign w:val="bottom"/>
          </w:tcPr>
          <w:p>
            <w:pPr>
              <w:spacing w:after="0"/>
              <w:rPr>
                <w:sz w:val="22"/>
                <w:szCs w:val="22"/>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60</w:t>
            </w:r>
          </w:p>
        </w:tc>
      </w:tr>
      <w:tr>
        <w:trPr>
          <w:trHeight w:val="98"/>
        </w:trPr>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60" w:space="360"/>
            <w:col w:w="5240"/>
          </w:cols>
          <w:pgMar w:left="220" w:top="129" w:right="219" w:bottom="1440" w:gutter="0" w:footer="0" w:header="0"/>
          <w:type w:val="continuous"/>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60"/>
          </w:cols>
          <w:pgMar w:left="220" w:top="129" w:right="21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Note 7. Investments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620" w:type="dxa"/>
            <w:vAlign w:val="bottom"/>
            <w:gridSpan w:val="2"/>
          </w:tcPr>
          <w:p>
            <w:pPr>
              <w:spacing w:after="0"/>
              <w:rPr>
                <w:sz w:val="20"/>
                <w:szCs w:val="20"/>
                <w:color w:val="auto"/>
              </w:rPr>
            </w:pPr>
            <w:r>
              <w:rPr>
                <w:rFonts w:ascii="Arial" w:cs="Arial" w:eastAsia="Arial" w:hAnsi="Arial"/>
                <w:sz w:val="14"/>
                <w:szCs w:val="14"/>
                <w:color w:val="auto"/>
              </w:rPr>
              <w:t>Investments consist of the following:</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36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6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380" w:type="dxa"/>
            <w:vAlign w:val="bottom"/>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color w:val="auto"/>
              </w:rPr>
              <w:t>Domestic equity funds</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620" w:type="dxa"/>
            <w:vAlign w:val="bottom"/>
            <w:gridSpan w:val="2"/>
            <w:vMerge w:val="continue"/>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1,681</w:t>
            </w:r>
          </w:p>
        </w:tc>
        <w:tc>
          <w:tcPr>
            <w:tcW w:w="8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International equity funds</w:t>
            </w:r>
          </w:p>
        </w:tc>
        <w:tc>
          <w:tcPr>
            <w:tcW w:w="22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3"/>
        </w:trPr>
        <w:tc>
          <w:tcPr>
            <w:tcW w:w="5620" w:type="dxa"/>
            <w:vAlign w:val="bottom"/>
            <w:gridSpan w:val="2"/>
            <w:vMerge w:val="restart"/>
          </w:tcPr>
          <w:p>
            <w:pPr>
              <w:ind w:left="140"/>
              <w:spacing w:after="0"/>
              <w:rPr>
                <w:sz w:val="20"/>
                <w:szCs w:val="20"/>
                <w:color w:val="auto"/>
              </w:rPr>
            </w:pPr>
            <w:r>
              <w:rPr>
                <w:rFonts w:ascii="Arial" w:cs="Arial" w:eastAsia="Arial" w:hAnsi="Arial"/>
                <w:sz w:val="14"/>
                <w:szCs w:val="14"/>
                <w:color w:val="auto"/>
              </w:rPr>
              <w:t>Total investments carried at fair value</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6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2,102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CoBank</w:t>
            </w:r>
          </w:p>
        </w:tc>
        <w:tc>
          <w:tcPr>
            <w:tcW w:w="220" w:type="dxa"/>
            <w:vAlign w:val="bottom"/>
          </w:tcPr>
          <w:p>
            <w:pPr>
              <w:spacing w:after="0"/>
              <w:rPr>
                <w:sz w:val="24"/>
                <w:szCs w:val="24"/>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8,368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7,705</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Equity in other telecommunications partners</w:t>
            </w:r>
          </w:p>
        </w:tc>
        <w:tc>
          <w:tcPr>
            <w:tcW w:w="22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23"/>
        </w:trPr>
        <w:tc>
          <w:tcPr>
            <w:tcW w:w="5620" w:type="dxa"/>
            <w:vAlign w:val="bottom"/>
            <w:gridSpan w:val="2"/>
            <w:vMerge w:val="restart"/>
          </w:tcPr>
          <w:p>
            <w:pPr>
              <w:ind w:left="140"/>
              <w:spacing w:after="0"/>
              <w:rPr>
                <w:sz w:val="20"/>
                <w:szCs w:val="20"/>
                <w:color w:val="auto"/>
              </w:rPr>
            </w:pPr>
            <w:r>
              <w:rPr>
                <w:rFonts w:ascii="Arial" w:cs="Arial" w:eastAsia="Arial" w:hAnsi="Arial"/>
                <w:sz w:val="14"/>
                <w:szCs w:val="14"/>
                <w:color w:val="auto"/>
              </w:rPr>
              <w:t>Total investments carried at cost</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6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9,135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8,487</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24"/>
                <w:szCs w:val="24"/>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614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3"/>
        </w:trPr>
        <w:tc>
          <w:tcPr>
            <w:tcW w:w="5620" w:type="dxa"/>
            <w:vAlign w:val="bottom"/>
            <w:gridSpan w:val="2"/>
            <w:vMerge w:val="restart"/>
          </w:tcPr>
          <w:p>
            <w:pPr>
              <w:ind w:left="140"/>
              <w:spacing w:after="0"/>
              <w:rPr>
                <w:sz w:val="20"/>
                <w:szCs w:val="20"/>
                <w:color w:val="auto"/>
              </w:rPr>
            </w:pPr>
            <w:r>
              <w:rPr>
                <w:rFonts w:ascii="Arial" w:cs="Arial" w:eastAsia="Arial" w:hAnsi="Arial"/>
                <w:sz w:val="14"/>
                <w:szCs w:val="14"/>
                <w:color w:val="auto"/>
              </w:rPr>
              <w:t>Total equity method investments</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6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614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60"/>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color w:val="auto"/>
              </w:rPr>
              <w:t>Total investments</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620" w:type="dxa"/>
            <w:vAlign w:val="bottom"/>
            <w:gridSpan w:val="2"/>
            <w:vMerge w:val="continue"/>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11,851</w:t>
            </w:r>
          </w:p>
        </w:tc>
        <w:tc>
          <w:tcPr>
            <w:tcW w:w="8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10,788</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determines classification for investments at the date individual investments are acquired. The appropriateness of such classification is periodically reassessed. The Company monitors the value of all investments, and based on factors such as market conditions, financial information and industry conditions, the Company reflects impairments in values when warranted. The domestic and international equity funds are carried at their fair value as determined by using the net asset value expedient.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20"/>
                <w:szCs w:val="20"/>
                <w:color w:val="auto"/>
              </w:rPr>
            </w:pPr>
            <w:r>
              <w:rPr>
                <w:rFonts w:ascii="Arial" w:cs="Arial" w:eastAsia="Arial" w:hAnsi="Arial"/>
                <w:sz w:val="14"/>
                <w:szCs w:val="14"/>
                <w:b w:val="1"/>
                <w:bCs w:val="1"/>
                <w:color w:val="auto"/>
              </w:rPr>
              <w:t>Note 8. Property, Plant and Equipment</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45"/>
        </w:trPr>
        <w:tc>
          <w:tcPr>
            <w:tcW w:w="5040" w:type="dxa"/>
            <w:vAlign w:val="bottom"/>
          </w:tcPr>
          <w:p>
            <w:pPr>
              <w:spacing w:after="0"/>
              <w:rPr>
                <w:sz w:val="20"/>
                <w:szCs w:val="20"/>
                <w:color w:val="auto"/>
              </w:rPr>
            </w:pPr>
            <w:r>
              <w:rPr>
                <w:rFonts w:ascii="Arial" w:cs="Arial" w:eastAsia="Arial" w:hAnsi="Arial"/>
                <w:sz w:val="14"/>
                <w:szCs w:val="14"/>
                <w:color w:val="auto"/>
              </w:rPr>
              <w:t>Property, plant and equipment consisted of the following:</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88"/>
        </w:trPr>
        <w:tc>
          <w:tcPr>
            <w:tcW w:w="5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6"/>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Estimated Useful Lives</w:t>
            </w:r>
          </w:p>
        </w:tc>
        <w:tc>
          <w:tcPr>
            <w:tcW w:w="1540" w:type="dxa"/>
            <w:vAlign w:val="bottom"/>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248"/>
              <w:spacing w:after="0"/>
              <w:rPr>
                <w:sz w:val="20"/>
                <w:szCs w:val="20"/>
                <w:color w:val="auto"/>
              </w:rPr>
            </w:pPr>
            <w:r>
              <w:rPr>
                <w:rFonts w:ascii="Arial" w:cs="Arial" w:eastAsia="Arial" w:hAnsi="Arial"/>
                <w:sz w:val="14"/>
                <w:szCs w:val="14"/>
                <w:b w:val="1"/>
                <w:bCs w:val="1"/>
                <w:color w:val="auto"/>
                <w:w w:val="99"/>
              </w:rPr>
              <w:t>December 31, 2018</w:t>
            </w:r>
          </w:p>
        </w:tc>
      </w:tr>
      <w:tr>
        <w:trPr>
          <w:trHeight w:val="23"/>
        </w:trPr>
        <w:tc>
          <w:tcPr>
            <w:tcW w:w="50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4"/>
        </w:trPr>
        <w:tc>
          <w:tcPr>
            <w:tcW w:w="5040" w:type="dxa"/>
            <w:vAlign w:val="bottom"/>
          </w:tcPr>
          <w:p>
            <w:pPr>
              <w:ind w:left="20"/>
              <w:spacing w:after="0"/>
              <w:rPr>
                <w:sz w:val="20"/>
                <w:szCs w:val="20"/>
                <w:color w:val="auto"/>
              </w:rPr>
            </w:pPr>
            <w:r>
              <w:rPr>
                <w:rFonts w:ascii="Arial" w:cs="Arial" w:eastAsia="Arial" w:hAnsi="Arial"/>
                <w:sz w:val="14"/>
                <w:szCs w:val="14"/>
                <w:color w:val="auto"/>
              </w:rPr>
              <w:t>Land</w:t>
            </w:r>
          </w:p>
        </w:tc>
        <w:tc>
          <w:tcPr>
            <w:tcW w:w="22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6,936</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6,723</w:t>
            </w:r>
          </w:p>
        </w:tc>
      </w:tr>
      <w:tr>
        <w:trPr>
          <w:trHeight w:val="216"/>
        </w:trPr>
        <w:tc>
          <w:tcPr>
            <w:tcW w:w="5040" w:type="dxa"/>
            <w:vAlign w:val="bottom"/>
          </w:tcPr>
          <w:p>
            <w:pPr>
              <w:ind w:left="20"/>
              <w:spacing w:after="0"/>
              <w:rPr>
                <w:sz w:val="20"/>
                <w:szCs w:val="20"/>
                <w:color w:val="auto"/>
              </w:rPr>
            </w:pPr>
            <w:r>
              <w:rPr>
                <w:rFonts w:ascii="Arial" w:cs="Arial" w:eastAsia="Arial" w:hAnsi="Arial"/>
                <w:sz w:val="14"/>
                <w:szCs w:val="14"/>
                <w:color w:val="auto"/>
              </w:rPr>
              <w:t>Buildings and structures</w:t>
            </w:r>
          </w:p>
        </w:tc>
        <w:tc>
          <w:tcPr>
            <w:tcW w:w="2200" w:type="dxa"/>
            <w:vAlign w:val="bottom"/>
            <w:gridSpan w:val="3"/>
          </w:tcPr>
          <w:p>
            <w:pPr>
              <w:jc w:val="center"/>
              <w:ind w:right="380"/>
              <w:spacing w:after="0"/>
              <w:rPr>
                <w:sz w:val="20"/>
                <w:szCs w:val="20"/>
                <w:color w:val="auto"/>
              </w:rPr>
            </w:pPr>
            <w:r>
              <w:rPr>
                <w:rFonts w:ascii="Arial" w:cs="Arial" w:eastAsia="Arial" w:hAnsi="Arial"/>
                <w:sz w:val="14"/>
                <w:szCs w:val="14"/>
                <w:color w:val="auto"/>
                <w:w w:val="90"/>
              </w:rPr>
              <w:t>10 - 40 years</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231,962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213,657</w:t>
            </w:r>
          </w:p>
        </w:tc>
      </w:tr>
      <w:tr>
        <w:trPr>
          <w:trHeight w:val="216"/>
        </w:trPr>
        <w:tc>
          <w:tcPr>
            <w:tcW w:w="5040" w:type="dxa"/>
            <w:vAlign w:val="bottom"/>
          </w:tcPr>
          <w:p>
            <w:pPr>
              <w:ind w:left="20"/>
              <w:spacing w:after="0"/>
              <w:rPr>
                <w:sz w:val="20"/>
                <w:szCs w:val="20"/>
                <w:color w:val="auto"/>
              </w:rPr>
            </w:pPr>
            <w:r>
              <w:rPr>
                <w:rFonts w:ascii="Arial" w:cs="Arial" w:eastAsia="Arial" w:hAnsi="Arial"/>
                <w:sz w:val="14"/>
                <w:szCs w:val="14"/>
                <w:color w:val="auto"/>
              </w:rPr>
              <w:t>Cable and fiber</w:t>
            </w:r>
          </w:p>
        </w:tc>
        <w:tc>
          <w:tcPr>
            <w:tcW w:w="2200" w:type="dxa"/>
            <w:vAlign w:val="bottom"/>
            <w:gridSpan w:val="3"/>
          </w:tcPr>
          <w:p>
            <w:pPr>
              <w:jc w:val="center"/>
              <w:ind w:right="380"/>
              <w:spacing w:after="0"/>
              <w:rPr>
                <w:sz w:val="20"/>
                <w:szCs w:val="20"/>
                <w:color w:val="auto"/>
              </w:rPr>
            </w:pPr>
            <w:r>
              <w:rPr>
                <w:rFonts w:ascii="Arial" w:cs="Arial" w:eastAsia="Arial" w:hAnsi="Arial"/>
                <w:sz w:val="14"/>
                <w:szCs w:val="14"/>
                <w:color w:val="auto"/>
                <w:w w:val="90"/>
              </w:rPr>
              <w:t>15 - 40 years</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321,963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309,928</w:t>
            </w:r>
          </w:p>
        </w:tc>
      </w:tr>
      <w:tr>
        <w:trPr>
          <w:trHeight w:val="216"/>
        </w:trPr>
        <w:tc>
          <w:tcPr>
            <w:tcW w:w="5040" w:type="dxa"/>
            <w:vAlign w:val="bottom"/>
          </w:tcPr>
          <w:p>
            <w:pPr>
              <w:ind w:left="20"/>
              <w:spacing w:after="0"/>
              <w:rPr>
                <w:sz w:val="20"/>
                <w:szCs w:val="20"/>
                <w:color w:val="auto"/>
              </w:rPr>
            </w:pPr>
            <w:r>
              <w:rPr>
                <w:rFonts w:ascii="Arial" w:cs="Arial" w:eastAsia="Arial" w:hAnsi="Arial"/>
                <w:sz w:val="14"/>
                <w:szCs w:val="14"/>
                <w:color w:val="auto"/>
              </w:rPr>
              <w:t>Equipment and software</w:t>
            </w:r>
          </w:p>
        </w:tc>
        <w:tc>
          <w:tcPr>
            <w:tcW w:w="2200" w:type="dxa"/>
            <w:vAlign w:val="bottom"/>
            <w:gridSpan w:val="3"/>
          </w:tcPr>
          <w:p>
            <w:pPr>
              <w:jc w:val="center"/>
              <w:ind w:right="380"/>
              <w:spacing w:after="0"/>
              <w:rPr>
                <w:sz w:val="20"/>
                <w:szCs w:val="20"/>
                <w:color w:val="auto"/>
              </w:rPr>
            </w:pPr>
            <w:r>
              <w:rPr>
                <w:rFonts w:ascii="Arial" w:cs="Arial" w:eastAsia="Arial" w:hAnsi="Arial"/>
                <w:sz w:val="14"/>
                <w:szCs w:val="14"/>
                <w:color w:val="auto"/>
                <w:w w:val="89"/>
              </w:rPr>
              <w:t>3 - 20 years</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839,624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791,401</w:t>
            </w:r>
          </w:p>
        </w:tc>
      </w:tr>
      <w:tr>
        <w:trPr>
          <w:trHeight w:val="23"/>
        </w:trPr>
        <w:tc>
          <w:tcPr>
            <w:tcW w:w="5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4"/>
        </w:trPr>
        <w:tc>
          <w:tcPr>
            <w:tcW w:w="5040" w:type="dxa"/>
            <w:vAlign w:val="bottom"/>
          </w:tcPr>
          <w:p>
            <w:pPr>
              <w:ind w:left="140"/>
              <w:spacing w:after="0"/>
              <w:rPr>
                <w:sz w:val="20"/>
                <w:szCs w:val="20"/>
                <w:color w:val="auto"/>
              </w:rPr>
            </w:pPr>
            <w:r>
              <w:rPr>
                <w:rFonts w:ascii="Arial" w:cs="Arial" w:eastAsia="Arial" w:hAnsi="Arial"/>
                <w:sz w:val="14"/>
                <w:szCs w:val="14"/>
                <w:color w:val="auto"/>
              </w:rPr>
              <w:t>Plant in service</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1,400,485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1,321,709</w:t>
            </w:r>
          </w:p>
        </w:tc>
      </w:tr>
      <w:tr>
        <w:trPr>
          <w:trHeight w:val="216"/>
        </w:trPr>
        <w:tc>
          <w:tcPr>
            <w:tcW w:w="5040" w:type="dxa"/>
            <w:vAlign w:val="bottom"/>
          </w:tcPr>
          <w:p>
            <w:pPr>
              <w:ind w:left="20"/>
              <w:spacing w:after="0"/>
              <w:rPr>
                <w:sz w:val="20"/>
                <w:szCs w:val="20"/>
                <w:color w:val="auto"/>
              </w:rPr>
            </w:pPr>
            <w:r>
              <w:rPr>
                <w:rFonts w:ascii="Arial" w:cs="Arial" w:eastAsia="Arial" w:hAnsi="Arial"/>
                <w:sz w:val="14"/>
                <w:szCs w:val="14"/>
                <w:color w:val="auto"/>
              </w:rPr>
              <w:t>Plant under construction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70,674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81,409</w:t>
            </w:r>
          </w:p>
        </w:tc>
      </w:tr>
      <w:tr>
        <w:trPr>
          <w:trHeight w:val="23"/>
        </w:trPr>
        <w:tc>
          <w:tcPr>
            <w:tcW w:w="5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4"/>
        </w:trPr>
        <w:tc>
          <w:tcPr>
            <w:tcW w:w="5040" w:type="dxa"/>
            <w:vAlign w:val="bottom"/>
          </w:tcPr>
          <w:p>
            <w:pPr>
              <w:ind w:left="140"/>
              <w:spacing w:after="0"/>
              <w:rPr>
                <w:sz w:val="20"/>
                <w:szCs w:val="20"/>
                <w:color w:val="auto"/>
              </w:rPr>
            </w:pPr>
            <w:r>
              <w:rPr>
                <w:rFonts w:ascii="Arial" w:cs="Arial" w:eastAsia="Arial" w:hAnsi="Arial"/>
                <w:sz w:val="14"/>
                <w:szCs w:val="14"/>
                <w:color w:val="auto"/>
              </w:rPr>
              <w:t>Total property, plant and equipment</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1,471,159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1,403,118</w:t>
            </w:r>
          </w:p>
        </w:tc>
      </w:tr>
      <w:tr>
        <w:trPr>
          <w:trHeight w:val="216"/>
        </w:trPr>
        <w:tc>
          <w:tcPr>
            <w:tcW w:w="5040" w:type="dxa"/>
            <w:vAlign w:val="bottom"/>
          </w:tcPr>
          <w:p>
            <w:pPr>
              <w:ind w:left="20"/>
              <w:spacing w:after="0"/>
              <w:rPr>
                <w:sz w:val="20"/>
                <w:szCs w:val="20"/>
                <w:color w:val="auto"/>
              </w:rPr>
            </w:pPr>
            <w:r>
              <w:rPr>
                <w:rFonts w:ascii="Arial" w:cs="Arial" w:eastAsia="Arial" w:hAnsi="Arial"/>
                <w:sz w:val="14"/>
                <w:szCs w:val="14"/>
                <w:color w:val="auto"/>
              </w:rPr>
              <w:t>Less: accumulated amortization and depreciation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782,643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701,759</w:t>
            </w:r>
          </w:p>
        </w:tc>
      </w:tr>
      <w:tr>
        <w:trPr>
          <w:trHeight w:val="23"/>
        </w:trPr>
        <w:tc>
          <w:tcPr>
            <w:tcW w:w="5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22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688,516</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701,359</w:t>
            </w:r>
          </w:p>
        </w:tc>
      </w:tr>
      <w:tr>
        <w:trPr>
          <w:trHeight w:val="20"/>
        </w:trPr>
        <w:tc>
          <w:tcPr>
            <w:tcW w:w="5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480"/>
        <w:spacing w:after="0" w:line="288" w:lineRule="auto"/>
        <w:rPr>
          <w:sz w:val="20"/>
          <w:szCs w:val="20"/>
          <w:color w:val="auto"/>
        </w:rPr>
      </w:pPr>
      <w:r>
        <w:rPr>
          <w:rFonts w:ascii="Arial" w:cs="Arial" w:eastAsia="Arial" w:hAnsi="Arial"/>
          <w:sz w:val="14"/>
          <w:szCs w:val="14"/>
          <w:color w:val="auto"/>
        </w:rPr>
        <w:t>The Company prospectively changed the estimated useful life of certain tower, antenna, and fiber assets during 2019 based on the Company's experience as well as observable examples in the industry. Depreciation expense was approximately $0.8 million lower as a result for the three and nine months ended September 30, 2019.</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119"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4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550"/>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Note 9. Goodwill and Other Intangible Assets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45"/>
        </w:trPr>
        <w:tc>
          <w:tcPr>
            <w:tcW w:w="3460" w:type="dxa"/>
            <w:vAlign w:val="bottom"/>
            <w:gridSpan w:val="2"/>
          </w:tcPr>
          <w:p>
            <w:pPr>
              <w:spacing w:after="0"/>
              <w:rPr>
                <w:sz w:val="20"/>
                <w:szCs w:val="20"/>
                <w:color w:val="auto"/>
              </w:rPr>
            </w:pPr>
            <w:r>
              <w:rPr>
                <w:rFonts w:ascii="Arial" w:cs="Arial" w:eastAsia="Arial" w:hAnsi="Arial"/>
                <w:sz w:val="14"/>
                <w:szCs w:val="14"/>
                <w:color w:val="auto"/>
              </w:rPr>
              <w:t>Goodwill by segment consisted of the following:</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8"/>
        </w:trPr>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34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3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December 31, 2018</w:t>
            </w:r>
          </w:p>
        </w:tc>
      </w:tr>
      <w:tr>
        <w:trPr>
          <w:trHeight w:val="23"/>
        </w:trPr>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4"/>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Wireless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146,383</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146,383</w:t>
            </w:r>
          </w:p>
        </w:tc>
      </w:tr>
      <w:tr>
        <w:trPr>
          <w:trHeight w:val="216"/>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Cable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16"/>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Wireline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3"/>
        </w:trPr>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Total Goodwill</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149,070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146,497</w:t>
            </w:r>
          </w:p>
        </w:tc>
      </w:tr>
      <w:tr>
        <w:trPr>
          <w:trHeight w:val="20"/>
        </w:trPr>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40" w:type="dxa"/>
            <w:vAlign w:val="bottom"/>
          </w:tcPr>
          <w:p>
            <w:pPr>
              <w:spacing w:after="0"/>
              <w:rPr>
                <w:sz w:val="20"/>
                <w:szCs w:val="20"/>
                <w:color w:val="auto"/>
              </w:rPr>
            </w:pPr>
            <w:r>
              <w:rPr>
                <w:rFonts w:ascii="Arial" w:cs="Arial" w:eastAsia="Arial" w:hAnsi="Arial"/>
                <w:sz w:val="14"/>
                <w:szCs w:val="14"/>
                <w:color w:val="auto"/>
              </w:rPr>
              <w:t>Intangible assets consisted of the following:</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 2019</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3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jc w:val="center"/>
              <w:ind w:right="360"/>
              <w:spacing w:after="0" w:line="114" w:lineRule="exact"/>
              <w:rPr>
                <w:sz w:val="20"/>
                <w:szCs w:val="20"/>
                <w:color w:val="auto"/>
              </w:rPr>
            </w:pPr>
            <w:r>
              <w:rPr>
                <w:rFonts w:ascii="Arial" w:cs="Arial" w:eastAsia="Arial" w:hAnsi="Arial"/>
                <w:sz w:val="11"/>
                <w:szCs w:val="11"/>
                <w:b w:val="1"/>
                <w:bCs w:val="1"/>
                <w:color w:val="auto"/>
                <w:w w:val="94"/>
              </w:rPr>
              <w:t>Gross</w:t>
            </w:r>
          </w:p>
        </w:tc>
        <w:tc>
          <w:tcPr>
            <w:tcW w:w="200" w:type="dxa"/>
            <w:vAlign w:val="bottom"/>
          </w:tcPr>
          <w:p>
            <w:pPr>
              <w:spacing w:after="0"/>
              <w:rPr>
                <w:sz w:val="9"/>
                <w:szCs w:val="9"/>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2"/>
              </w:rPr>
              <w:t>Accumulated</w:t>
            </w: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tcPr>
          <w:p>
            <w:pPr>
              <w:jc w:val="center"/>
              <w:ind w:right="360"/>
              <w:spacing w:after="0" w:line="114" w:lineRule="exact"/>
              <w:rPr>
                <w:sz w:val="20"/>
                <w:szCs w:val="20"/>
                <w:color w:val="auto"/>
              </w:rPr>
            </w:pPr>
            <w:r>
              <w:rPr>
                <w:rFonts w:ascii="Arial" w:cs="Arial" w:eastAsia="Arial" w:hAnsi="Arial"/>
                <w:sz w:val="11"/>
                <w:szCs w:val="11"/>
                <w:b w:val="1"/>
                <w:bCs w:val="1"/>
                <w:color w:val="auto"/>
                <w:w w:val="87"/>
              </w:rPr>
              <w:t>Gross</w:t>
            </w:r>
          </w:p>
        </w:tc>
        <w:tc>
          <w:tcPr>
            <w:tcW w:w="180" w:type="dxa"/>
            <w:vAlign w:val="bottom"/>
          </w:tcPr>
          <w:p>
            <w:pPr>
              <w:spacing w:after="0"/>
              <w:rPr>
                <w:sz w:val="9"/>
                <w:szCs w:val="9"/>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5"/>
              </w:rPr>
              <w:t>Accumulated</w:t>
            </w: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0"/>
                <w:szCs w:val="10"/>
                <w:color w:val="auto"/>
              </w:rPr>
            </w:pPr>
          </w:p>
        </w:tc>
        <w:tc>
          <w:tcPr>
            <w:tcW w:w="1140" w:type="dxa"/>
            <w:vAlign w:val="bottom"/>
            <w:gridSpan w:val="2"/>
          </w:tcPr>
          <w:p>
            <w:pPr>
              <w:jc w:val="center"/>
              <w:ind w:right="360"/>
              <w:spacing w:after="0" w:line="119" w:lineRule="exact"/>
              <w:rPr>
                <w:sz w:val="20"/>
                <w:szCs w:val="20"/>
                <w:color w:val="auto"/>
              </w:rPr>
            </w:pPr>
            <w:r>
              <w:rPr>
                <w:rFonts w:ascii="Arial" w:cs="Arial" w:eastAsia="Arial" w:hAnsi="Arial"/>
                <w:sz w:val="11"/>
                <w:szCs w:val="11"/>
                <w:b w:val="1"/>
                <w:bCs w:val="1"/>
                <w:color w:val="auto"/>
              </w:rPr>
              <w:t>Carrying</w:t>
            </w: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Net</w:t>
            </w:r>
          </w:p>
        </w:tc>
        <w:tc>
          <w:tcPr>
            <w:tcW w:w="260" w:type="dxa"/>
            <w:vAlign w:val="bottom"/>
          </w:tcPr>
          <w:p>
            <w:pPr>
              <w:spacing w:after="0"/>
              <w:rPr>
                <w:sz w:val="10"/>
                <w:szCs w:val="10"/>
                <w:color w:val="auto"/>
              </w:rPr>
            </w:pPr>
          </w:p>
        </w:tc>
        <w:tc>
          <w:tcPr>
            <w:tcW w:w="1120" w:type="dxa"/>
            <w:vAlign w:val="bottom"/>
            <w:gridSpan w:val="2"/>
          </w:tcPr>
          <w:p>
            <w:pPr>
              <w:jc w:val="center"/>
              <w:ind w:right="360"/>
              <w:spacing w:after="0" w:line="119" w:lineRule="exact"/>
              <w:rPr>
                <w:sz w:val="20"/>
                <w:szCs w:val="20"/>
                <w:color w:val="auto"/>
              </w:rPr>
            </w:pPr>
            <w:r>
              <w:rPr>
                <w:rFonts w:ascii="Arial" w:cs="Arial" w:eastAsia="Arial" w:hAnsi="Arial"/>
                <w:sz w:val="11"/>
                <w:szCs w:val="11"/>
                <w:b w:val="1"/>
                <w:bCs w:val="1"/>
                <w:color w:val="auto"/>
                <w:w w:val="97"/>
              </w:rPr>
              <w:t>Carrying</w:t>
            </w: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vMerge w:val="restart"/>
          </w:tcPr>
          <w:p>
            <w:pPr>
              <w:jc w:val="right"/>
              <w:ind w:right="469"/>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48"/>
        </w:trPr>
        <w:tc>
          <w:tcPr>
            <w:tcW w:w="3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Amount</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Amortization and Other</w:t>
            </w: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Amount</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Amortization and Other</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340" w:type="dxa"/>
            <w:vAlign w:val="bottom"/>
          </w:tcPr>
          <w:p>
            <w:pPr>
              <w:ind w:left="20"/>
              <w:spacing w:after="0"/>
              <w:rPr>
                <w:sz w:val="20"/>
                <w:szCs w:val="20"/>
                <w:color w:val="auto"/>
              </w:rPr>
            </w:pPr>
            <w:r>
              <w:rPr>
                <w:rFonts w:ascii="Arial" w:cs="Arial" w:eastAsia="Arial" w:hAnsi="Arial"/>
                <w:sz w:val="14"/>
                <w:szCs w:val="14"/>
                <w:color w:val="auto"/>
              </w:rPr>
              <w:t>Non-amortizing intangibles:</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Cable franchise rights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64,334</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64,334</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64,334</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64,334</w:t>
            </w: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FCC spectrum licenses</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13,839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13,839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Railroad crossing rights</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3"/>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340" w:type="dxa"/>
            <w:vAlign w:val="bottom"/>
          </w:tcPr>
          <w:p>
            <w:pPr>
              <w:ind w:left="220"/>
              <w:spacing w:after="0"/>
              <w:rPr>
                <w:sz w:val="20"/>
                <w:szCs w:val="20"/>
                <w:color w:val="auto"/>
              </w:rPr>
            </w:pPr>
            <w:r>
              <w:rPr>
                <w:rFonts w:ascii="Arial" w:cs="Arial" w:eastAsia="Arial" w:hAnsi="Arial"/>
                <w:sz w:val="14"/>
                <w:szCs w:val="14"/>
                <w:color w:val="auto"/>
              </w:rPr>
              <w:t>Total non-amortizing intangibles</w:t>
            </w:r>
          </w:p>
        </w:tc>
        <w:tc>
          <w:tcPr>
            <w:tcW w:w="24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78,314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78,314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64,475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64,475</w:t>
            </w:r>
          </w:p>
        </w:tc>
        <w:tc>
          <w:tcPr>
            <w:tcW w:w="0" w:type="dxa"/>
            <w:vAlign w:val="bottom"/>
          </w:tcPr>
          <w:p>
            <w:pPr>
              <w:spacing w:after="0"/>
              <w:rPr>
                <w:sz w:val="1"/>
                <w:szCs w:val="1"/>
                <w:color w:val="auto"/>
              </w:rPr>
            </w:pPr>
          </w:p>
        </w:tc>
      </w:tr>
      <w:tr>
        <w:trPr>
          <w:trHeight w:val="23"/>
        </w:trPr>
        <w:tc>
          <w:tcPr>
            <w:tcW w:w="3340" w:type="dxa"/>
            <w:vAlign w:val="bottom"/>
            <w:vMerge w:val="restart"/>
          </w:tcPr>
          <w:p>
            <w:pPr>
              <w:ind w:left="20"/>
              <w:spacing w:after="0"/>
              <w:rPr>
                <w:sz w:val="20"/>
                <w:szCs w:val="20"/>
                <w:color w:val="auto"/>
              </w:rPr>
            </w:pPr>
            <w:r>
              <w:rPr>
                <w:rFonts w:ascii="Arial" w:cs="Arial" w:eastAsia="Arial" w:hAnsi="Arial"/>
                <w:sz w:val="14"/>
                <w:szCs w:val="14"/>
                <w:color w:val="auto"/>
              </w:rPr>
              <w:t>Finite-lived intangibles:</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3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Sprint affiliate contract expansion - Wireless</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455,305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(212,194)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243,111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455,305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(167,830)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287,475</w:t>
            </w: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FCC spectrum licenses</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4,659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4,620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Favorable leases - Wireless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15,743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Acquired subscribers - Cable</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28,065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(25,499)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2,566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25,265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(25,250)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Other intangibles</w:t>
            </w: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3"/>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340" w:type="dxa"/>
            <w:vAlign w:val="bottom"/>
          </w:tcPr>
          <w:p>
            <w:pPr>
              <w:ind w:left="220"/>
              <w:spacing w:after="0"/>
              <w:rPr>
                <w:sz w:val="20"/>
                <w:szCs w:val="20"/>
                <w:color w:val="auto"/>
              </w:rPr>
            </w:pPr>
            <w:r>
              <w:rPr>
                <w:rFonts w:ascii="Arial" w:cs="Arial" w:eastAsia="Arial" w:hAnsi="Arial"/>
                <w:sz w:val="14"/>
                <w:szCs w:val="14"/>
                <w:color w:val="auto"/>
              </w:rPr>
              <w:t>Total finite-lived intangibles</w:t>
            </w:r>
          </w:p>
        </w:tc>
        <w:tc>
          <w:tcPr>
            <w:tcW w:w="24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488,492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(237,975)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250,517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496,776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(195,222)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301,554</w:t>
            </w:r>
          </w:p>
        </w:tc>
        <w:tc>
          <w:tcPr>
            <w:tcW w:w="0" w:type="dxa"/>
            <w:vAlign w:val="bottom"/>
          </w:tcPr>
          <w:p>
            <w:pPr>
              <w:spacing w:after="0"/>
              <w:rPr>
                <w:sz w:val="1"/>
                <w:szCs w:val="1"/>
                <w:color w:val="auto"/>
              </w:rPr>
            </w:pPr>
          </w:p>
        </w:tc>
      </w:tr>
      <w:tr>
        <w:trPr>
          <w:trHeight w:val="23"/>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340" w:type="dxa"/>
            <w:vAlign w:val="bottom"/>
          </w:tcPr>
          <w:p>
            <w:pPr>
              <w:ind w:left="300"/>
              <w:spacing w:after="0"/>
              <w:rPr>
                <w:sz w:val="20"/>
                <w:szCs w:val="20"/>
                <w:color w:val="auto"/>
              </w:rPr>
            </w:pPr>
            <w:r>
              <w:rPr>
                <w:rFonts w:ascii="Arial" w:cs="Arial" w:eastAsia="Arial" w:hAnsi="Arial"/>
                <w:sz w:val="14"/>
                <w:szCs w:val="14"/>
                <w:color w:val="auto"/>
              </w:rPr>
              <w:t>Total intangible 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566,806</w:t>
            </w:r>
          </w:p>
        </w:tc>
        <w:tc>
          <w:tcPr>
            <w:tcW w:w="12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(237,975)</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328,831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561,251</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(195,222)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366,029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Affiliate contract expansion is amortized over the expected benefit period and is further reduced by the amount of waived management fees received from Sprint which were $9.7 million and $29.0 million for the three and nine months ended September 30, 2019, respectively. Since May 6, 2016, the date of the non-monetary exchange, waived management fees received from Sprint have totaled $127.4 million, and the Company expects to collect another $128.2 million, up to $4.2 million per month, through 2022.</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FCC Spectrum Licenses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During the third quarter of 2019, the Company purchased certain indefinite-lived spectrum licenses for $13.8 million. Spectrum licenses are issued by the Federal Communications Commission (“FCC”) which provide us the exclusive right to utilize designated radio frequency spectrum within specific geographic service areas to provide wireless communication services. While some spectrum licenses are issued for a fixed time (generally up to fifteen years), renewals have been granted routinely and at nominal costs. The Company believes it will be able to meet all requirements necessary to secure renewal of its spectrum licenses. Moreover, the Company has determined that there are currently no legal, regulatory, contractual, competitive, economic or other factors that limit the useful lives of our spectrum licenses and as a result, we account for spectrum licenses as indefinite-lived intangible assets. During the third quarter of 2019, the Company also acquired certain definite-lived spectrum licenses for $4.7 million. These licenses are being amortized over their remaining contractual lives of approximately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119" w:right="21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Derivatives and Hedging</w:t>
      </w:r>
    </w:p>
    <w:p>
      <w:pPr>
        <w:spacing w:after="0" w:line="188" w:lineRule="exact"/>
        <w:rPr>
          <w:sz w:val="20"/>
          <w:szCs w:val="20"/>
          <w:color w:val="auto"/>
        </w:rPr>
      </w:pPr>
    </w:p>
    <w:p>
      <w:pPr>
        <w:ind w:right="160"/>
        <w:spacing w:after="0" w:line="272" w:lineRule="auto"/>
        <w:rPr>
          <w:sz w:val="20"/>
          <w:szCs w:val="20"/>
          <w:color w:val="auto"/>
        </w:rPr>
      </w:pPr>
      <w:r>
        <w:rPr>
          <w:rFonts w:ascii="Arial" w:cs="Arial" w:eastAsia="Arial" w:hAnsi="Arial"/>
          <w:sz w:val="14"/>
          <w:szCs w:val="14"/>
          <w:color w:val="auto"/>
        </w:rPr>
        <w:t>The Company uses derivative financial instruments to manage its exposure to interest rate risk for its long-term variable-rate debt through interest rate swaps. The Company's interest rate swaps are all designated as cash flow hedges, and involve the receipt of variable-rate amounts from counterparties in exchange for the Company making fixed-rate payments over the life of the agreements without exchange of the underlying notional amount.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outstanding notional amounts of these swaps was $292.6 million and $384.0 million as of September 30, 2019 and December 31, 2018, respectively.</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table below presents the fair value of the Company’s derivative financial instruments as well as their classification in the condensed consolidated balance sheets. The fair value of these instruments was estimated using an income approach and observable market inputs (Level II):</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700"/>
              <w:spacing w:after="0"/>
              <w:rPr>
                <w:sz w:val="20"/>
                <w:szCs w:val="20"/>
                <w:color w:val="auto"/>
              </w:rPr>
            </w:pPr>
            <w:r>
              <w:rPr>
                <w:rFonts w:ascii="Arial" w:cs="Arial" w:eastAsia="Arial" w:hAnsi="Arial"/>
                <w:sz w:val="14"/>
                <w:szCs w:val="14"/>
                <w:b w:val="1"/>
                <w:bCs w:val="1"/>
                <w:color w:val="auto"/>
                <w:w w:val="96"/>
              </w:rPr>
              <w:t>September 30,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6"/>
        </w:trPr>
        <w:tc>
          <w:tcPr>
            <w:tcW w:w="5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8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Arial" w:cs="Arial" w:eastAsia="Arial" w:hAnsi="Arial"/>
                <w:sz w:val="14"/>
                <w:szCs w:val="14"/>
                <w:color w:val="auto"/>
              </w:rPr>
              <w:t>Balance sheet location of derivative financial instruments:</w:t>
            </w: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4"/>
                <w:szCs w:val="14"/>
                <w:color w:val="auto"/>
              </w:rPr>
              <w:t>Prepaid expenses and other</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1,483</w:t>
            </w:r>
          </w:p>
        </w:tc>
        <w:tc>
          <w:tcPr>
            <w:tcW w:w="80" w:type="dxa"/>
            <w:vAlign w:val="bottom"/>
          </w:tcPr>
          <w:p>
            <w:pPr>
              <w:spacing w:after="0"/>
              <w:rPr>
                <w:sz w:val="18"/>
                <w:szCs w:val="18"/>
                <w:color w:val="auto"/>
              </w:rPr>
            </w:pPr>
          </w:p>
        </w:tc>
        <w:tc>
          <w:tcPr>
            <w:tcW w:w="4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4,930</w:t>
            </w: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4"/>
                <w:szCs w:val="14"/>
                <w:color w:val="auto"/>
              </w:rPr>
              <w:t>Deferred charges and other assets, net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8,323</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120" w:type="dxa"/>
            <w:vAlign w:val="bottom"/>
          </w:tcPr>
          <w:p>
            <w:pPr>
              <w:ind w:left="220"/>
              <w:spacing w:after="0"/>
              <w:rPr>
                <w:sz w:val="20"/>
                <w:szCs w:val="20"/>
                <w:color w:val="auto"/>
              </w:rPr>
            </w:pPr>
            <w:r>
              <w:rPr>
                <w:rFonts w:ascii="Arial" w:cs="Arial" w:eastAsia="Arial" w:hAnsi="Arial"/>
                <w:sz w:val="14"/>
                <w:szCs w:val="14"/>
                <w:color w:val="auto"/>
              </w:rPr>
              <w:t>Total derivatives designated as hedging instruments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7"/>
                <w:szCs w:val="17"/>
                <w:color w:val="auto"/>
              </w:rPr>
            </w:pPr>
          </w:p>
        </w:tc>
        <w:tc>
          <w:tcPr>
            <w:tcW w:w="4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13,253</w:t>
            </w:r>
          </w:p>
        </w:tc>
        <w:tc>
          <w:tcPr>
            <w:tcW w:w="0" w:type="dxa"/>
            <w:vAlign w:val="bottom"/>
          </w:tcPr>
          <w:p>
            <w:pPr>
              <w:spacing w:after="0"/>
              <w:rPr>
                <w:sz w:val="1"/>
                <w:szCs w:val="1"/>
                <w:color w:val="auto"/>
              </w:rPr>
            </w:pPr>
          </w:p>
        </w:tc>
      </w:tr>
      <w:tr>
        <w:trPr>
          <w:trHeight w:val="20"/>
        </w:trPr>
        <w:tc>
          <w:tcPr>
            <w:tcW w:w="6640" w:type="dxa"/>
            <w:vAlign w:val="bottom"/>
            <w:gridSpan w:val="4"/>
            <w:vMerge w:val="restart"/>
          </w:tcPr>
          <w:p>
            <w:pPr>
              <w:spacing w:after="0"/>
              <w:rPr>
                <w:sz w:val="20"/>
                <w:szCs w:val="20"/>
                <w:color w:val="auto"/>
              </w:rPr>
            </w:pPr>
            <w:r>
              <w:rPr>
                <w:rFonts w:ascii="Arial" w:cs="Arial" w:eastAsia="Arial" w:hAnsi="Arial"/>
                <w:sz w:val="14"/>
                <w:szCs w:val="14"/>
                <w:color w:val="auto"/>
              </w:rPr>
              <w:t>The table below summarizes changes in accumulated other comprehensive income (loss) by component:</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64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12"/>
          </w:tcPr>
          <w:p>
            <w:pPr>
              <w:jc w:val="center"/>
              <w:ind w:right="388"/>
              <w:spacing w:after="0"/>
              <w:rPr>
                <w:sz w:val="20"/>
                <w:szCs w:val="20"/>
                <w:color w:val="auto"/>
              </w:rPr>
            </w:pPr>
            <w:r>
              <w:rPr>
                <w:rFonts w:ascii="Arial" w:cs="Arial" w:eastAsia="Arial" w:hAnsi="Arial"/>
                <w:sz w:val="14"/>
                <w:szCs w:val="14"/>
                <w:b w:val="1"/>
                <w:bCs w:val="1"/>
                <w:color w:val="auto"/>
                <w:w w:val="92"/>
              </w:rPr>
              <w:t>Nine Months Ended September 30, 2019</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72"/>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0"/>
              </w:rPr>
              <w:t>Accumulated Gains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48"/>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2"/>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b w:val="1"/>
                <w:bCs w:val="1"/>
                <w:color w:val="auto"/>
              </w:rPr>
              <w:t>(Losses) 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Income Tax</w:t>
            </w:r>
          </w:p>
        </w:tc>
        <w:tc>
          <w:tcPr>
            <w:tcW w:w="120" w:type="dxa"/>
            <w:vAlign w:val="bottom"/>
          </w:tcPr>
          <w:p>
            <w:pPr>
              <w:spacing w:after="0"/>
              <w:rPr>
                <w:sz w:val="14"/>
                <w:szCs w:val="14"/>
                <w:color w:val="auto"/>
              </w:rPr>
            </w:pPr>
          </w:p>
        </w:tc>
        <w:tc>
          <w:tcPr>
            <w:tcW w:w="146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2"/>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Cash Flow</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2"/>
              </w:rPr>
              <w:t>(Expense)</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Income (Loss), net of</w:t>
            </w:r>
          </w:p>
        </w:tc>
        <w:tc>
          <w:tcPr>
            <w:tcW w:w="0" w:type="dxa"/>
            <w:vAlign w:val="bottom"/>
          </w:tcPr>
          <w:p>
            <w:pPr>
              <w:spacing w:after="0"/>
              <w:rPr>
                <w:sz w:val="1"/>
                <w:szCs w:val="1"/>
                <w:color w:val="auto"/>
              </w:rPr>
            </w:pPr>
          </w:p>
        </w:tc>
      </w:tr>
      <w:tr>
        <w:trPr>
          <w:trHeight w:val="186"/>
        </w:trPr>
        <w:tc>
          <w:tcPr>
            <w:tcW w:w="5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Hedges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2"/>
              </w:rPr>
              <w:t>Benefit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48"/>
              <w:spacing w:after="0"/>
              <w:rPr>
                <w:sz w:val="20"/>
                <w:szCs w:val="20"/>
                <w:color w:val="auto"/>
              </w:rPr>
            </w:pPr>
            <w:r>
              <w:rPr>
                <w:rFonts w:ascii="Arial" w:cs="Arial" w:eastAsia="Arial" w:hAnsi="Arial"/>
                <w:sz w:val="14"/>
                <w:szCs w:val="14"/>
                <w:b w:val="1"/>
                <w:bCs w:val="1"/>
                <w:color w:val="auto"/>
                <w:w w:val="83"/>
              </w:rPr>
              <w:t>taxes</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120" w:type="dxa"/>
            <w:vAlign w:val="bottom"/>
          </w:tcPr>
          <w:p>
            <w:pPr>
              <w:ind w:left="20"/>
              <w:spacing w:after="0"/>
              <w:rPr>
                <w:sz w:val="20"/>
                <w:szCs w:val="20"/>
                <w:color w:val="auto"/>
              </w:rPr>
            </w:pPr>
            <w:r>
              <w:rPr>
                <w:rFonts w:ascii="Arial" w:cs="Arial" w:eastAsia="Arial" w:hAnsi="Arial"/>
                <w:sz w:val="14"/>
                <w:szCs w:val="14"/>
                <w:color w:val="auto"/>
              </w:rPr>
              <w:t>Balance as of December 31, 2018</w:t>
            </w:r>
          </w:p>
        </w:tc>
        <w:tc>
          <w:tcPr>
            <w:tcW w:w="220" w:type="dxa"/>
            <w:vAlign w:val="bottom"/>
          </w:tcPr>
          <w:p>
            <w:pPr>
              <w:spacing w:after="0"/>
              <w:rPr>
                <w:sz w:val="15"/>
                <w:szCs w:val="15"/>
                <w:color w:val="auto"/>
              </w:rPr>
            </w:pPr>
          </w:p>
        </w:tc>
        <w:tc>
          <w:tcPr>
            <w:tcW w:w="1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13,253</w:t>
            </w:r>
          </w:p>
        </w:tc>
        <w:tc>
          <w:tcPr>
            <w:tcW w:w="4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(4,973)</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8,280</w:t>
            </w: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4"/>
                <w:szCs w:val="14"/>
                <w:color w:val="auto"/>
              </w:rPr>
              <w:t>Unrealized gain (loss)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(7,741)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1,929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(5,812)</w:t>
            </w:r>
          </w:p>
        </w:tc>
        <w:tc>
          <w:tcPr>
            <w:tcW w:w="0" w:type="dxa"/>
            <w:vAlign w:val="bottom"/>
          </w:tcPr>
          <w:p>
            <w:pPr>
              <w:spacing w:after="0"/>
              <w:rPr>
                <w:sz w:val="1"/>
                <w:szCs w:val="1"/>
                <w:color w:val="auto"/>
              </w:rPr>
            </w:pPr>
          </w:p>
        </w:tc>
      </w:tr>
      <w:tr>
        <w:trPr>
          <w:trHeight w:val="216"/>
        </w:trPr>
        <w:tc>
          <w:tcPr>
            <w:tcW w:w="5340" w:type="dxa"/>
            <w:vAlign w:val="bottom"/>
            <w:gridSpan w:val="2"/>
          </w:tcPr>
          <w:p>
            <w:pPr>
              <w:ind w:left="140"/>
              <w:spacing w:after="0"/>
              <w:rPr>
                <w:sz w:val="20"/>
                <w:szCs w:val="20"/>
                <w:color w:val="auto"/>
              </w:rPr>
            </w:pPr>
            <w:r>
              <w:rPr>
                <w:rFonts w:ascii="Arial" w:cs="Arial" w:eastAsia="Arial" w:hAnsi="Arial"/>
                <w:sz w:val="14"/>
                <w:szCs w:val="14"/>
                <w:color w:val="auto"/>
                <w:w w:val="94"/>
              </w:rPr>
              <w:t>Amounts reclassified from accumulated other comprehensive income to interest expense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(3,493)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871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(2,622)</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120" w:type="dxa"/>
            <w:vAlign w:val="bottom"/>
          </w:tcPr>
          <w:p>
            <w:pPr>
              <w:ind w:left="140"/>
              <w:spacing w:after="0"/>
              <w:rPr>
                <w:sz w:val="20"/>
                <w:szCs w:val="20"/>
                <w:color w:val="auto"/>
              </w:rPr>
            </w:pPr>
            <w:r>
              <w:rPr>
                <w:rFonts w:ascii="Arial" w:cs="Arial" w:eastAsia="Arial" w:hAnsi="Arial"/>
                <w:sz w:val="14"/>
                <w:szCs w:val="14"/>
                <w:color w:val="auto"/>
              </w:rPr>
              <w:t>Net current period other comprehensive income (loss)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(11,234)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2,800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(8,434)</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120" w:type="dxa"/>
            <w:vAlign w:val="bottom"/>
          </w:tcPr>
          <w:p>
            <w:pPr>
              <w:ind w:left="20"/>
              <w:spacing w:after="0"/>
              <w:rPr>
                <w:sz w:val="20"/>
                <w:szCs w:val="20"/>
                <w:color w:val="auto"/>
              </w:rPr>
            </w:pPr>
            <w:r>
              <w:rPr>
                <w:rFonts w:ascii="Arial" w:cs="Arial" w:eastAsia="Arial" w:hAnsi="Arial"/>
                <w:sz w:val="14"/>
                <w:szCs w:val="14"/>
                <w:color w:val="auto"/>
              </w:rPr>
              <w:t>Balance as of September 30, 2019</w:t>
            </w:r>
          </w:p>
        </w:tc>
        <w:tc>
          <w:tcPr>
            <w:tcW w:w="220" w:type="dxa"/>
            <w:vAlign w:val="bottom"/>
          </w:tcPr>
          <w:p>
            <w:pPr>
              <w:spacing w:after="0"/>
              <w:rPr>
                <w:sz w:val="17"/>
                <w:szCs w:val="17"/>
                <w:color w:val="auto"/>
              </w:rPr>
            </w:pPr>
          </w:p>
        </w:tc>
        <w:tc>
          <w:tcPr>
            <w:tcW w:w="1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2,019</w:t>
            </w:r>
          </w:p>
        </w:tc>
        <w:tc>
          <w:tcPr>
            <w:tcW w:w="4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(2,173)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Note 11. Other Assets and Accrued Liabilities</w:t>
            </w: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120" w:type="dxa"/>
            <w:vAlign w:val="bottom"/>
          </w:tcPr>
          <w:p>
            <w:pPr>
              <w:spacing w:after="0"/>
              <w:rPr>
                <w:sz w:val="20"/>
                <w:szCs w:val="20"/>
                <w:color w:val="auto"/>
              </w:rPr>
            </w:pPr>
            <w:r>
              <w:rPr>
                <w:rFonts w:ascii="Arial" w:cs="Arial" w:eastAsia="Arial" w:hAnsi="Arial"/>
                <w:sz w:val="14"/>
                <w:szCs w:val="14"/>
                <w:color w:val="auto"/>
              </w:rPr>
              <w:t>Prepaid expenses and other, classified as current assets, included the following:</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0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2018</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120" w:type="dxa"/>
            <w:vAlign w:val="bottom"/>
          </w:tcPr>
          <w:p>
            <w:pPr>
              <w:ind w:left="20"/>
              <w:spacing w:after="0"/>
              <w:rPr>
                <w:sz w:val="20"/>
                <w:szCs w:val="20"/>
                <w:color w:val="auto"/>
              </w:rPr>
            </w:pPr>
            <w:r>
              <w:rPr>
                <w:rFonts w:ascii="Arial" w:cs="Arial" w:eastAsia="Arial" w:hAnsi="Arial"/>
                <w:sz w:val="14"/>
                <w:szCs w:val="14"/>
                <w:color w:val="auto"/>
              </w:rPr>
              <w:t>Prepaid rent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4"/>
                <w:szCs w:val="14"/>
                <w:color w:val="auto"/>
                <w:w w:val="88"/>
              </w:rPr>
              <w:t>11,245</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4"/>
                <w:szCs w:val="14"/>
                <w:color w:val="auto"/>
              </w:rPr>
              <w:t>Prepaid maintenance expenses</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3,788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4"/>
                <w:szCs w:val="14"/>
                <w:color w:val="auto"/>
              </w:rPr>
              <w:t>3,981</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4"/>
                <w:szCs w:val="14"/>
                <w:color w:val="auto"/>
              </w:rPr>
              <w:t>Interest rate swaps</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1,483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4"/>
                <w:szCs w:val="14"/>
                <w:color w:val="auto"/>
              </w:rPr>
              <w:t>4,930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4"/>
                <w:szCs w:val="14"/>
                <w:color w:val="auto"/>
              </w:rPr>
              <w:t>Wireless contract asset</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41,878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33,323</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4"/>
                <w:szCs w:val="14"/>
                <w:color w:val="auto"/>
              </w:rPr>
              <w:t>Contract acquisition and fulfillment costs</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4,861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4"/>
                <w:szCs w:val="14"/>
                <w:color w:val="auto"/>
              </w:rPr>
              <w:t>4,634</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4,587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4"/>
                <w:szCs w:val="14"/>
                <w:color w:val="auto"/>
              </w:rPr>
              <w:t>2,049</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120" w:type="dxa"/>
            <w:vAlign w:val="bottom"/>
          </w:tcPr>
          <w:p>
            <w:pPr>
              <w:ind w:left="140"/>
              <w:spacing w:after="0"/>
              <w:rPr>
                <w:sz w:val="20"/>
                <w:szCs w:val="20"/>
                <w:color w:val="auto"/>
              </w:rPr>
            </w:pPr>
            <w:r>
              <w:rPr>
                <w:rFonts w:ascii="Arial" w:cs="Arial" w:eastAsia="Arial" w:hAnsi="Arial"/>
                <w:sz w:val="14"/>
                <w:szCs w:val="14"/>
                <w:color w:val="auto"/>
              </w:rPr>
              <w:t>Prepaid expenses and other</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56,597</w:t>
            </w:r>
          </w:p>
        </w:tc>
        <w:tc>
          <w:tcPr>
            <w:tcW w:w="2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60,162</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129"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51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5120" w:type="dxa"/>
            <w:vAlign w:val="bottom"/>
            <w:gridSpan w:val="2"/>
          </w:tcPr>
          <w:p>
            <w:pPr>
              <w:spacing w:after="0"/>
              <w:rPr>
                <w:sz w:val="20"/>
                <w:szCs w:val="20"/>
                <w:color w:val="auto"/>
              </w:rPr>
            </w:pPr>
            <w:r>
              <w:rPr>
                <w:rFonts w:ascii="Arial" w:cs="Arial" w:eastAsia="Arial" w:hAnsi="Arial"/>
                <w:sz w:val="14"/>
                <w:szCs w:val="14"/>
                <w:color w:val="auto"/>
                <w:w w:val="92"/>
              </w:rPr>
              <w:t>Deferred charges and other assets, classified as long-term assets, included the following:</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36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48"/>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8,323</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Wireless contract asset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37,742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32,351</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Contract acquisition and fulfillment costs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5,457</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3,760</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Deferred charges and other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50,469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49,891</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4"/>
                <w:szCs w:val="14"/>
                <w:color w:val="auto"/>
              </w:rPr>
              <w:t>Accrued liabilities and other, classified as current liabilities, included the following:</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36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48"/>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Sales and property taxes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4,409</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4,281</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Asset retirement obligations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Accrued programming costs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2,886</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Financing leases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FCC spectrum licenses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Other current liabilities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6,814</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Accrued liabilities and other</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14,731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14,563</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4"/>
                <w:szCs w:val="14"/>
                <w:color w:val="auto"/>
              </w:rPr>
              <w:t>Other liabilities, classified as long-term liabilities, included the following:</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36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48"/>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Noncurrent portion of deferred lease revenue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12,613</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12,593</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FCC spectrum licenses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Noncurrent portion of financing leases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14,364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Topic 842 requires the Company to include fixed payments for maintenance activities in its measurement of lease liabilities since the Company elected not to separate lease and non-lease components. Liabilities for the Company's financing leases were established with the adoption of Topic 842, as of January 1, 2019, to reflect the present value of fixed payments for maintenance activities. Refer to Note 2, </w:t>
      </w:r>
      <w:r>
        <w:rPr>
          <w:rFonts w:ascii="Arial" w:cs="Arial" w:eastAsia="Arial" w:hAnsi="Arial"/>
          <w:sz w:val="14"/>
          <w:szCs w:val="14"/>
          <w:i w:val="1"/>
          <w:iCs w:val="1"/>
          <w:color w:val="auto"/>
        </w:rPr>
        <w:t>Leases</w:t>
      </w:r>
      <w:r>
        <w:rPr>
          <w:rFonts w:ascii="Arial" w:cs="Arial" w:eastAsia="Arial" w:hAnsi="Arial"/>
          <w:sz w:val="14"/>
          <w:szCs w:val="14"/>
          <w:color w:val="auto"/>
        </w:rPr>
        <w:t>, for additional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20"/>
                <w:szCs w:val="20"/>
                <w:color w:val="auto"/>
              </w:rPr>
            </w:pPr>
            <w:r>
              <w:rPr>
                <w:rFonts w:ascii="Arial" w:cs="Arial" w:eastAsia="Arial" w:hAnsi="Arial"/>
                <w:sz w:val="14"/>
                <w:szCs w:val="14"/>
                <w:b w:val="1"/>
                <w:bCs w:val="1"/>
                <w:color w:val="auto"/>
              </w:rPr>
              <w:t>Note 12. Long-Term Debt</w:t>
            </w: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45"/>
        </w:trPr>
        <w:tc>
          <w:tcPr>
            <w:tcW w:w="4960" w:type="dxa"/>
            <w:vAlign w:val="bottom"/>
          </w:tcPr>
          <w:p>
            <w:pPr>
              <w:spacing w:after="0"/>
              <w:rPr>
                <w:sz w:val="20"/>
                <w:szCs w:val="20"/>
                <w:color w:val="auto"/>
              </w:rPr>
            </w:pPr>
            <w:r>
              <w:rPr>
                <w:rFonts w:ascii="Arial" w:cs="Arial" w:eastAsia="Arial" w:hAnsi="Arial"/>
                <w:sz w:val="14"/>
                <w:szCs w:val="14"/>
                <w:color w:val="auto"/>
              </w:rPr>
              <w:t>Total debt consisted of the following:</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8"/>
        </w:trPr>
        <w:tc>
          <w:tcPr>
            <w:tcW w:w="4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6"/>
        </w:trPr>
        <w:tc>
          <w:tcPr>
            <w:tcW w:w="49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auto"/>
                <w:w w:val="93"/>
              </w:rPr>
              <w:t>December 31, 2018</w:t>
            </w:r>
          </w:p>
        </w:tc>
      </w:tr>
      <w:tr>
        <w:trPr>
          <w:trHeight w:val="23"/>
        </w:trPr>
        <w:tc>
          <w:tcPr>
            <w:tcW w:w="4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4"/>
        </w:trPr>
        <w:tc>
          <w:tcPr>
            <w:tcW w:w="4960" w:type="dxa"/>
            <w:vAlign w:val="bottom"/>
          </w:tcPr>
          <w:p>
            <w:pPr>
              <w:ind w:left="20"/>
              <w:spacing w:after="0"/>
              <w:rPr>
                <w:sz w:val="20"/>
                <w:szCs w:val="20"/>
                <w:color w:val="auto"/>
              </w:rPr>
            </w:pPr>
            <w:r>
              <w:rPr>
                <w:rFonts w:ascii="Arial" w:cs="Arial" w:eastAsia="Arial" w:hAnsi="Arial"/>
                <w:sz w:val="14"/>
                <w:szCs w:val="14"/>
                <w:color w:val="auto"/>
              </w:rPr>
              <w:t>Term loan A-1</w:t>
            </w:r>
          </w:p>
        </w:tc>
        <w:tc>
          <w:tcPr>
            <w:tcW w:w="2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265,855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287,699</w:t>
            </w:r>
          </w:p>
        </w:tc>
      </w:tr>
      <w:tr>
        <w:trPr>
          <w:trHeight w:val="216"/>
        </w:trPr>
        <w:tc>
          <w:tcPr>
            <w:tcW w:w="4960" w:type="dxa"/>
            <w:vAlign w:val="bottom"/>
          </w:tcPr>
          <w:p>
            <w:pPr>
              <w:ind w:left="20"/>
              <w:spacing w:after="0"/>
              <w:rPr>
                <w:sz w:val="20"/>
                <w:szCs w:val="20"/>
                <w:color w:val="auto"/>
              </w:rPr>
            </w:pPr>
            <w:r>
              <w:rPr>
                <w:rFonts w:ascii="Arial" w:cs="Arial" w:eastAsia="Arial" w:hAnsi="Arial"/>
                <w:sz w:val="14"/>
                <w:szCs w:val="14"/>
                <w:color w:val="auto"/>
              </w:rPr>
              <w:t>Term loan A-2</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474,715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497,537</w:t>
            </w:r>
          </w:p>
        </w:tc>
      </w:tr>
      <w:tr>
        <w:trPr>
          <w:trHeight w:val="23"/>
        </w:trPr>
        <w:tc>
          <w:tcPr>
            <w:tcW w:w="4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4"/>
        </w:trPr>
        <w:tc>
          <w:tcPr>
            <w:tcW w:w="49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740,570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785,236</w:t>
            </w:r>
          </w:p>
        </w:tc>
      </w:tr>
      <w:tr>
        <w:trPr>
          <w:trHeight w:val="216"/>
        </w:trPr>
        <w:tc>
          <w:tcPr>
            <w:tcW w:w="4960" w:type="dxa"/>
            <w:vAlign w:val="bottom"/>
          </w:tcPr>
          <w:p>
            <w:pPr>
              <w:ind w:left="20"/>
              <w:spacing w:after="0"/>
              <w:rPr>
                <w:sz w:val="20"/>
                <w:szCs w:val="20"/>
                <w:color w:val="auto"/>
              </w:rPr>
            </w:pPr>
            <w:r>
              <w:rPr>
                <w:rFonts w:ascii="Arial" w:cs="Arial" w:eastAsia="Arial" w:hAnsi="Arial"/>
                <w:sz w:val="14"/>
                <w:szCs w:val="14"/>
                <w:color w:val="auto"/>
              </w:rPr>
              <w:t>Less: unamortized loan fees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12,558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14,994</w:t>
            </w:r>
          </w:p>
        </w:tc>
      </w:tr>
      <w:tr>
        <w:trPr>
          <w:trHeight w:val="23"/>
        </w:trPr>
        <w:tc>
          <w:tcPr>
            <w:tcW w:w="4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0"/>
        </w:trPr>
        <w:tc>
          <w:tcPr>
            <w:tcW w:w="4960" w:type="dxa"/>
            <w:vAlign w:val="bottom"/>
          </w:tcPr>
          <w:p>
            <w:pPr>
              <w:ind w:left="20"/>
              <w:spacing w:after="0"/>
              <w:rPr>
                <w:sz w:val="20"/>
                <w:szCs w:val="20"/>
                <w:color w:val="auto"/>
              </w:rPr>
            </w:pPr>
            <w:r>
              <w:rPr>
                <w:rFonts w:ascii="Arial" w:cs="Arial" w:eastAsia="Arial" w:hAnsi="Arial"/>
                <w:sz w:val="14"/>
                <w:szCs w:val="14"/>
                <w:color w:val="auto"/>
              </w:rPr>
              <w:t>Total debt, net of unamortized loan fees</w:t>
            </w:r>
          </w:p>
        </w:tc>
        <w:tc>
          <w:tcPr>
            <w:tcW w:w="2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728,012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770,242</w:t>
            </w:r>
          </w:p>
        </w:tc>
      </w:tr>
      <w:tr>
        <w:trPr>
          <w:trHeight w:val="20"/>
        </w:trPr>
        <w:tc>
          <w:tcPr>
            <w:tcW w:w="4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430"/>
        </w:trPr>
        <w:tc>
          <w:tcPr>
            <w:tcW w:w="4960" w:type="dxa"/>
            <w:vAlign w:val="bottom"/>
          </w:tcPr>
          <w:p>
            <w:pPr>
              <w:ind w:left="20"/>
              <w:spacing w:after="0"/>
              <w:rPr>
                <w:sz w:val="20"/>
                <w:szCs w:val="20"/>
                <w:color w:val="auto"/>
              </w:rPr>
            </w:pPr>
            <w:r>
              <w:rPr>
                <w:rFonts w:ascii="Arial" w:cs="Arial" w:eastAsia="Arial" w:hAnsi="Arial"/>
                <w:sz w:val="14"/>
                <w:szCs w:val="14"/>
                <w:color w:val="auto"/>
              </w:rPr>
              <w:t>Current maturities of long-term debt, net of current unamortized loan fees</w:t>
            </w:r>
          </w:p>
        </w:tc>
        <w:tc>
          <w:tcPr>
            <w:tcW w:w="2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31,634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20,618</w:t>
            </w:r>
          </w:p>
        </w:tc>
      </w:tr>
      <w:tr>
        <w:trPr>
          <w:trHeight w:val="216"/>
        </w:trPr>
        <w:tc>
          <w:tcPr>
            <w:tcW w:w="4960" w:type="dxa"/>
            <w:vAlign w:val="bottom"/>
          </w:tcPr>
          <w:p>
            <w:pPr>
              <w:ind w:left="20"/>
              <w:spacing w:after="0"/>
              <w:rPr>
                <w:sz w:val="20"/>
                <w:szCs w:val="20"/>
                <w:color w:val="auto"/>
              </w:rPr>
            </w:pPr>
            <w:r>
              <w:rPr>
                <w:rFonts w:ascii="Arial" w:cs="Arial" w:eastAsia="Arial" w:hAnsi="Arial"/>
                <w:sz w:val="14"/>
                <w:szCs w:val="14"/>
                <w:color w:val="auto"/>
              </w:rPr>
              <w:t>Long-term debt, less current maturities, net of unamortized loan fees</w:t>
            </w:r>
          </w:p>
        </w:tc>
        <w:tc>
          <w:tcPr>
            <w:tcW w:w="2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696,378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749,624</w:t>
            </w:r>
          </w:p>
        </w:tc>
      </w:tr>
      <w:tr>
        <w:trPr>
          <w:trHeight w:val="733"/>
        </w:trPr>
        <w:tc>
          <w:tcPr>
            <w:tcW w:w="4960" w:type="dxa"/>
            <w:vAlign w:val="bottom"/>
          </w:tcPr>
          <w:p>
            <w:pPr>
              <w:spacing w:after="0"/>
              <w:rPr>
                <w:sz w:val="24"/>
                <w:szCs w:val="24"/>
                <w:color w:val="auto"/>
              </w:rPr>
            </w:pPr>
          </w:p>
        </w:tc>
        <w:tc>
          <w:tcPr>
            <w:tcW w:w="2020" w:type="dxa"/>
            <w:vAlign w:val="bottom"/>
          </w:tcPr>
          <w:p>
            <w:pPr>
              <w:jc w:val="right"/>
              <w:ind w:right="110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60"/>
          </w:cols>
          <w:pgMar w:left="220" w:top="119" w:right="21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September 30, 2019, the Company's indebtedness totaled approximately $728.0 million, net of unamortized loan fees of $12.6 million, with an annualized overall weighted average interest rate of approximately 3.63%. In September of 2019, the Company's interest rate decreased by 25 basis points as the net leverage ratio, as defined in the Company's credit facility, dropped below the 2.25x threshold. As of September 30, 2019, the Term Loan A-1 bears interest at one-month London Interbank Offered Rate ("LIBOR") plus a base rate of 1.50%, while the Term Loan A-2 bears interest at one-month LIBOR plus a base rate of 1.75%. LIBOR resets monthly.</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amended Term Loan A-1 requires quarterly principal repayments of $3.6 million, which began on December 31, 2018 and continued through September 30, 2019, increasing to $7.3 million quarterly from December 31, 2019 through September 30, 2022; then increasing to $10.9 million quarterly from December 31, 2022 through September 30, 2023, with the remaining balance due November 8, 2023. The amended Term Loan A-2 requires quarterly principal repayments of $1.2 million which began on December 31, 2018 and continue through September 30, 2025, with the remaining balance due November 8, 2025. In addition to its required quarterly repayments, the Company paid an additional $15.0 million in the first quarter of 2019 and an additional $15.0 million in the third quarter of 2019, with no prepayment penalties.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The Company's cash payments for interest were $21.6 million and $25.1 million during the nine months ended September 30,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As shown below, as of September 30, 2019, the Company was in compliance with the financial covenants in its credit agreement.</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Actual</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w w:val="93"/>
              </w:rPr>
              <w:t>Covenant Requirement</w:t>
            </w:r>
          </w:p>
        </w:tc>
        <w:tc>
          <w:tcPr>
            <w:tcW w:w="0" w:type="dxa"/>
            <w:vAlign w:val="bottom"/>
          </w:tcPr>
          <w:p>
            <w:pPr>
              <w:spacing w:after="0"/>
              <w:rPr>
                <w:sz w:val="1"/>
                <w:szCs w:val="1"/>
                <w:color w:val="auto"/>
              </w:rPr>
            </w:pPr>
          </w:p>
        </w:tc>
      </w:tr>
      <w:tr>
        <w:trPr>
          <w:trHeight w:val="24"/>
        </w:trPr>
        <w:tc>
          <w:tcPr>
            <w:tcW w:w="4120" w:type="dxa"/>
            <w:vAlign w:val="bottom"/>
            <w:vMerge w:val="restart"/>
          </w:tcPr>
          <w:p>
            <w:pPr>
              <w:spacing w:after="0"/>
              <w:rPr>
                <w:sz w:val="20"/>
                <w:szCs w:val="20"/>
                <w:color w:val="auto"/>
              </w:rPr>
            </w:pPr>
            <w:r>
              <w:rPr>
                <w:rFonts w:ascii="Arial" w:cs="Arial" w:eastAsia="Arial" w:hAnsi="Arial"/>
                <w:sz w:val="14"/>
                <w:szCs w:val="14"/>
                <w:color w:val="auto"/>
              </w:rPr>
              <w:t>Total leverage ratio</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12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w w:val="95"/>
              </w:rPr>
              <w:t>3.50 or Lower</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4"/>
                <w:szCs w:val="14"/>
                <w:color w:val="auto"/>
              </w:rPr>
              <w:t>Debt service coverage ratio</w:t>
            </w:r>
          </w:p>
        </w:tc>
        <w:tc>
          <w:tcPr>
            <w:tcW w:w="920" w:type="dxa"/>
            <w:vAlign w:val="bottom"/>
          </w:tcPr>
          <w:p>
            <w:pPr>
              <w:spacing w:after="0"/>
              <w:rPr>
                <w:sz w:val="18"/>
                <w:szCs w:val="18"/>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6.21</w:t>
            </w:r>
          </w:p>
        </w:tc>
        <w:tc>
          <w:tcPr>
            <w:tcW w:w="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w w:val="96"/>
              </w:rPr>
              <w:t>2.00 or Higher</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4"/>
                <w:szCs w:val="14"/>
                <w:color w:val="auto"/>
              </w:rPr>
              <w:t>Minimum liquidity balance (in millions)</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172.2</w:t>
            </w:r>
          </w:p>
        </w:tc>
        <w:tc>
          <w:tcPr>
            <w:tcW w:w="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w w:val="93"/>
              </w:rPr>
              <w:t>$25.0 or Higher</w:t>
            </w:r>
          </w:p>
        </w:tc>
        <w:tc>
          <w:tcPr>
            <w:tcW w:w="0" w:type="dxa"/>
            <w:vAlign w:val="bottom"/>
          </w:tcPr>
          <w:p>
            <w:pPr>
              <w:spacing w:after="0"/>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Income Taxes</w:t>
      </w:r>
    </w:p>
    <w:p>
      <w:pPr>
        <w:spacing w:after="0" w:line="188" w:lineRule="exact"/>
        <w:rPr>
          <w:sz w:val="20"/>
          <w:szCs w:val="20"/>
          <w:color w:val="auto"/>
        </w:rPr>
      </w:pPr>
    </w:p>
    <w:p>
      <w:pPr>
        <w:spacing w:after="0" w:line="328" w:lineRule="auto"/>
        <w:rPr>
          <w:sz w:val="20"/>
          <w:szCs w:val="20"/>
          <w:color w:val="auto"/>
        </w:rPr>
      </w:pPr>
      <w:r>
        <w:rPr>
          <w:rFonts w:ascii="Arial" w:cs="Arial" w:eastAsia="Arial" w:hAnsi="Arial"/>
          <w:sz w:val="13"/>
          <w:szCs w:val="13"/>
          <w:color w:val="auto"/>
        </w:rPr>
        <w:t>The Company files U.S. federal income tax returns and various state income tax returns. The Company is not subject to any state or federal income tax audits as of September 30, 2019. The Company's returns are generally open to examination from 2015 forward and the net operating losses acquired in the acquisition of nTelos are open to examination from 2002 forward.</w:t>
      </w:r>
    </w:p>
    <w:p>
      <w:pPr>
        <w:spacing w:after="0" w:line="109"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The Company’s effective tax rate for the three months ended September 30, 2019 was approximately 24.3%, as compared with approximately 23.8% for the three months ended September 30, 2018. The Company’s effective tax rate for the nine months ended September 30, 2019 was approximately 24.4%, which was consistent with approximately 24.3% for the nine months ended September 30, 2018. The Company's cash payments for income taxes were $6.1 million in the nine months ended September 30, 2019. The Company received cash refunds for income taxes of $2.7 million in the nine months ended September 30, 2018.</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Segment Reporting</w:t>
      </w:r>
    </w:p>
    <w:p>
      <w:pPr>
        <w:spacing w:after="0" w:line="188" w:lineRule="exact"/>
        <w:rPr>
          <w:sz w:val="20"/>
          <w:szCs w:val="20"/>
          <w:color w:val="auto"/>
        </w:rPr>
      </w:pPr>
    </w:p>
    <w:p>
      <w:pPr>
        <w:ind w:right="320"/>
        <w:spacing w:after="0" w:line="264" w:lineRule="auto"/>
        <w:rPr>
          <w:sz w:val="20"/>
          <w:szCs w:val="20"/>
          <w:color w:val="auto"/>
        </w:rPr>
      </w:pPr>
      <w:r>
        <w:rPr>
          <w:rFonts w:ascii="Arial" w:cs="Arial" w:eastAsia="Arial" w:hAnsi="Arial"/>
          <w:sz w:val="14"/>
          <w:szCs w:val="14"/>
          <w:color w:val="auto"/>
        </w:rPr>
        <w:t>The Company's reportable segments, which the Company operates and manages as strategic business units that are organized according to major product and service offerings, include: Wireless, Cable, Wireline and Other. A general description of the products and services offered and the customers served by each of these segments is as follows:</w:t>
      </w:r>
    </w:p>
    <w:p>
      <w:pPr>
        <w:jc w:val="both"/>
        <w:ind w:left="520" w:right="20" w:hanging="255"/>
        <w:spacing w:after="0" w:line="25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Wireless provides digital wireless service as a Sprint PCS Affiliate to a portion of a multi-state area covering large portions of central and western Virginia, south-central Pennsylvania, West Virginia, and portions of Maryland, North Carolina, Kentucky, and Ohio. In these areas, the Company is the exclusive provider of Sprint-branded wireless mobility communications network products and services on the 800 MHz, 1900 MHz and 2.5 GHz spectrum bands.</w:t>
      </w:r>
    </w:p>
    <w:p>
      <w:pPr>
        <w:ind w:left="520" w:right="280" w:hanging="255"/>
        <w:spacing w:after="0" w:line="276"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Cable provides video, broadband and voice services in the cable franchise areas in portions of Virginia, West Virginia, western Maryland, and eastern Kentucky, and leases fiber optic facilities and provides fiber transport services throughout its service area. It does not include video, broadband and voice services provided to customers in Shenandoah County, Virginia.</w:t>
      </w:r>
    </w:p>
    <w:p>
      <w:pPr>
        <w:spacing w:after="0" w:line="1" w:lineRule="exact"/>
        <w:rPr>
          <w:rFonts w:ascii="Arial" w:cs="Arial" w:eastAsia="Arial" w:hAnsi="Arial"/>
          <w:sz w:val="13"/>
          <w:szCs w:val="13"/>
          <w:color w:val="auto"/>
        </w:rPr>
      </w:pPr>
    </w:p>
    <w:p>
      <w:pPr>
        <w:ind w:left="520" w:right="300" w:hanging="255"/>
        <w:spacing w:after="0" w:line="25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Wireline provides video and broadband services in the cable franchise area and regulated and unregulated voice and broadband services in Shenandoah County, Virginia, and leases fiber optic facilities and provides fiber transport services throughout portions of Virginia, West Virginia, Maryland and Pennsylvania.</w:t>
      </w:r>
    </w:p>
    <w:p>
      <w:pPr>
        <w:ind w:left="520" w:hanging="255"/>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Other operations are represented by Shenandoah Telecommunications Company, the parent holding company that provides investing and management services to its subsidiaries.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129" w:right="21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September 30,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Wireless</w:t>
            </w:r>
          </w:p>
        </w:tc>
        <w:tc>
          <w:tcPr>
            <w:tcW w:w="28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Cable</w:t>
            </w:r>
          </w:p>
        </w:tc>
        <w:tc>
          <w:tcPr>
            <w:tcW w:w="24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Wireline</w:t>
            </w:r>
          </w:p>
        </w:tc>
        <w:tc>
          <w:tcPr>
            <w:tcW w:w="28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Eliminations</w:t>
            </w:r>
          </w:p>
        </w:tc>
        <w:tc>
          <w:tcPr>
            <w:tcW w:w="200" w:type="dxa"/>
            <w:vAlign w:val="bottom"/>
          </w:tcPr>
          <w:p>
            <w:pPr>
              <w:spacing w:after="0"/>
              <w:rPr>
                <w:sz w:val="15"/>
                <w:szCs w:val="15"/>
                <w:color w:val="auto"/>
              </w:rPr>
            </w:pPr>
          </w:p>
        </w:tc>
        <w:tc>
          <w:tcPr>
            <w:tcW w:w="1160" w:type="dxa"/>
            <w:vAlign w:val="bottom"/>
          </w:tcPr>
          <w:p>
            <w:pPr>
              <w:jc w:val="right"/>
              <w:ind w:right="249"/>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23"/>
        </w:trPr>
        <w:tc>
          <w:tcPr>
            <w:tcW w:w="3100" w:type="dxa"/>
            <w:vAlign w:val="bottom"/>
            <w:vMerge w:val="restart"/>
          </w:tcPr>
          <w:p>
            <w:pPr>
              <w:ind w:left="20"/>
              <w:spacing w:after="0"/>
              <w:rPr>
                <w:sz w:val="20"/>
                <w:szCs w:val="20"/>
                <w:color w:val="auto"/>
              </w:rPr>
            </w:pPr>
            <w:r>
              <w:rPr>
                <w:rFonts w:ascii="Arial" w:cs="Arial" w:eastAsia="Arial" w:hAnsi="Arial"/>
                <w:sz w:val="13"/>
                <w:szCs w:val="13"/>
                <w:color w:val="auto"/>
              </w:rPr>
              <w:t>External revenue</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140"/>
              <w:spacing w:after="0"/>
              <w:rPr>
                <w:sz w:val="20"/>
                <w:szCs w:val="20"/>
                <w:color w:val="auto"/>
              </w:rPr>
            </w:pPr>
            <w:r>
              <w:rPr>
                <w:rFonts w:ascii="Arial" w:cs="Arial" w:eastAsia="Arial" w:hAnsi="Arial"/>
                <w:sz w:val="13"/>
                <w:szCs w:val="13"/>
                <w:color w:val="auto"/>
              </w:rPr>
              <w:t>Service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91,108</w:t>
            </w:r>
          </w:p>
        </w:tc>
        <w:tc>
          <w:tcPr>
            <w:tcW w:w="1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30,829</w:t>
            </w:r>
          </w:p>
        </w:tc>
        <w:tc>
          <w:tcPr>
            <w:tcW w:w="12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5,446</w:t>
            </w:r>
          </w:p>
        </w:tc>
        <w:tc>
          <w:tcPr>
            <w:tcW w:w="1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127,383</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Equipment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15,975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16,320</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Tower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1,660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Other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2,392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7,002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9,789</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Total external revenue</w:t>
            </w:r>
          </w:p>
        </w:tc>
        <w:tc>
          <w:tcPr>
            <w:tcW w:w="2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109,138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33,513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12,501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155,152</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Internal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1,591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6,643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(9,524)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Total operating revenue</w:t>
            </w:r>
          </w:p>
        </w:tc>
        <w:tc>
          <w:tcPr>
            <w:tcW w:w="2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110,428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35,104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19,144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(9,524)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155,152</w:t>
            </w:r>
          </w:p>
        </w:tc>
        <w:tc>
          <w:tcPr>
            <w:tcW w:w="0" w:type="dxa"/>
            <w:vAlign w:val="bottom"/>
          </w:tcPr>
          <w:p>
            <w:pPr>
              <w:spacing w:after="0"/>
              <w:rPr>
                <w:sz w:val="1"/>
                <w:szCs w:val="1"/>
                <w:color w:val="auto"/>
              </w:rPr>
            </w:pPr>
          </w:p>
        </w:tc>
      </w:tr>
      <w:tr>
        <w:trPr>
          <w:trHeight w:val="23"/>
        </w:trPr>
        <w:tc>
          <w:tcPr>
            <w:tcW w:w="3100" w:type="dxa"/>
            <w:vAlign w:val="bottom"/>
            <w:vMerge w:val="restart"/>
          </w:tcPr>
          <w:p>
            <w:pPr>
              <w:ind w:left="20"/>
              <w:spacing w:after="0"/>
              <w:rPr>
                <w:sz w:val="20"/>
                <w:szCs w:val="20"/>
                <w:color w:val="auto"/>
              </w:rPr>
            </w:pPr>
            <w:r>
              <w:rPr>
                <w:rFonts w:ascii="Arial" w:cs="Arial" w:eastAsia="Arial" w:hAnsi="Arial"/>
                <w:sz w:val="13"/>
                <w:szCs w:val="13"/>
                <w:color w:val="auto"/>
              </w:rPr>
              <w:t>Operating expenses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3"/>
                <w:szCs w:val="13"/>
                <w:color w:val="auto"/>
              </w:rPr>
              <w:t>Cost of services</w:t>
            </w:r>
          </w:p>
        </w:tc>
        <w:tc>
          <w:tcPr>
            <w:tcW w:w="260" w:type="dxa"/>
            <w:vAlign w:val="bottom"/>
          </w:tcPr>
          <w:p>
            <w:pPr>
              <w:spacing w:after="0"/>
              <w:rPr>
                <w:sz w:val="20"/>
                <w:szCs w:val="20"/>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34,044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15,790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9,104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50,164</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Cost of goods sold</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15,571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15,825</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9,882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6,636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1,938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9,472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27,178</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27,200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6,226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3,077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36,626</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Total operating expenses</w:t>
            </w:r>
          </w:p>
        </w:tc>
        <w:tc>
          <w:tcPr>
            <w:tcW w:w="2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86,697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28,808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14,217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9,595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(9,524)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129,793</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Operating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23,731</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6,296</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4,927</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(9,595)</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25,359</w:t>
            </w:r>
          </w:p>
        </w:tc>
        <w:tc>
          <w:tcPr>
            <w:tcW w:w="0" w:type="dxa"/>
            <w:vAlign w:val="bottom"/>
          </w:tcPr>
          <w:p>
            <w:pPr>
              <w:spacing w:after="0"/>
              <w:rPr>
                <w:sz w:val="1"/>
                <w:szCs w:val="1"/>
                <w:color w:val="auto"/>
              </w:rPr>
            </w:pPr>
          </w:p>
        </w:tc>
      </w:tr>
      <w:tr>
        <w:trPr>
          <w:trHeight w:val="23"/>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September 30, 2018</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Wireless</w:t>
            </w:r>
          </w:p>
        </w:tc>
        <w:tc>
          <w:tcPr>
            <w:tcW w:w="280" w:type="dxa"/>
            <w:vAlign w:val="bottom"/>
          </w:tcPr>
          <w:p>
            <w:pPr>
              <w:spacing w:after="0"/>
              <w:rPr>
                <w:sz w:val="24"/>
                <w:szCs w:val="24"/>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Cable</w:t>
            </w:r>
          </w:p>
        </w:tc>
        <w:tc>
          <w:tcPr>
            <w:tcW w:w="24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Wireline</w:t>
            </w:r>
          </w:p>
        </w:tc>
        <w:tc>
          <w:tcPr>
            <w:tcW w:w="28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49"/>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23"/>
        </w:trPr>
        <w:tc>
          <w:tcPr>
            <w:tcW w:w="3100" w:type="dxa"/>
            <w:vAlign w:val="bottom"/>
            <w:vMerge w:val="restart"/>
          </w:tcPr>
          <w:p>
            <w:pPr>
              <w:ind w:left="20"/>
              <w:spacing w:after="0"/>
              <w:rPr>
                <w:sz w:val="20"/>
                <w:szCs w:val="20"/>
                <w:color w:val="auto"/>
              </w:rPr>
            </w:pPr>
            <w:r>
              <w:rPr>
                <w:rFonts w:ascii="Arial" w:cs="Arial" w:eastAsia="Arial" w:hAnsi="Arial"/>
                <w:sz w:val="13"/>
                <w:szCs w:val="13"/>
                <w:color w:val="auto"/>
              </w:rPr>
              <w:t>External revenue</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140"/>
              <w:spacing w:after="0"/>
              <w:rPr>
                <w:sz w:val="20"/>
                <w:szCs w:val="20"/>
                <w:color w:val="auto"/>
              </w:rPr>
            </w:pPr>
            <w:r>
              <w:rPr>
                <w:rFonts w:ascii="Arial" w:cs="Arial" w:eastAsia="Arial" w:hAnsi="Arial"/>
                <w:sz w:val="13"/>
                <w:szCs w:val="13"/>
                <w:color w:val="auto"/>
              </w:rPr>
              <w:t>Service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96,299</w:t>
            </w:r>
          </w:p>
        </w:tc>
        <w:tc>
          <w:tcPr>
            <w:tcW w:w="1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28,578</w:t>
            </w:r>
          </w:p>
        </w:tc>
        <w:tc>
          <w:tcPr>
            <w:tcW w:w="12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5,443</w:t>
            </w:r>
          </w:p>
        </w:tc>
        <w:tc>
          <w:tcPr>
            <w:tcW w:w="1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130,320</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Equipment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15,666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15,963</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Tower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1,639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Other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7,473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10,809</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Total external revenue</w:t>
            </w:r>
          </w:p>
        </w:tc>
        <w:tc>
          <w:tcPr>
            <w:tcW w:w="2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114,836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30,916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12,979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158,731</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Internal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1,266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6,643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Total operating revenue</w:t>
            </w:r>
          </w:p>
        </w:tc>
        <w:tc>
          <w:tcPr>
            <w:tcW w:w="2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116,099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32,182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19,622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158,731</w:t>
            </w:r>
          </w:p>
        </w:tc>
        <w:tc>
          <w:tcPr>
            <w:tcW w:w="0" w:type="dxa"/>
            <w:vAlign w:val="bottom"/>
          </w:tcPr>
          <w:p>
            <w:pPr>
              <w:spacing w:after="0"/>
              <w:rPr>
                <w:sz w:val="1"/>
                <w:szCs w:val="1"/>
                <w:color w:val="auto"/>
              </w:rPr>
            </w:pPr>
          </w:p>
        </w:tc>
      </w:tr>
      <w:tr>
        <w:trPr>
          <w:trHeight w:val="23"/>
        </w:trPr>
        <w:tc>
          <w:tcPr>
            <w:tcW w:w="3100" w:type="dxa"/>
            <w:vAlign w:val="bottom"/>
            <w:vMerge w:val="restart"/>
          </w:tcPr>
          <w:p>
            <w:pPr>
              <w:ind w:left="20"/>
              <w:spacing w:after="0"/>
              <w:rPr>
                <w:sz w:val="20"/>
                <w:szCs w:val="20"/>
                <w:color w:val="auto"/>
              </w:rPr>
            </w:pPr>
            <w:r>
              <w:rPr>
                <w:rFonts w:ascii="Arial" w:cs="Arial" w:eastAsia="Arial" w:hAnsi="Arial"/>
                <w:sz w:val="13"/>
                <w:szCs w:val="13"/>
                <w:color w:val="auto"/>
              </w:rPr>
              <w:t>Operating expenses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3"/>
                <w:szCs w:val="13"/>
                <w:color w:val="auto"/>
              </w:rPr>
              <w:t>Cost of services</w:t>
            </w:r>
          </w:p>
        </w:tc>
        <w:tc>
          <w:tcPr>
            <w:tcW w:w="260" w:type="dxa"/>
            <w:vAlign w:val="bottom"/>
          </w:tcPr>
          <w:p>
            <w:pPr>
              <w:spacing w:after="0"/>
              <w:rPr>
                <w:sz w:val="20"/>
                <w:szCs w:val="20"/>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32,253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14,837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9,266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47,886</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Cost of goods sold</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14,940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15,036</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11,191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5,331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1,780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27,452</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30,363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6,102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3,435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40,028</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Total operating expenses</w:t>
            </w:r>
          </w:p>
        </w:tc>
        <w:tc>
          <w:tcPr>
            <w:tcW w:w="2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88,747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26,348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14,500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9,979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130,402</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Operating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27,352</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5,834</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5,122</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(9,979)</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28,329</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129" w:right="21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Wireless</w:t>
            </w:r>
          </w:p>
        </w:tc>
        <w:tc>
          <w:tcPr>
            <w:tcW w:w="28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Cable</w:t>
            </w:r>
          </w:p>
        </w:tc>
        <w:tc>
          <w:tcPr>
            <w:tcW w:w="24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Wireline</w:t>
            </w:r>
          </w:p>
        </w:tc>
        <w:tc>
          <w:tcPr>
            <w:tcW w:w="28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Eliminations</w:t>
            </w:r>
          </w:p>
        </w:tc>
        <w:tc>
          <w:tcPr>
            <w:tcW w:w="200" w:type="dxa"/>
            <w:vAlign w:val="bottom"/>
          </w:tcPr>
          <w:p>
            <w:pPr>
              <w:spacing w:after="0"/>
              <w:rPr>
                <w:sz w:val="15"/>
                <w:szCs w:val="15"/>
                <w:color w:val="auto"/>
              </w:rPr>
            </w:pPr>
          </w:p>
        </w:tc>
        <w:tc>
          <w:tcPr>
            <w:tcW w:w="1160" w:type="dxa"/>
            <w:vAlign w:val="bottom"/>
          </w:tcPr>
          <w:p>
            <w:pPr>
              <w:jc w:val="right"/>
              <w:ind w:right="249"/>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23"/>
        </w:trPr>
        <w:tc>
          <w:tcPr>
            <w:tcW w:w="3100" w:type="dxa"/>
            <w:vAlign w:val="bottom"/>
            <w:vMerge w:val="restart"/>
          </w:tcPr>
          <w:p>
            <w:pPr>
              <w:ind w:left="20"/>
              <w:spacing w:after="0"/>
              <w:rPr>
                <w:sz w:val="20"/>
                <w:szCs w:val="20"/>
                <w:color w:val="auto"/>
              </w:rPr>
            </w:pPr>
            <w:r>
              <w:rPr>
                <w:rFonts w:ascii="Arial" w:cs="Arial" w:eastAsia="Arial" w:hAnsi="Arial"/>
                <w:sz w:val="13"/>
                <w:szCs w:val="13"/>
                <w:color w:val="auto"/>
              </w:rPr>
              <w:t>External revenue</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140"/>
              <w:spacing w:after="0"/>
              <w:rPr>
                <w:sz w:val="20"/>
                <w:szCs w:val="20"/>
                <w:color w:val="auto"/>
              </w:rPr>
            </w:pPr>
            <w:r>
              <w:rPr>
                <w:rFonts w:ascii="Arial" w:cs="Arial" w:eastAsia="Arial" w:hAnsi="Arial"/>
                <w:sz w:val="13"/>
                <w:szCs w:val="13"/>
                <w:color w:val="auto"/>
              </w:rPr>
              <w:t>Service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282,533</w:t>
            </w:r>
          </w:p>
        </w:tc>
        <w:tc>
          <w:tcPr>
            <w:tcW w:w="1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91,250</w:t>
            </w:r>
          </w:p>
        </w:tc>
        <w:tc>
          <w:tcPr>
            <w:tcW w:w="12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16,489</w:t>
            </w:r>
          </w:p>
        </w:tc>
        <w:tc>
          <w:tcPr>
            <w:tcW w:w="1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390,272</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Equipment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47,814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48,787</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Tower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4,985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4,985</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Other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6,895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20,910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28,865</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Total external revenue</w:t>
            </w:r>
          </w:p>
        </w:tc>
        <w:tc>
          <w:tcPr>
            <w:tcW w:w="2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336,392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98,962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37,555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472,909</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Internal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3,830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4,541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20,025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(28,396)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Total operating revenue</w:t>
            </w:r>
          </w:p>
        </w:tc>
        <w:tc>
          <w:tcPr>
            <w:tcW w:w="2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340,222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103,503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57,580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(28,396)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472,909</w:t>
            </w:r>
          </w:p>
        </w:tc>
        <w:tc>
          <w:tcPr>
            <w:tcW w:w="0" w:type="dxa"/>
            <w:vAlign w:val="bottom"/>
          </w:tcPr>
          <w:p>
            <w:pPr>
              <w:spacing w:after="0"/>
              <w:rPr>
                <w:sz w:val="1"/>
                <w:szCs w:val="1"/>
                <w:color w:val="auto"/>
              </w:rPr>
            </w:pPr>
          </w:p>
        </w:tc>
      </w:tr>
      <w:tr>
        <w:trPr>
          <w:trHeight w:val="23"/>
        </w:trPr>
        <w:tc>
          <w:tcPr>
            <w:tcW w:w="3100" w:type="dxa"/>
            <w:vAlign w:val="bottom"/>
            <w:vMerge w:val="restart"/>
          </w:tcPr>
          <w:p>
            <w:pPr>
              <w:ind w:left="20"/>
              <w:spacing w:after="0"/>
              <w:rPr>
                <w:sz w:val="20"/>
                <w:szCs w:val="20"/>
                <w:color w:val="auto"/>
              </w:rPr>
            </w:pPr>
            <w:r>
              <w:rPr>
                <w:rFonts w:ascii="Arial" w:cs="Arial" w:eastAsia="Arial" w:hAnsi="Arial"/>
                <w:sz w:val="13"/>
                <w:szCs w:val="13"/>
                <w:color w:val="auto"/>
              </w:rPr>
              <w:t>Operating expenses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3"/>
                <w:szCs w:val="13"/>
                <w:color w:val="auto"/>
              </w:rPr>
              <w:t>Cost of services</w:t>
            </w:r>
          </w:p>
        </w:tc>
        <w:tc>
          <w:tcPr>
            <w:tcW w:w="260" w:type="dxa"/>
            <w:vAlign w:val="bottom"/>
          </w:tcPr>
          <w:p>
            <w:pPr>
              <w:spacing w:after="0"/>
              <w:rPr>
                <w:sz w:val="20"/>
                <w:szCs w:val="20"/>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101,085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47,138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27,234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(26,278)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149,179</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Cost of goods sold</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45,740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46,336</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31,836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17,898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5,769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29,685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83,070</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90,469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19,239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10,057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120,158</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Total operating expenses</w:t>
            </w:r>
          </w:p>
        </w:tc>
        <w:tc>
          <w:tcPr>
            <w:tcW w:w="2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269,130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84,718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43,213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30,078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(28,396)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398,743</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Operating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71,092</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18,785</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14,367</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(30,078)</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74,166</w:t>
            </w:r>
          </w:p>
        </w:tc>
        <w:tc>
          <w:tcPr>
            <w:tcW w:w="0" w:type="dxa"/>
            <w:vAlign w:val="bottom"/>
          </w:tcPr>
          <w:p>
            <w:pPr>
              <w:spacing w:after="0"/>
              <w:rPr>
                <w:sz w:val="1"/>
                <w:szCs w:val="1"/>
                <w:color w:val="auto"/>
              </w:rPr>
            </w:pPr>
          </w:p>
        </w:tc>
      </w:tr>
      <w:tr>
        <w:trPr>
          <w:trHeight w:val="23"/>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Nine Months Ended September 30, 2018</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Wireless</w:t>
            </w:r>
          </w:p>
        </w:tc>
        <w:tc>
          <w:tcPr>
            <w:tcW w:w="280" w:type="dxa"/>
            <w:vAlign w:val="bottom"/>
          </w:tcPr>
          <w:p>
            <w:pPr>
              <w:spacing w:after="0"/>
              <w:rPr>
                <w:sz w:val="24"/>
                <w:szCs w:val="24"/>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Cable</w:t>
            </w:r>
          </w:p>
        </w:tc>
        <w:tc>
          <w:tcPr>
            <w:tcW w:w="24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Wireline</w:t>
            </w:r>
          </w:p>
        </w:tc>
        <w:tc>
          <w:tcPr>
            <w:tcW w:w="28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49"/>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23"/>
        </w:trPr>
        <w:tc>
          <w:tcPr>
            <w:tcW w:w="3100" w:type="dxa"/>
            <w:vAlign w:val="bottom"/>
            <w:vMerge w:val="restart"/>
          </w:tcPr>
          <w:p>
            <w:pPr>
              <w:ind w:left="20"/>
              <w:spacing w:after="0"/>
              <w:rPr>
                <w:sz w:val="20"/>
                <w:szCs w:val="20"/>
                <w:color w:val="auto"/>
              </w:rPr>
            </w:pPr>
            <w:r>
              <w:rPr>
                <w:rFonts w:ascii="Arial" w:cs="Arial" w:eastAsia="Arial" w:hAnsi="Arial"/>
                <w:sz w:val="13"/>
                <w:szCs w:val="13"/>
                <w:color w:val="auto"/>
              </w:rPr>
              <w:t>External revenue</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140"/>
              <w:spacing w:after="0"/>
              <w:rPr>
                <w:sz w:val="20"/>
                <w:szCs w:val="20"/>
                <w:color w:val="auto"/>
              </w:rPr>
            </w:pPr>
            <w:r>
              <w:rPr>
                <w:rFonts w:ascii="Arial" w:cs="Arial" w:eastAsia="Arial" w:hAnsi="Arial"/>
                <w:sz w:val="13"/>
                <w:szCs w:val="13"/>
                <w:color w:val="auto"/>
              </w:rPr>
              <w:t>Service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284,154</w:t>
            </w:r>
          </w:p>
        </w:tc>
        <w:tc>
          <w:tcPr>
            <w:tcW w:w="1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85,797</w:t>
            </w:r>
          </w:p>
        </w:tc>
        <w:tc>
          <w:tcPr>
            <w:tcW w:w="12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16,052</w:t>
            </w:r>
          </w:p>
        </w:tc>
        <w:tc>
          <w:tcPr>
            <w:tcW w:w="1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386,003</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Equipment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48,859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49,551</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Tower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4,934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4,934</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Other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1,963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6,276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20,643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28,882</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Total external revenue</w:t>
            </w:r>
          </w:p>
        </w:tc>
        <w:tc>
          <w:tcPr>
            <w:tcW w:w="2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339,910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92,610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36,850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469,370</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Internal revenue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3,746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3,394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21,591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(28,731)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Total operating revenue</w:t>
            </w:r>
          </w:p>
        </w:tc>
        <w:tc>
          <w:tcPr>
            <w:tcW w:w="2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343,656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96,004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58,441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(28,731)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469,370</w:t>
            </w:r>
          </w:p>
        </w:tc>
        <w:tc>
          <w:tcPr>
            <w:tcW w:w="0" w:type="dxa"/>
            <w:vAlign w:val="bottom"/>
          </w:tcPr>
          <w:p>
            <w:pPr>
              <w:spacing w:after="0"/>
              <w:rPr>
                <w:sz w:val="1"/>
                <w:szCs w:val="1"/>
                <w:color w:val="auto"/>
              </w:rPr>
            </w:pPr>
          </w:p>
        </w:tc>
      </w:tr>
      <w:tr>
        <w:trPr>
          <w:trHeight w:val="23"/>
        </w:trPr>
        <w:tc>
          <w:tcPr>
            <w:tcW w:w="3100" w:type="dxa"/>
            <w:vAlign w:val="bottom"/>
            <w:vMerge w:val="restart"/>
          </w:tcPr>
          <w:p>
            <w:pPr>
              <w:ind w:left="20"/>
              <w:spacing w:after="0"/>
              <w:rPr>
                <w:sz w:val="20"/>
                <w:szCs w:val="20"/>
                <w:color w:val="auto"/>
              </w:rPr>
            </w:pPr>
            <w:r>
              <w:rPr>
                <w:rFonts w:ascii="Arial" w:cs="Arial" w:eastAsia="Arial" w:hAnsi="Arial"/>
                <w:sz w:val="13"/>
                <w:szCs w:val="13"/>
                <w:color w:val="auto"/>
              </w:rPr>
              <w:t>Operating expenses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3"/>
                <w:szCs w:val="13"/>
                <w:color w:val="auto"/>
              </w:rPr>
              <w:t>Cost of services</w:t>
            </w:r>
          </w:p>
        </w:tc>
        <w:tc>
          <w:tcPr>
            <w:tcW w:w="260" w:type="dxa"/>
            <w:vAlign w:val="bottom"/>
          </w:tcPr>
          <w:p>
            <w:pPr>
              <w:spacing w:after="0"/>
              <w:rPr>
                <w:sz w:val="20"/>
                <w:szCs w:val="20"/>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99,491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45,118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28,441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(26,688)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146,362</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Cost of goods sold</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45,749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46,007</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35,693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14,940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5,183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32,344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86,117</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95,853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18,305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10,069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124,632</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Total operating expenses</w:t>
            </w:r>
          </w:p>
        </w:tc>
        <w:tc>
          <w:tcPr>
            <w:tcW w:w="26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276,786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78,560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43,754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32,749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(28,731)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403,118</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20"/>
              <w:spacing w:after="0"/>
              <w:rPr>
                <w:sz w:val="20"/>
                <w:szCs w:val="20"/>
                <w:color w:val="auto"/>
              </w:rPr>
            </w:pPr>
            <w:r>
              <w:rPr>
                <w:rFonts w:ascii="Arial" w:cs="Arial" w:eastAsia="Arial" w:hAnsi="Arial"/>
                <w:sz w:val="13"/>
                <w:szCs w:val="13"/>
                <w:color w:val="auto"/>
              </w:rPr>
              <w:t>Operating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66,870</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17,444</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14,687</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(32,749)</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66,252</w:t>
            </w: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Subsequent Events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Declaration &amp; Share Repurchase Program</w:t>
      </w:r>
    </w:p>
    <w:p>
      <w:pPr>
        <w:spacing w:after="0" w:line="21" w:lineRule="exact"/>
        <w:rPr>
          <w:sz w:val="20"/>
          <w:szCs w:val="20"/>
          <w:color w:val="auto"/>
        </w:rPr>
      </w:pPr>
    </w:p>
    <w:p>
      <w:pPr>
        <w:jc w:val="both"/>
        <w:ind w:right="120"/>
        <w:spacing w:after="0" w:line="295" w:lineRule="auto"/>
        <w:rPr>
          <w:sz w:val="20"/>
          <w:szCs w:val="20"/>
          <w:color w:val="auto"/>
        </w:rPr>
      </w:pPr>
      <w:r>
        <w:rPr>
          <w:rFonts w:ascii="Arial" w:cs="Arial" w:eastAsia="Arial" w:hAnsi="Arial"/>
          <w:sz w:val="13"/>
          <w:szCs w:val="13"/>
          <w:color w:val="auto"/>
        </w:rPr>
        <w:t>On October 29, 2019, the Company's Board of Directors approved a dividend of $0.29 per common share and authorized a stock repurchase program that will enable the Company to repurchase an aggregate of $80 million of its outstanding common stock. The dividend will be payable on December 2, 2019 to shareholders of record as of the close of business on November 14, 2019. The share repurchase program will be become effective November 4, 2019, and is expected to be executed over the next twelve months subject to market conditions.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129" w:right="21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2018. The following management’s discussion and analysis should be read in conjunction with the Company’s Annual Report on Form 10-K for its fiscal year ended December 31, 2018, including the consolidated financial statements and related notes included therein.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Shenandoah Telecommunications Company (Shentel) provides a broad range of diversified communications services through its high speed, state-of-the-art network to customers in the Mid-Atlantic United States. The Company’s services include: wireless voice and data; cable video, internet and digital voice; fiber network and services; and regulated local and long distance telephone. Shentel is the exclusive personal communications service (“PCS”) Affiliate of Sprint in a multi-state area covering large portions of central and western Virginia, south-central Pennsylvania, West Virginia, and portions of Maryland, North Carolina, Kentucky, and Ohio. For more information, please visit www.shentel.com.</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Developments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Big Sandy Broadband, Inc. Acquisition: </w:t>
      </w:r>
      <w:r>
        <w:rPr>
          <w:rFonts w:ascii="Arial" w:cs="Arial" w:eastAsia="Arial" w:hAnsi="Arial"/>
          <w:sz w:val="14"/>
          <w:szCs w:val="14"/>
          <w:color w:val="auto"/>
        </w:rPr>
        <w:t>On February 28, 2019, the Company acquired the assets of Big Sandy Broadband, Inc., ("Big Sandy”), a provider of cable television, telephone and high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speed internet services in eastern Kentucky. The Company's investment will allow the Cable segment to expand its footprint into the adjacent markets of eastern Kentucky. See Note 4, </w:t>
      </w:r>
      <w:r>
        <w:rPr>
          <w:rFonts w:ascii="Arial" w:cs="Arial" w:eastAsia="Arial" w:hAnsi="Arial"/>
          <w:sz w:val="14"/>
          <w:szCs w:val="14"/>
          <w:i w:val="1"/>
          <w:iCs w:val="1"/>
          <w:color w:val="auto"/>
        </w:rPr>
        <w:t>Acquisitions,</w:t>
      </w:r>
      <w:r>
        <w:rPr>
          <w:rFonts w:ascii="Arial" w:cs="Arial" w:eastAsia="Arial" w:hAnsi="Arial"/>
          <w:sz w:val="14"/>
          <w:szCs w:val="14"/>
          <w:color w:val="auto"/>
        </w:rPr>
        <w:t xml:space="preserve"> for additional information.</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Fiber to the Home (FTTH): </w:t>
      </w:r>
      <w:r>
        <w:rPr>
          <w:rFonts w:ascii="Arial" w:cs="Arial" w:eastAsia="Arial" w:hAnsi="Arial"/>
          <w:sz w:val="14"/>
          <w:szCs w:val="14"/>
          <w:color w:val="auto"/>
        </w:rPr>
        <w:t>During the second quarter of 2019, we initiated the deployment of our new FTTH product, in our Cable segment, which leverages our existing robust fiber network and</w:t>
      </w:r>
      <w:r>
        <w:rPr>
          <w:rFonts w:ascii="Arial" w:cs="Arial" w:eastAsia="Arial" w:hAnsi="Arial"/>
          <w:sz w:val="14"/>
          <w:szCs w:val="14"/>
          <w:i w:val="1"/>
          <w:iCs w:val="1"/>
          <w:color w:val="auto"/>
        </w:rPr>
        <w:t xml:space="preserve"> </w:t>
      </w:r>
      <w:r>
        <w:rPr>
          <w:rFonts w:ascii="Arial" w:cs="Arial" w:eastAsia="Arial" w:hAnsi="Arial"/>
          <w:sz w:val="14"/>
          <w:szCs w:val="14"/>
          <w:color w:val="auto"/>
        </w:rPr>
        <w:t>commercial customer base to target certain residential areas in three initial markets within our wireless service territory. We incurred $0.8 million and $1.8 million of FTTH business development expenses in the three and nine months ending September 30, 2019, respectively. We expect to continue to incur expenses related to the initiation of FTTH in the select markets, in advance of generating revenue from this new product.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129" w:right="21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September 30, 2019 Compared with the Three Months Ended September 30, 2018</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Company's consolidated results from operations are summarized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6"/>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ind w:left="112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6"/>
                <w:szCs w:val="16"/>
                <w:color w:val="auto"/>
              </w:rPr>
            </w:pPr>
          </w:p>
        </w:tc>
      </w:tr>
      <w:tr>
        <w:trPr>
          <w:trHeight w:val="23"/>
        </w:trPr>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4"/>
        </w:trPr>
        <w:tc>
          <w:tcPr>
            <w:tcW w:w="346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Pr>
          <w:p>
            <w:pPr>
              <w:spacing w:after="0"/>
              <w:rPr>
                <w:sz w:val="15"/>
                <w:szCs w:val="15"/>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320" w:type="dxa"/>
            <w:vAlign w:val="bottom"/>
            <w:gridSpan w:val="2"/>
          </w:tcPr>
          <w:p>
            <w:pPr>
              <w:ind w:left="180"/>
              <w:spacing w:after="0"/>
              <w:rPr>
                <w:sz w:val="20"/>
                <w:szCs w:val="20"/>
                <w:color w:val="auto"/>
              </w:rPr>
            </w:pPr>
            <w:r>
              <w:rPr>
                <w:rFonts w:ascii="Arial" w:cs="Arial" w:eastAsia="Arial" w:hAnsi="Arial"/>
                <w:sz w:val="13"/>
                <w:szCs w:val="13"/>
                <w:b w:val="1"/>
                <w:bCs w:val="1"/>
                <w:color w:val="auto"/>
              </w:rPr>
              <w:t>% of Revenue</w:t>
            </w:r>
          </w:p>
        </w:tc>
        <w:tc>
          <w:tcPr>
            <w:tcW w:w="440" w:type="dxa"/>
            <w:vAlign w:val="bottom"/>
          </w:tcPr>
          <w:p>
            <w:pPr>
              <w:spacing w:after="0"/>
              <w:rPr>
                <w:sz w:val="15"/>
                <w:szCs w:val="15"/>
                <w:color w:val="auto"/>
              </w:rPr>
            </w:pPr>
          </w:p>
        </w:tc>
        <w:tc>
          <w:tcPr>
            <w:tcW w:w="900" w:type="dxa"/>
            <w:vAlign w:val="bottom"/>
          </w:tcPr>
          <w:p>
            <w:pPr>
              <w:jc w:val="right"/>
              <w:ind w:right="508"/>
              <w:spacing w:after="0"/>
              <w:rPr>
                <w:sz w:val="20"/>
                <w:szCs w:val="20"/>
                <w:color w:val="auto"/>
              </w:rPr>
            </w:pPr>
            <w:r>
              <w:rPr>
                <w:rFonts w:ascii="Arial" w:cs="Arial" w:eastAsia="Arial" w:hAnsi="Arial"/>
                <w:sz w:val="14"/>
                <w:szCs w:val="14"/>
                <w:b w:val="1"/>
                <w:bCs w:val="1"/>
                <w:color w:val="auto"/>
                <w:w w:val="96"/>
              </w:rPr>
              <w:t>2018</w:t>
            </w:r>
          </w:p>
        </w:tc>
        <w:tc>
          <w:tcPr>
            <w:tcW w:w="1200" w:type="dxa"/>
            <w:vAlign w:val="bottom"/>
          </w:tcPr>
          <w:p>
            <w:pPr>
              <w:jc w:val="right"/>
              <w:ind w:right="202"/>
              <w:spacing w:after="0"/>
              <w:rPr>
                <w:sz w:val="20"/>
                <w:szCs w:val="20"/>
                <w:color w:val="auto"/>
              </w:rPr>
            </w:pPr>
            <w:r>
              <w:rPr>
                <w:rFonts w:ascii="Arial" w:cs="Arial" w:eastAsia="Arial" w:hAnsi="Arial"/>
                <w:sz w:val="13"/>
                <w:szCs w:val="13"/>
                <w:b w:val="1"/>
                <w:bCs w:val="1"/>
                <w:color w:val="auto"/>
              </w:rPr>
              <w:t>% of Revenue</w:t>
            </w:r>
          </w:p>
        </w:tc>
        <w:tc>
          <w:tcPr>
            <w:tcW w:w="13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r>
      <w:tr>
        <w:trPr>
          <w:trHeight w:val="23"/>
        </w:trPr>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3460" w:type="dxa"/>
            <w:vAlign w:val="bottom"/>
          </w:tcPr>
          <w:p>
            <w:pPr>
              <w:ind w:left="120"/>
              <w:spacing w:after="0"/>
              <w:rPr>
                <w:sz w:val="20"/>
                <w:szCs w:val="20"/>
                <w:color w:val="auto"/>
              </w:rPr>
            </w:pPr>
            <w:r>
              <w:rPr>
                <w:rFonts w:ascii="Arial" w:cs="Arial" w:eastAsia="Arial" w:hAnsi="Arial"/>
                <w:sz w:val="14"/>
                <w:szCs w:val="14"/>
                <w:color w:val="auto"/>
              </w:rPr>
              <w:t>Operating revenue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155,152</w:t>
            </w:r>
          </w:p>
        </w:tc>
        <w:tc>
          <w:tcPr>
            <w:tcW w:w="1220" w:type="dxa"/>
            <w:vAlign w:val="bottom"/>
          </w:tcPr>
          <w:p>
            <w:pPr>
              <w:jc w:val="right"/>
              <w:spacing w:after="0"/>
              <w:rPr>
                <w:sz w:val="20"/>
                <w:szCs w:val="20"/>
                <w:color w:val="auto"/>
              </w:rPr>
            </w:pPr>
            <w:r>
              <w:rPr>
                <w:rFonts w:ascii="Arial" w:cs="Arial" w:eastAsia="Arial" w:hAnsi="Arial"/>
                <w:sz w:val="11"/>
                <w:szCs w:val="11"/>
                <w:color w:val="auto"/>
              </w:rPr>
              <w:t>100.0 %</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158,731</w:t>
            </w:r>
          </w:p>
        </w:tc>
        <w:tc>
          <w:tcPr>
            <w:tcW w:w="1200" w:type="dxa"/>
            <w:vAlign w:val="bottom"/>
          </w:tcPr>
          <w:p>
            <w:pPr>
              <w:jc w:val="right"/>
              <w:spacing w:after="0"/>
              <w:rPr>
                <w:sz w:val="20"/>
                <w:szCs w:val="20"/>
                <w:color w:val="auto"/>
              </w:rPr>
            </w:pPr>
            <w:r>
              <w:rPr>
                <w:rFonts w:ascii="Arial" w:cs="Arial" w:eastAsia="Arial" w:hAnsi="Arial"/>
                <w:sz w:val="11"/>
                <w:szCs w:val="11"/>
                <w:color w:val="auto"/>
              </w:rPr>
              <w:t>100.0 %</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(3,579)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220"/>
        </w:trPr>
        <w:tc>
          <w:tcPr>
            <w:tcW w:w="3460" w:type="dxa"/>
            <w:vAlign w:val="bottom"/>
          </w:tcPr>
          <w:p>
            <w:pPr>
              <w:ind w:left="120"/>
              <w:spacing w:after="0"/>
              <w:rPr>
                <w:sz w:val="20"/>
                <w:szCs w:val="20"/>
                <w:color w:val="auto"/>
              </w:rPr>
            </w:pPr>
            <w:r>
              <w:rPr>
                <w:rFonts w:ascii="Arial" w:cs="Arial" w:eastAsia="Arial" w:hAnsi="Arial"/>
                <w:sz w:val="14"/>
                <w:szCs w:val="14"/>
                <w:color w:val="auto"/>
              </w:rPr>
              <w:t>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129,793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83.7 %</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130,402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82.2 %</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(609)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(0.5)%</w:t>
            </w:r>
          </w:p>
        </w:tc>
      </w:tr>
      <w:tr>
        <w:trPr>
          <w:trHeight w:val="202"/>
        </w:trPr>
        <w:tc>
          <w:tcPr>
            <w:tcW w:w="3460" w:type="dxa"/>
            <w:vAlign w:val="bottom"/>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25,359</w:t>
            </w:r>
          </w:p>
        </w:tc>
        <w:tc>
          <w:tcPr>
            <w:tcW w:w="1220" w:type="dxa"/>
            <w:vAlign w:val="bottom"/>
          </w:tcPr>
          <w:p>
            <w:pPr>
              <w:jc w:val="right"/>
              <w:spacing w:after="0"/>
              <w:rPr>
                <w:sz w:val="20"/>
                <w:szCs w:val="20"/>
                <w:color w:val="auto"/>
              </w:rPr>
            </w:pPr>
            <w:r>
              <w:rPr>
                <w:rFonts w:ascii="Arial" w:cs="Arial" w:eastAsia="Arial" w:hAnsi="Arial"/>
                <w:sz w:val="11"/>
                <w:szCs w:val="11"/>
                <w:color w:val="auto"/>
              </w:rPr>
              <w:t>16.3 %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28,329</w:t>
            </w:r>
          </w:p>
        </w:tc>
        <w:tc>
          <w:tcPr>
            <w:tcW w:w="1200" w:type="dxa"/>
            <w:vAlign w:val="bottom"/>
          </w:tcPr>
          <w:p>
            <w:pPr>
              <w:jc w:val="right"/>
              <w:spacing w:after="0"/>
              <w:rPr>
                <w:sz w:val="20"/>
                <w:szCs w:val="20"/>
                <w:color w:val="auto"/>
              </w:rPr>
            </w:pPr>
            <w:r>
              <w:rPr>
                <w:rFonts w:ascii="Arial" w:cs="Arial" w:eastAsia="Arial" w:hAnsi="Arial"/>
                <w:sz w:val="11"/>
                <w:szCs w:val="11"/>
                <w:color w:val="auto"/>
              </w:rPr>
              <w:t>17.8 %</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(2,970)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474"/>
        </w:trPr>
        <w:tc>
          <w:tcPr>
            <w:tcW w:w="346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(7,505)</w:t>
            </w:r>
          </w:p>
        </w:tc>
        <w:tc>
          <w:tcPr>
            <w:tcW w:w="1220" w:type="dxa"/>
            <w:vAlign w:val="bottom"/>
          </w:tcPr>
          <w:p>
            <w:pPr>
              <w:jc w:val="right"/>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(9,001)</w:t>
            </w:r>
          </w:p>
        </w:tc>
        <w:tc>
          <w:tcPr>
            <w:tcW w:w="1200" w:type="dxa"/>
            <w:vAlign w:val="bottom"/>
          </w:tcPr>
          <w:p>
            <w:pPr>
              <w:jc w:val="right"/>
              <w:spacing w:after="0"/>
              <w:rPr>
                <w:sz w:val="20"/>
                <w:szCs w:val="20"/>
                <w:color w:val="auto"/>
              </w:rPr>
            </w:pPr>
            <w:r>
              <w:rPr>
                <w:rFonts w:ascii="Arial" w:cs="Arial" w:eastAsia="Arial" w:hAnsi="Arial"/>
                <w:sz w:val="11"/>
                <w:szCs w:val="11"/>
                <w:color w:val="auto"/>
              </w:rPr>
              <w:t>(5.7)%</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(1,496)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(16.6)%</w:t>
            </w:r>
          </w:p>
        </w:tc>
      </w:tr>
      <w:tr>
        <w:trPr>
          <w:trHeight w:val="220"/>
        </w:trPr>
        <w:tc>
          <w:tcPr>
            <w:tcW w:w="3460" w:type="dxa"/>
            <w:vAlign w:val="bottom"/>
          </w:tcPr>
          <w:p>
            <w:pPr>
              <w:ind w:left="120"/>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1,099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0.7 %</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1,054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0.7 %</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4.3 %</w:t>
            </w:r>
          </w:p>
        </w:tc>
      </w:tr>
      <w:tr>
        <w:trPr>
          <w:trHeight w:val="202"/>
        </w:trPr>
        <w:tc>
          <w:tcPr>
            <w:tcW w:w="3460" w:type="dxa"/>
            <w:vAlign w:val="bottom"/>
          </w:tcPr>
          <w:p>
            <w:pPr>
              <w:spacing w:after="0"/>
              <w:rPr>
                <w:sz w:val="20"/>
                <w:szCs w:val="20"/>
                <w:color w:val="auto"/>
              </w:rPr>
            </w:pPr>
            <w:r>
              <w:rPr>
                <w:rFonts w:ascii="Arial" w:cs="Arial" w:eastAsia="Arial" w:hAnsi="Arial"/>
                <w:sz w:val="14"/>
                <w:szCs w:val="14"/>
                <w:color w:val="auto"/>
              </w:rPr>
              <w:t>Income before taxes</w:t>
            </w:r>
          </w:p>
        </w:tc>
        <w:tc>
          <w:tcPr>
            <w:tcW w:w="3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18,953</w:t>
            </w:r>
          </w:p>
        </w:tc>
        <w:tc>
          <w:tcPr>
            <w:tcW w:w="1220" w:type="dxa"/>
            <w:vAlign w:val="bottom"/>
          </w:tcPr>
          <w:p>
            <w:pPr>
              <w:jc w:val="right"/>
              <w:spacing w:after="0"/>
              <w:rPr>
                <w:sz w:val="20"/>
                <w:szCs w:val="20"/>
                <w:color w:val="auto"/>
              </w:rPr>
            </w:pPr>
            <w:r>
              <w:rPr>
                <w:rFonts w:ascii="Arial" w:cs="Arial" w:eastAsia="Arial" w:hAnsi="Arial"/>
                <w:sz w:val="11"/>
                <w:szCs w:val="11"/>
                <w:color w:val="auto"/>
              </w:rPr>
              <w:t>12.2 %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20,382</w:t>
            </w:r>
          </w:p>
        </w:tc>
        <w:tc>
          <w:tcPr>
            <w:tcW w:w="1200" w:type="dxa"/>
            <w:vAlign w:val="bottom"/>
          </w:tcPr>
          <w:p>
            <w:pPr>
              <w:jc w:val="right"/>
              <w:spacing w:after="0"/>
              <w:rPr>
                <w:sz w:val="20"/>
                <w:szCs w:val="20"/>
                <w:color w:val="auto"/>
              </w:rPr>
            </w:pPr>
            <w:r>
              <w:rPr>
                <w:rFonts w:ascii="Arial" w:cs="Arial" w:eastAsia="Arial" w:hAnsi="Arial"/>
                <w:sz w:val="11"/>
                <w:szCs w:val="11"/>
                <w:color w:val="auto"/>
              </w:rPr>
              <w:t>12.8 %</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(1,429)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220"/>
        </w:trPr>
        <w:tc>
          <w:tcPr>
            <w:tcW w:w="3460" w:type="dxa"/>
            <w:vAlign w:val="bottom"/>
          </w:tcPr>
          <w:p>
            <w:pPr>
              <w:ind w:left="1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4,599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3.0 %</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4,848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3.1 %</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206"/>
        </w:trPr>
        <w:tc>
          <w:tcPr>
            <w:tcW w:w="346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14,354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9.3 %</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15,534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9.8 %</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(1,180)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20"/>
        </w:trPr>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revenue</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three months ended September 30, 2019, operating revenue decreased approximately $3.6 million, or 2.3%, compared with the three months ended September 30, 2018, driven by the continued dispute of the travel fee with Sprint in the Wireless segment, partially offset by growth in the Cable segment. Refer to the discussion of the results of operations for the Wireless and Cable segments, included within this quarterly report,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three months ended September 30, 2019, operating expenses decreased approximately $0.6 million, or 0.5%, compared with the three months ended September 30, 2018. The decrease was primarily due to lower advertising and depreciation expense in the Wireless segment, partially offset by the expansion of our network that resulted in higher cost of services in the Wireless and Cable segments.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21"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During the three months ended September 30, 2019, interest expense decreased approximately $1.5 million, or 16.6%, compared with the three months ended September 30, 2018. The decrease in interest expense was primarily attributable to the reduction of applicable base interest rate by 75 basis points and principal repayments, partially offset by the effect of increases in LIBOR.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net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September 30, 2019, other income remained consistent with the prior period.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three months ended September 30, 2019, income tax expense decreased approximately $0.2 million, or 5.1%, compared with the three months ended September 30, 2018, consistent with our lower income before taxes.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Our effective tax rate for the three months ended September 30, 2019 was approximately 24.3%, as compared with approximately 23.8% for the three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129"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34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722"/>
        </w:trPr>
        <w:tc>
          <w:tcPr>
            <w:tcW w:w="6580" w:type="dxa"/>
            <w:vAlign w:val="bottom"/>
            <w:gridSpan w:val="7"/>
          </w:tcPr>
          <w:p>
            <w:pPr>
              <w:spacing w:after="0"/>
              <w:rPr>
                <w:sz w:val="20"/>
                <w:szCs w:val="20"/>
                <w:color w:val="auto"/>
              </w:rPr>
            </w:pPr>
            <w:r>
              <w:rPr>
                <w:rFonts w:ascii="Arial" w:cs="Arial" w:eastAsia="Arial" w:hAnsi="Arial"/>
                <w:sz w:val="14"/>
                <w:szCs w:val="14"/>
                <w:b w:val="1"/>
                <w:bCs w:val="1"/>
                <w:color w:val="auto"/>
                <w:w w:val="98"/>
              </w:rPr>
              <w:t>Nine Months Ended September 30, 2019 Compared with the Nine Months Ended September 30, 2018</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5"/>
        </w:trPr>
        <w:tc>
          <w:tcPr>
            <w:tcW w:w="4820" w:type="dxa"/>
            <w:vAlign w:val="bottom"/>
            <w:gridSpan w:val="4"/>
          </w:tcPr>
          <w:p>
            <w:pPr>
              <w:spacing w:after="0"/>
              <w:rPr>
                <w:sz w:val="20"/>
                <w:szCs w:val="20"/>
                <w:color w:val="auto"/>
              </w:rPr>
            </w:pPr>
            <w:r>
              <w:rPr>
                <w:rFonts w:ascii="Arial" w:cs="Arial" w:eastAsia="Arial" w:hAnsi="Arial"/>
                <w:sz w:val="14"/>
                <w:szCs w:val="14"/>
                <w:color w:val="auto"/>
                <w:w w:val="96"/>
              </w:rPr>
              <w:t>The Company's consolidated results from operations are summarized as follows: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8"/>
        </w:trPr>
        <w:tc>
          <w:tcPr>
            <w:tcW w:w="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6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6"/>
        </w:trPr>
        <w:tc>
          <w:tcPr>
            <w:tcW w:w="3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ind w:left="112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6"/>
                <w:szCs w:val="16"/>
                <w:color w:val="auto"/>
              </w:rPr>
            </w:pPr>
          </w:p>
        </w:tc>
      </w:tr>
      <w:tr>
        <w:trPr>
          <w:trHeight w:val="23"/>
        </w:trPr>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4"/>
        </w:trPr>
        <w:tc>
          <w:tcPr>
            <w:tcW w:w="348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Pr>
          <w:p>
            <w:pPr>
              <w:spacing w:after="0"/>
              <w:rPr>
                <w:sz w:val="15"/>
                <w:szCs w:val="15"/>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320" w:type="dxa"/>
            <w:vAlign w:val="bottom"/>
            <w:gridSpan w:val="2"/>
          </w:tcPr>
          <w:p>
            <w:pPr>
              <w:ind w:left="180"/>
              <w:spacing w:after="0"/>
              <w:rPr>
                <w:sz w:val="20"/>
                <w:szCs w:val="20"/>
                <w:color w:val="auto"/>
              </w:rPr>
            </w:pPr>
            <w:r>
              <w:rPr>
                <w:rFonts w:ascii="Arial" w:cs="Arial" w:eastAsia="Arial" w:hAnsi="Arial"/>
                <w:sz w:val="13"/>
                <w:szCs w:val="13"/>
                <w:b w:val="1"/>
                <w:bCs w:val="1"/>
                <w:color w:val="auto"/>
              </w:rPr>
              <w:t>% of Revenue</w:t>
            </w:r>
          </w:p>
        </w:tc>
        <w:tc>
          <w:tcPr>
            <w:tcW w:w="440" w:type="dxa"/>
            <w:vAlign w:val="bottom"/>
          </w:tcPr>
          <w:p>
            <w:pPr>
              <w:spacing w:after="0"/>
              <w:rPr>
                <w:sz w:val="15"/>
                <w:szCs w:val="15"/>
                <w:color w:val="auto"/>
              </w:rPr>
            </w:pPr>
          </w:p>
        </w:tc>
        <w:tc>
          <w:tcPr>
            <w:tcW w:w="900" w:type="dxa"/>
            <w:vAlign w:val="bottom"/>
          </w:tcPr>
          <w:p>
            <w:pPr>
              <w:jc w:val="right"/>
              <w:ind w:right="508"/>
              <w:spacing w:after="0"/>
              <w:rPr>
                <w:sz w:val="20"/>
                <w:szCs w:val="20"/>
                <w:color w:val="auto"/>
              </w:rPr>
            </w:pPr>
            <w:r>
              <w:rPr>
                <w:rFonts w:ascii="Arial" w:cs="Arial" w:eastAsia="Arial" w:hAnsi="Arial"/>
                <w:sz w:val="14"/>
                <w:szCs w:val="14"/>
                <w:b w:val="1"/>
                <w:bCs w:val="1"/>
                <w:color w:val="auto"/>
                <w:w w:val="96"/>
              </w:rPr>
              <w:t>2018</w:t>
            </w:r>
          </w:p>
        </w:tc>
        <w:tc>
          <w:tcPr>
            <w:tcW w:w="1200" w:type="dxa"/>
            <w:vAlign w:val="bottom"/>
          </w:tcPr>
          <w:p>
            <w:pPr>
              <w:jc w:val="right"/>
              <w:ind w:right="202"/>
              <w:spacing w:after="0"/>
              <w:rPr>
                <w:sz w:val="20"/>
                <w:szCs w:val="20"/>
                <w:color w:val="auto"/>
              </w:rPr>
            </w:pPr>
            <w:r>
              <w:rPr>
                <w:rFonts w:ascii="Arial" w:cs="Arial" w:eastAsia="Arial" w:hAnsi="Arial"/>
                <w:sz w:val="13"/>
                <w:szCs w:val="13"/>
                <w:b w:val="1"/>
                <w:bCs w:val="1"/>
                <w:color w:val="auto"/>
              </w:rPr>
              <w:t>% of Revenue</w:t>
            </w:r>
          </w:p>
        </w:tc>
        <w:tc>
          <w:tcPr>
            <w:tcW w:w="13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r>
      <w:tr>
        <w:trPr>
          <w:trHeight w:val="23"/>
        </w:trPr>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3480" w:type="dxa"/>
            <w:vAlign w:val="bottom"/>
            <w:gridSpan w:val="2"/>
          </w:tcPr>
          <w:p>
            <w:pPr>
              <w:ind w:left="140"/>
              <w:spacing w:after="0"/>
              <w:rPr>
                <w:sz w:val="20"/>
                <w:szCs w:val="20"/>
                <w:color w:val="auto"/>
              </w:rPr>
            </w:pPr>
            <w:r>
              <w:rPr>
                <w:rFonts w:ascii="Arial" w:cs="Arial" w:eastAsia="Arial" w:hAnsi="Arial"/>
                <w:sz w:val="14"/>
                <w:szCs w:val="14"/>
                <w:color w:val="auto"/>
              </w:rPr>
              <w:t>Operating revenue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472,909</w:t>
            </w:r>
          </w:p>
        </w:tc>
        <w:tc>
          <w:tcPr>
            <w:tcW w:w="1220" w:type="dxa"/>
            <w:vAlign w:val="bottom"/>
          </w:tcPr>
          <w:p>
            <w:pPr>
              <w:jc w:val="right"/>
              <w:spacing w:after="0"/>
              <w:rPr>
                <w:sz w:val="20"/>
                <w:szCs w:val="20"/>
                <w:color w:val="auto"/>
              </w:rPr>
            </w:pPr>
            <w:r>
              <w:rPr>
                <w:rFonts w:ascii="Arial" w:cs="Arial" w:eastAsia="Arial" w:hAnsi="Arial"/>
                <w:sz w:val="11"/>
                <w:szCs w:val="11"/>
                <w:color w:val="auto"/>
              </w:rPr>
              <w:t>100.0 %</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469,370</w:t>
            </w:r>
          </w:p>
        </w:tc>
        <w:tc>
          <w:tcPr>
            <w:tcW w:w="1200" w:type="dxa"/>
            <w:vAlign w:val="bottom"/>
          </w:tcPr>
          <w:p>
            <w:pPr>
              <w:jc w:val="right"/>
              <w:spacing w:after="0"/>
              <w:rPr>
                <w:sz w:val="20"/>
                <w:szCs w:val="20"/>
                <w:color w:val="auto"/>
              </w:rPr>
            </w:pPr>
            <w:r>
              <w:rPr>
                <w:rFonts w:ascii="Arial" w:cs="Arial" w:eastAsia="Arial" w:hAnsi="Arial"/>
                <w:sz w:val="11"/>
                <w:szCs w:val="11"/>
                <w:color w:val="auto"/>
              </w:rPr>
              <w:t>100.0 %</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3,539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0.8 %</w:t>
            </w:r>
          </w:p>
        </w:tc>
      </w:tr>
      <w:tr>
        <w:trPr>
          <w:trHeight w:val="220"/>
        </w:trPr>
        <w:tc>
          <w:tcPr>
            <w:tcW w:w="3480" w:type="dxa"/>
            <w:vAlign w:val="bottom"/>
            <w:gridSpan w:val="2"/>
          </w:tcPr>
          <w:p>
            <w:pPr>
              <w:ind w:left="140"/>
              <w:spacing w:after="0"/>
              <w:rPr>
                <w:sz w:val="20"/>
                <w:szCs w:val="20"/>
                <w:color w:val="auto"/>
              </w:rPr>
            </w:pPr>
            <w:r>
              <w:rPr>
                <w:rFonts w:ascii="Arial" w:cs="Arial" w:eastAsia="Arial" w:hAnsi="Arial"/>
                <w:sz w:val="14"/>
                <w:szCs w:val="14"/>
                <w:color w:val="auto"/>
              </w:rPr>
              <w:t>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398,743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84.3 %</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403,118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85.9 %</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(4,375)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02"/>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74,166</w:t>
            </w:r>
          </w:p>
        </w:tc>
        <w:tc>
          <w:tcPr>
            <w:tcW w:w="1220" w:type="dxa"/>
            <w:vAlign w:val="bottom"/>
          </w:tcPr>
          <w:p>
            <w:pPr>
              <w:jc w:val="right"/>
              <w:spacing w:after="0"/>
              <w:rPr>
                <w:sz w:val="20"/>
                <w:szCs w:val="20"/>
                <w:color w:val="auto"/>
              </w:rPr>
            </w:pPr>
            <w:r>
              <w:rPr>
                <w:rFonts w:ascii="Arial" w:cs="Arial" w:eastAsia="Arial" w:hAnsi="Arial"/>
                <w:sz w:val="11"/>
                <w:szCs w:val="11"/>
                <w:color w:val="auto"/>
              </w:rPr>
              <w:t>15.7 %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66,252</w:t>
            </w:r>
          </w:p>
        </w:tc>
        <w:tc>
          <w:tcPr>
            <w:tcW w:w="1200" w:type="dxa"/>
            <w:vAlign w:val="bottom"/>
          </w:tcPr>
          <w:p>
            <w:pPr>
              <w:jc w:val="right"/>
              <w:spacing w:after="0"/>
              <w:rPr>
                <w:sz w:val="20"/>
                <w:szCs w:val="20"/>
                <w:color w:val="auto"/>
              </w:rPr>
            </w:pPr>
            <w:r>
              <w:rPr>
                <w:rFonts w:ascii="Arial" w:cs="Arial" w:eastAsia="Arial" w:hAnsi="Arial"/>
                <w:sz w:val="11"/>
                <w:szCs w:val="11"/>
                <w:color w:val="auto"/>
              </w:rPr>
              <w:t>14.1 %</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7,914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11.9 %</w:t>
            </w:r>
          </w:p>
        </w:tc>
      </w:tr>
      <w:tr>
        <w:trPr>
          <w:trHeight w:val="474"/>
        </w:trPr>
        <w:tc>
          <w:tcPr>
            <w:tcW w:w="3480" w:type="dxa"/>
            <w:vAlign w:val="bottom"/>
            <w:gridSpan w:val="2"/>
          </w:tcPr>
          <w:p>
            <w:pPr>
              <w:ind w:left="14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(22,981)</w:t>
            </w:r>
          </w:p>
        </w:tc>
        <w:tc>
          <w:tcPr>
            <w:tcW w:w="122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(27,184)</w:t>
            </w:r>
          </w:p>
        </w:tc>
        <w:tc>
          <w:tcPr>
            <w:tcW w:w="1200" w:type="dxa"/>
            <w:vAlign w:val="bottom"/>
          </w:tcPr>
          <w:p>
            <w:pPr>
              <w:jc w:val="right"/>
              <w:spacing w:after="0"/>
              <w:rPr>
                <w:sz w:val="20"/>
                <w:szCs w:val="20"/>
                <w:color w:val="auto"/>
              </w:rPr>
            </w:pPr>
            <w:r>
              <w:rPr>
                <w:rFonts w:ascii="Arial" w:cs="Arial" w:eastAsia="Arial" w:hAnsi="Arial"/>
                <w:sz w:val="11"/>
                <w:szCs w:val="11"/>
                <w:color w:val="auto"/>
              </w:rPr>
              <w:t>(5.8)%</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(4,203)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(15.5)%</w:t>
            </w:r>
          </w:p>
        </w:tc>
      </w:tr>
      <w:tr>
        <w:trPr>
          <w:trHeight w:val="220"/>
        </w:trPr>
        <w:tc>
          <w:tcPr>
            <w:tcW w:w="3480" w:type="dxa"/>
            <w:vAlign w:val="bottom"/>
            <w:gridSpan w:val="2"/>
          </w:tcPr>
          <w:p>
            <w:pPr>
              <w:ind w:left="140"/>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3,562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0.8 %</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2,882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0.6 %</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23.6 %</w:t>
            </w:r>
          </w:p>
        </w:tc>
      </w:tr>
      <w:tr>
        <w:trPr>
          <w:trHeight w:val="202"/>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Income before taxes</w:t>
            </w:r>
          </w:p>
        </w:tc>
        <w:tc>
          <w:tcPr>
            <w:tcW w:w="3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54,747</w:t>
            </w:r>
          </w:p>
        </w:tc>
        <w:tc>
          <w:tcPr>
            <w:tcW w:w="1220" w:type="dxa"/>
            <w:vAlign w:val="bottom"/>
          </w:tcPr>
          <w:p>
            <w:pPr>
              <w:jc w:val="right"/>
              <w:spacing w:after="0"/>
              <w:rPr>
                <w:sz w:val="20"/>
                <w:szCs w:val="20"/>
                <w:color w:val="auto"/>
              </w:rPr>
            </w:pPr>
            <w:r>
              <w:rPr>
                <w:rFonts w:ascii="Arial" w:cs="Arial" w:eastAsia="Arial" w:hAnsi="Arial"/>
                <w:sz w:val="11"/>
                <w:szCs w:val="11"/>
                <w:color w:val="auto"/>
              </w:rPr>
              <w:t>11.6 %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41,950</w:t>
            </w:r>
          </w:p>
        </w:tc>
        <w:tc>
          <w:tcPr>
            <w:tcW w:w="1200" w:type="dxa"/>
            <w:vAlign w:val="bottom"/>
          </w:tcPr>
          <w:p>
            <w:pPr>
              <w:jc w:val="right"/>
              <w:spacing w:after="0"/>
              <w:rPr>
                <w:sz w:val="20"/>
                <w:szCs w:val="20"/>
                <w:color w:val="auto"/>
              </w:rPr>
            </w:pPr>
            <w:r>
              <w:rPr>
                <w:rFonts w:ascii="Arial" w:cs="Arial" w:eastAsia="Arial" w:hAnsi="Arial"/>
                <w:sz w:val="11"/>
                <w:szCs w:val="11"/>
                <w:color w:val="auto"/>
              </w:rPr>
              <w:t>8.9 %</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12,797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30.5 %</w:t>
            </w:r>
          </w:p>
        </w:tc>
      </w:tr>
      <w:tr>
        <w:trPr>
          <w:trHeight w:val="220"/>
        </w:trPr>
        <w:tc>
          <w:tcPr>
            <w:tcW w:w="3480" w:type="dxa"/>
            <w:vAlign w:val="bottom"/>
            <w:gridSpan w:val="2"/>
          </w:tcPr>
          <w:p>
            <w:pPr>
              <w:ind w:left="14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13,333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2.8 %</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10,207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2.2 %</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3,126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30.6 %</w:t>
            </w:r>
          </w:p>
        </w:tc>
      </w:tr>
      <w:tr>
        <w:trPr>
          <w:trHeight w:val="20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41,414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8.8 %</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31,743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6.8 %</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9,671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30.5 %</w:t>
            </w:r>
          </w:p>
        </w:tc>
      </w:tr>
      <w:tr>
        <w:trPr>
          <w:trHeight w:val="20"/>
        </w:trPr>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revenue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nine months ended September 30, 2019, operating revenue increased approximately $3.5 million, or 0.8%, compared with the nine months ended September 30, 2018, driven by growth in the Cable segment and was partially offset by a decline in Wireless segment revenue due to the continued dispute of the travel fee with Sprint.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nine months ended September 30, 2019, operating expenses decreased approximately $4.4 million, or 1.1%, compared with the nine months ended September 30, 2018. The decrease was primarily due to a $5.4 million decline in Wireless depreciation and amortization expense as certain assets acquired from nTelos became fully depreciated.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21"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During the nine months ended September 30, 2019, interest expense decreased approximately $4.2 million, or 15.5%, compared with the nine months ended September 30, 2018. The decrease in interest expense was primarily attributable to the reduction of applicable base interest rate by 75 basis points and principal repayments, partially offset by the effect of increases in LIBOR.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net</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nine months ended September 30, 2019, other income, net increased approximately $0.7 million, or 23.6%, compared with the nine months ended September 30, 2018. The increase in other income, net was primarily due to an increase in interest and dividend income on our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nine months ended September 30, 2019, income tax expense increased approximately $3.1 million, or 30.6%, compared with the nine months ended September 30, 2018. The increase was consistent with the increase in our income before taxes.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Our effective tax rate was 24.4%, consistent with the prior year period.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119" w:right="21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Wireless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gridSpan w:val="2"/>
          </w:tcPr>
          <w:p>
            <w:pPr>
              <w:spacing w:after="0"/>
              <w:rPr>
                <w:sz w:val="20"/>
                <w:szCs w:val="20"/>
                <w:color w:val="auto"/>
              </w:rPr>
            </w:pPr>
            <w:r>
              <w:rPr>
                <w:rFonts w:ascii="Arial" w:cs="Arial" w:eastAsia="Arial" w:hAnsi="Arial"/>
                <w:sz w:val="14"/>
                <w:szCs w:val="14"/>
                <w:color w:val="auto"/>
              </w:rPr>
              <w:t>The following tables indicate selected operating statistics of Wireless, including Sprint subscribers: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88"/>
        </w:trPr>
        <w:tc>
          <w:tcPr>
            <w:tcW w:w="5160" w:type="dxa"/>
            <w:vAlign w:val="bottom"/>
          </w:tcPr>
          <w:p>
            <w:pPr>
              <w:spacing w:after="0"/>
              <w:rPr>
                <w:sz w:val="24"/>
                <w:szCs w:val="24"/>
                <w:color w:val="auto"/>
              </w:rPr>
            </w:pPr>
          </w:p>
        </w:tc>
        <w:tc>
          <w:tcPr>
            <w:tcW w:w="1480" w:type="dxa"/>
            <w:vAlign w:val="bottom"/>
          </w:tcPr>
          <w:p>
            <w:pPr>
              <w:ind w:left="580"/>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jc w:val="right"/>
              <w:ind w:right="528"/>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6640" w:type="dxa"/>
            <w:vAlign w:val="bottom"/>
            <w:gridSpan w:val="2"/>
          </w:tcPr>
          <w:p>
            <w:pPr>
              <w:ind w:left="604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jc w:val="right"/>
              <w:ind w:right="808"/>
              <w:spacing w:after="0"/>
              <w:rPr>
                <w:sz w:val="20"/>
                <w:szCs w:val="20"/>
                <w:color w:val="auto"/>
              </w:rPr>
            </w:pPr>
            <w:r>
              <w:rPr>
                <w:rFonts w:ascii="Arial" w:cs="Arial" w:eastAsia="Arial" w:hAnsi="Arial"/>
                <w:sz w:val="14"/>
                <w:szCs w:val="14"/>
                <w:b w:val="1"/>
                <w:bCs w:val="1"/>
                <w:color w:val="auto"/>
              </w:rPr>
              <w:t>2018</w:t>
            </w:r>
          </w:p>
        </w:tc>
      </w:tr>
      <w:tr>
        <w:trPr>
          <w:trHeight w:val="23"/>
        </w:trPr>
        <w:tc>
          <w:tcPr>
            <w:tcW w:w="5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184"/>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Retail PCS subscribers - postpaid</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w w:val="90"/>
              </w:rPr>
              <w:t>823,417</w:t>
            </w:r>
          </w:p>
        </w:tc>
        <w:tc>
          <w:tcPr>
            <w:tcW w:w="80" w:type="dxa"/>
            <w:vAlign w:val="bottom"/>
          </w:tcPr>
          <w:p>
            <w:pPr>
              <w:spacing w:after="0"/>
              <w:rPr>
                <w:sz w:val="15"/>
                <w:szCs w:val="15"/>
                <w:color w:val="auto"/>
              </w:rPr>
            </w:pP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785,537</w:t>
            </w: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Retail PCS subscribers - prepaid</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w w:val="90"/>
              </w:rPr>
              <w:t>271,551</w:t>
            </w:r>
          </w:p>
        </w:tc>
        <w:tc>
          <w:tcPr>
            <w:tcW w:w="80" w:type="dxa"/>
            <w:vAlign w:val="bottom"/>
          </w:tcPr>
          <w:p>
            <w:pPr>
              <w:spacing w:after="0"/>
              <w:rPr>
                <w:sz w:val="18"/>
                <w:szCs w:val="18"/>
                <w:color w:val="auto"/>
              </w:rPr>
            </w:pP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255,462</w:t>
            </w: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PCS market POPS (000) (1)</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7,227</w:t>
            </w:r>
          </w:p>
        </w:tc>
        <w:tc>
          <w:tcPr>
            <w:tcW w:w="80" w:type="dxa"/>
            <w:vAlign w:val="bottom"/>
          </w:tcPr>
          <w:p>
            <w:pPr>
              <w:spacing w:after="0"/>
              <w:rPr>
                <w:sz w:val="18"/>
                <w:szCs w:val="18"/>
                <w:color w:val="auto"/>
              </w:rPr>
            </w:pP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7,024</w:t>
            </w: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PCS covered POPS (000) (1)</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6,294</w:t>
            </w:r>
          </w:p>
        </w:tc>
        <w:tc>
          <w:tcPr>
            <w:tcW w:w="80" w:type="dxa"/>
            <w:vAlign w:val="bottom"/>
          </w:tcPr>
          <w:p>
            <w:pPr>
              <w:spacing w:after="0"/>
              <w:rPr>
                <w:sz w:val="18"/>
                <w:szCs w:val="18"/>
                <w:color w:val="auto"/>
              </w:rPr>
            </w:pP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5,921</w:t>
            </w: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CDMA base stations (sites)</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1,920</w:t>
            </w:r>
          </w:p>
        </w:tc>
        <w:tc>
          <w:tcPr>
            <w:tcW w:w="80" w:type="dxa"/>
            <w:vAlign w:val="bottom"/>
          </w:tcPr>
          <w:p>
            <w:pPr>
              <w:spacing w:after="0"/>
              <w:rPr>
                <w:sz w:val="18"/>
                <w:szCs w:val="18"/>
                <w:color w:val="auto"/>
              </w:rPr>
            </w:pP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1,788</w:t>
            </w: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Towers owned</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8"/>
                <w:szCs w:val="18"/>
                <w:color w:val="auto"/>
              </w:rPr>
            </w:pP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193</w:t>
            </w: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Cell site leases</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8"/>
                <w:szCs w:val="18"/>
                <w:color w:val="auto"/>
              </w:rPr>
            </w:pP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192</w:t>
            </w:r>
          </w:p>
        </w:tc>
      </w:tr>
    </w:tbl>
    <w:p>
      <w:pPr>
        <w:spacing w:after="0" w:line="234"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40" w:type="dxa"/>
            <w:vAlign w:val="bottom"/>
            <w:gridSpan w:val="4"/>
          </w:tcPr>
          <w:p>
            <w:pPr>
              <w:jc w:val="center"/>
              <w:ind w:right="808"/>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4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Pr>
          <w:p>
            <w:pPr>
              <w:spacing w:after="0"/>
              <w:rPr>
                <w:sz w:val="16"/>
                <w:szCs w:val="16"/>
                <w:color w:val="auto"/>
              </w:rPr>
            </w:pPr>
          </w:p>
        </w:tc>
      </w:tr>
      <w:tr>
        <w:trPr>
          <w:trHeight w:val="23"/>
        </w:trPr>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4"/>
        </w:trPr>
        <w:tc>
          <w:tcPr>
            <w:tcW w:w="5860" w:type="dxa"/>
            <w:vAlign w:val="bottom"/>
            <w:gridSpan w:val="2"/>
          </w:tcPr>
          <w:p>
            <w:pPr>
              <w:ind w:left="5560"/>
              <w:spacing w:after="0"/>
              <w:rPr>
                <w:sz w:val="20"/>
                <w:szCs w:val="20"/>
                <w:color w:val="auto"/>
              </w:rPr>
            </w:pPr>
            <w:r>
              <w:rPr>
                <w:rFonts w:ascii="Arial" w:cs="Arial" w:eastAsia="Arial" w:hAnsi="Arial"/>
                <w:sz w:val="14"/>
                <w:szCs w:val="14"/>
                <w:b w:val="1"/>
                <w:bCs w:val="1"/>
                <w:color w:val="auto"/>
                <w:w w:val="89"/>
              </w:rPr>
              <w:t>2019</w:t>
            </w:r>
          </w:p>
        </w:tc>
        <w:tc>
          <w:tcPr>
            <w:tcW w:w="1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w w:val="99"/>
              </w:rPr>
              <w:t>2018 (2)</w:t>
            </w:r>
          </w:p>
        </w:tc>
      </w:tr>
      <w:tr>
        <w:trPr>
          <w:trHeight w:val="23"/>
        </w:trPr>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4"/>
        </w:trPr>
        <w:tc>
          <w:tcPr>
            <w:tcW w:w="5860" w:type="dxa"/>
            <w:vAlign w:val="bottom"/>
            <w:gridSpan w:val="2"/>
          </w:tcPr>
          <w:p>
            <w:pPr>
              <w:spacing w:after="0"/>
              <w:rPr>
                <w:sz w:val="20"/>
                <w:szCs w:val="20"/>
                <w:color w:val="auto"/>
              </w:rPr>
            </w:pPr>
            <w:r>
              <w:rPr>
                <w:rFonts w:ascii="Arial" w:cs="Arial" w:eastAsia="Arial" w:hAnsi="Arial"/>
                <w:sz w:val="14"/>
                <w:szCs w:val="14"/>
                <w:color w:val="auto"/>
              </w:rPr>
              <w:t>Gross PCS subscriber additions - postpaid</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w w:val="97"/>
              </w:rPr>
              <w:t>60,477</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7"/>
              </w:rPr>
              <w:t>48,111</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w w:val="86"/>
              </w:rPr>
              <w:t>164,123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135,817</w:t>
            </w:r>
          </w:p>
        </w:tc>
      </w:tr>
      <w:tr>
        <w:trPr>
          <w:trHeight w:val="216"/>
        </w:trPr>
        <w:tc>
          <w:tcPr>
            <w:tcW w:w="5860" w:type="dxa"/>
            <w:vAlign w:val="bottom"/>
            <w:gridSpan w:val="2"/>
          </w:tcPr>
          <w:p>
            <w:pPr>
              <w:spacing w:after="0"/>
              <w:rPr>
                <w:sz w:val="20"/>
                <w:szCs w:val="20"/>
                <w:color w:val="auto"/>
              </w:rPr>
            </w:pPr>
            <w:r>
              <w:rPr>
                <w:rFonts w:ascii="Arial" w:cs="Arial" w:eastAsia="Arial" w:hAnsi="Arial"/>
                <w:sz w:val="14"/>
                <w:szCs w:val="14"/>
                <w:color w:val="auto"/>
              </w:rPr>
              <w:t>Net PCS subscriber additions - postpaid</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w w:val="97"/>
              </w:rPr>
              <w:t>11,698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4,879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28,241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48,940</w:t>
            </w:r>
          </w:p>
        </w:tc>
      </w:tr>
      <w:tr>
        <w:trPr>
          <w:trHeight w:val="216"/>
        </w:trPr>
        <w:tc>
          <w:tcPr>
            <w:tcW w:w="5860" w:type="dxa"/>
            <w:vAlign w:val="bottom"/>
            <w:gridSpan w:val="2"/>
          </w:tcPr>
          <w:p>
            <w:pPr>
              <w:spacing w:after="0"/>
              <w:rPr>
                <w:sz w:val="20"/>
                <w:szCs w:val="20"/>
                <w:color w:val="auto"/>
              </w:rPr>
            </w:pPr>
            <w:r>
              <w:rPr>
                <w:rFonts w:ascii="Arial" w:cs="Arial" w:eastAsia="Arial" w:hAnsi="Arial"/>
                <w:sz w:val="14"/>
                <w:szCs w:val="14"/>
                <w:color w:val="auto"/>
              </w:rPr>
              <w:t>Gross PCS subscriber additions - prepaid</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w w:val="97"/>
              </w:rPr>
              <w:t>38,014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7"/>
              </w:rPr>
              <w:t>38,486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w w:val="86"/>
              </w:rPr>
              <w:t>112,746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112,437</w:t>
            </w:r>
          </w:p>
        </w:tc>
      </w:tr>
      <w:tr>
        <w:trPr>
          <w:trHeight w:val="216"/>
        </w:trPr>
        <w:tc>
          <w:tcPr>
            <w:tcW w:w="5860" w:type="dxa"/>
            <w:vAlign w:val="bottom"/>
            <w:gridSpan w:val="2"/>
          </w:tcPr>
          <w:p>
            <w:pPr>
              <w:spacing w:after="0"/>
              <w:rPr>
                <w:sz w:val="20"/>
                <w:szCs w:val="20"/>
                <w:color w:val="auto"/>
              </w:rPr>
            </w:pPr>
            <w:r>
              <w:rPr>
                <w:rFonts w:ascii="Arial" w:cs="Arial" w:eastAsia="Arial" w:hAnsi="Arial"/>
                <w:sz w:val="14"/>
                <w:szCs w:val="14"/>
                <w:color w:val="auto"/>
              </w:rPr>
              <w:t>Net PCS subscriber additions - prepaid</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2,512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3,408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12,847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29,640</w:t>
            </w:r>
          </w:p>
        </w:tc>
      </w:tr>
      <w:tr>
        <w:trPr>
          <w:trHeight w:val="216"/>
        </w:trPr>
        <w:tc>
          <w:tcPr>
            <w:tcW w:w="5860" w:type="dxa"/>
            <w:vAlign w:val="bottom"/>
            <w:gridSpan w:val="2"/>
          </w:tcPr>
          <w:p>
            <w:pPr>
              <w:spacing w:after="0"/>
              <w:rPr>
                <w:sz w:val="20"/>
                <w:szCs w:val="20"/>
                <w:color w:val="auto"/>
              </w:rPr>
            </w:pPr>
            <w:r>
              <w:rPr>
                <w:rFonts w:ascii="Arial" w:cs="Arial" w:eastAsia="Arial" w:hAnsi="Arial"/>
                <w:sz w:val="14"/>
                <w:szCs w:val="14"/>
                <w:color w:val="auto"/>
              </w:rPr>
              <w:t>PCS average monthly retail churn % - postpaid</w:t>
            </w:r>
          </w:p>
        </w:tc>
        <w:tc>
          <w:tcPr>
            <w:tcW w:w="60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16"/>
        </w:trPr>
        <w:tc>
          <w:tcPr>
            <w:tcW w:w="5860" w:type="dxa"/>
            <w:vAlign w:val="bottom"/>
            <w:gridSpan w:val="2"/>
          </w:tcPr>
          <w:p>
            <w:pPr>
              <w:spacing w:after="0"/>
              <w:rPr>
                <w:sz w:val="20"/>
                <w:szCs w:val="20"/>
                <w:color w:val="auto"/>
              </w:rPr>
            </w:pPr>
            <w:r>
              <w:rPr>
                <w:rFonts w:ascii="Arial" w:cs="Arial" w:eastAsia="Arial" w:hAnsi="Arial"/>
                <w:sz w:val="14"/>
                <w:szCs w:val="14"/>
                <w:color w:val="auto"/>
              </w:rPr>
              <w:t>PCS average monthly retail churn % - prepaid</w:t>
            </w:r>
          </w:p>
        </w:tc>
        <w:tc>
          <w:tcPr>
            <w:tcW w:w="60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4.42%</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_______________________________________________________</w:t>
      </w:r>
    </w:p>
    <w:p>
      <w:pPr>
        <w:ind w:left="520" w:hanging="255"/>
        <w:spacing w:after="0" w:line="245" w:lineRule="auto"/>
        <w:tabs>
          <w:tab w:leader="none" w:pos="520" w:val="left"/>
        </w:tabs>
        <w:numPr>
          <w:ilvl w:val="0"/>
          <w:numId w:val="4"/>
        </w:numPr>
        <w:rPr>
          <w:rFonts w:ascii="Arial" w:cs="Arial" w:eastAsia="Arial" w:hAnsi="Arial"/>
          <w:sz w:val="11"/>
          <w:szCs w:val="11"/>
          <w:color w:val="auto"/>
        </w:rPr>
      </w:pPr>
      <w:r>
        <w:rPr>
          <w:rFonts w:ascii="Arial" w:cs="Arial" w:eastAsia="Arial" w:hAnsi="Arial"/>
          <w:sz w:val="11"/>
          <w:szCs w:val="11"/>
          <w:color w:val="auto"/>
        </w:rPr>
        <w:t>"POPS" refers to the estimated population of a given geographic area. Market POPS are those within a market area which we are authorized to serve under our Sprint PCS affiliate agreement, and Covered POPS are those covered by our network. The data source for POPS is U.S. census data.</w:t>
      </w:r>
    </w:p>
    <w:p>
      <w:pPr>
        <w:ind w:left="520" w:hanging="255"/>
        <w:spacing w:after="0"/>
        <w:tabs>
          <w:tab w:leader="none" w:pos="520" w:val="left"/>
        </w:tabs>
        <w:numPr>
          <w:ilvl w:val="0"/>
          <w:numId w:val="4"/>
        </w:numPr>
        <w:rPr>
          <w:rFonts w:ascii="Arial" w:cs="Arial" w:eastAsia="Arial" w:hAnsi="Arial"/>
          <w:sz w:val="11"/>
          <w:szCs w:val="11"/>
          <w:color w:val="auto"/>
        </w:rPr>
      </w:pPr>
      <w:r>
        <w:rPr>
          <w:rFonts w:ascii="Arial" w:cs="Arial" w:eastAsia="Arial" w:hAnsi="Arial"/>
          <w:sz w:val="11"/>
          <w:szCs w:val="11"/>
          <w:color w:val="auto"/>
        </w:rPr>
        <w:t>Beginning February 1, 2018 includes Richmond Expansion Area except for gross PCS subscriber additions.</w:t>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Except for gross additions, the subscriber statistics above include the Richmond Expansion Area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5"/>
              </w:rPr>
              <w:t>February 1,</w:t>
            </w:r>
          </w:p>
        </w:tc>
      </w:tr>
      <w:tr>
        <w:trPr>
          <w:trHeight w:val="186"/>
        </w:trPr>
        <w:tc>
          <w:tcPr>
            <w:tcW w:w="494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3"/>
        </w:trPr>
        <w:tc>
          <w:tcPr>
            <w:tcW w:w="49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84"/>
        </w:trPr>
        <w:tc>
          <w:tcPr>
            <w:tcW w:w="49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Expansion Area</w:t>
            </w:r>
          </w:p>
        </w:tc>
      </w:tr>
      <w:tr>
        <w:trPr>
          <w:trHeight w:val="23"/>
        </w:trPr>
        <w:tc>
          <w:tcPr>
            <w:tcW w:w="49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84"/>
        </w:trPr>
        <w:tc>
          <w:tcPr>
            <w:tcW w:w="4940" w:type="dxa"/>
            <w:vAlign w:val="bottom"/>
          </w:tcPr>
          <w:p>
            <w:pPr>
              <w:spacing w:after="0"/>
              <w:rPr>
                <w:sz w:val="20"/>
                <w:szCs w:val="20"/>
                <w:color w:val="auto"/>
              </w:rPr>
            </w:pPr>
            <w:r>
              <w:rPr>
                <w:rFonts w:ascii="Arial" w:cs="Arial" w:eastAsia="Arial" w:hAnsi="Arial"/>
                <w:sz w:val="14"/>
                <w:szCs w:val="14"/>
                <w:color w:val="auto"/>
              </w:rPr>
              <w:t>PCS subscribers - postpaid</w:t>
            </w:r>
          </w:p>
        </w:tc>
        <w:tc>
          <w:tcPr>
            <w:tcW w:w="2020" w:type="dxa"/>
            <w:vAlign w:val="bottom"/>
          </w:tcPr>
          <w:p>
            <w:pPr>
              <w:jc w:val="right"/>
              <w:spacing w:after="0"/>
              <w:rPr>
                <w:sz w:val="20"/>
                <w:szCs w:val="20"/>
                <w:color w:val="auto"/>
              </w:rPr>
            </w:pPr>
            <w:r>
              <w:rPr>
                <w:rFonts w:ascii="Arial" w:cs="Arial" w:eastAsia="Arial" w:hAnsi="Arial"/>
                <w:sz w:val="14"/>
                <w:szCs w:val="14"/>
                <w:color w:val="auto"/>
              </w:rPr>
              <w:t>38,343</w:t>
            </w:r>
          </w:p>
        </w:tc>
      </w:tr>
      <w:tr>
        <w:trPr>
          <w:trHeight w:val="216"/>
        </w:trPr>
        <w:tc>
          <w:tcPr>
            <w:tcW w:w="4940" w:type="dxa"/>
            <w:vAlign w:val="bottom"/>
          </w:tcPr>
          <w:p>
            <w:pPr>
              <w:spacing w:after="0"/>
              <w:rPr>
                <w:sz w:val="20"/>
                <w:szCs w:val="20"/>
                <w:color w:val="auto"/>
              </w:rPr>
            </w:pPr>
            <w:r>
              <w:rPr>
                <w:rFonts w:ascii="Arial" w:cs="Arial" w:eastAsia="Arial" w:hAnsi="Arial"/>
                <w:sz w:val="14"/>
                <w:szCs w:val="14"/>
                <w:color w:val="auto"/>
              </w:rPr>
              <w:t>PCS subscribers - prepaid</w:t>
            </w:r>
          </w:p>
        </w:tc>
        <w:tc>
          <w:tcPr>
            <w:tcW w:w="2020" w:type="dxa"/>
            <w:vAlign w:val="bottom"/>
          </w:tcPr>
          <w:p>
            <w:pPr>
              <w:jc w:val="right"/>
              <w:spacing w:after="0"/>
              <w:rPr>
                <w:sz w:val="20"/>
                <w:szCs w:val="20"/>
                <w:color w:val="auto"/>
              </w:rPr>
            </w:pPr>
            <w:r>
              <w:rPr>
                <w:rFonts w:ascii="Arial" w:cs="Arial" w:eastAsia="Arial" w:hAnsi="Arial"/>
                <w:sz w:val="14"/>
                <w:szCs w:val="14"/>
                <w:color w:val="auto"/>
              </w:rPr>
              <w:t>15,691</w:t>
            </w:r>
          </w:p>
        </w:tc>
      </w:tr>
      <w:tr>
        <w:trPr>
          <w:trHeight w:val="216"/>
        </w:trPr>
        <w:tc>
          <w:tcPr>
            <w:tcW w:w="4940" w:type="dxa"/>
            <w:vAlign w:val="bottom"/>
          </w:tcPr>
          <w:p>
            <w:pPr>
              <w:spacing w:after="0"/>
              <w:rPr>
                <w:sz w:val="20"/>
                <w:szCs w:val="20"/>
                <w:color w:val="auto"/>
              </w:rPr>
            </w:pPr>
            <w:r>
              <w:rPr>
                <w:rFonts w:ascii="Arial" w:cs="Arial" w:eastAsia="Arial" w:hAnsi="Arial"/>
                <w:sz w:val="14"/>
                <w:szCs w:val="14"/>
                <w:color w:val="auto"/>
              </w:rPr>
              <w:t>Acquired PCS market POPS (000)</w:t>
            </w:r>
          </w:p>
        </w:tc>
        <w:tc>
          <w:tcPr>
            <w:tcW w:w="2020" w:type="dxa"/>
            <w:vAlign w:val="bottom"/>
          </w:tcPr>
          <w:p>
            <w:pPr>
              <w:jc w:val="right"/>
              <w:spacing w:after="0"/>
              <w:rPr>
                <w:sz w:val="20"/>
                <w:szCs w:val="20"/>
                <w:color w:val="auto"/>
              </w:rPr>
            </w:pPr>
            <w:r>
              <w:rPr>
                <w:rFonts w:ascii="Arial" w:cs="Arial" w:eastAsia="Arial" w:hAnsi="Arial"/>
                <w:sz w:val="14"/>
                <w:szCs w:val="14"/>
                <w:color w:val="auto"/>
              </w:rPr>
              <w:t>1,082</w:t>
            </w:r>
          </w:p>
        </w:tc>
      </w:tr>
      <w:tr>
        <w:trPr>
          <w:trHeight w:val="216"/>
        </w:trPr>
        <w:tc>
          <w:tcPr>
            <w:tcW w:w="4940" w:type="dxa"/>
            <w:vAlign w:val="bottom"/>
          </w:tcPr>
          <w:p>
            <w:pPr>
              <w:spacing w:after="0"/>
              <w:rPr>
                <w:sz w:val="20"/>
                <w:szCs w:val="20"/>
                <w:color w:val="auto"/>
              </w:rPr>
            </w:pPr>
            <w:r>
              <w:rPr>
                <w:rFonts w:ascii="Arial" w:cs="Arial" w:eastAsia="Arial" w:hAnsi="Arial"/>
                <w:sz w:val="14"/>
                <w:szCs w:val="14"/>
                <w:color w:val="auto"/>
              </w:rPr>
              <w:t>Acquired PCS covered POPS (000)</w:t>
            </w:r>
          </w:p>
        </w:tc>
        <w:tc>
          <w:tcPr>
            <w:tcW w:w="2020" w:type="dxa"/>
            <w:vAlign w:val="bottom"/>
          </w:tcPr>
          <w:p>
            <w:pPr>
              <w:jc w:val="right"/>
              <w:spacing w:after="0"/>
              <w:rPr>
                <w:sz w:val="20"/>
                <w:szCs w:val="20"/>
                <w:color w:val="auto"/>
              </w:rPr>
            </w:pPr>
            <w:r>
              <w:rPr>
                <w:rFonts w:ascii="Arial" w:cs="Arial" w:eastAsia="Arial" w:hAnsi="Arial"/>
                <w:sz w:val="14"/>
                <w:szCs w:val="14"/>
                <w:color w:val="auto"/>
              </w:rPr>
              <w:t>602</w:t>
            </w:r>
          </w:p>
        </w:tc>
      </w:tr>
      <w:tr>
        <w:trPr>
          <w:trHeight w:val="216"/>
        </w:trPr>
        <w:tc>
          <w:tcPr>
            <w:tcW w:w="4940" w:type="dxa"/>
            <w:vAlign w:val="bottom"/>
          </w:tcPr>
          <w:p>
            <w:pPr>
              <w:spacing w:after="0"/>
              <w:rPr>
                <w:sz w:val="20"/>
                <w:szCs w:val="20"/>
                <w:color w:val="auto"/>
              </w:rPr>
            </w:pPr>
            <w:r>
              <w:rPr>
                <w:rFonts w:ascii="Arial" w:cs="Arial" w:eastAsia="Arial" w:hAnsi="Arial"/>
                <w:sz w:val="14"/>
                <w:szCs w:val="14"/>
                <w:color w:val="auto"/>
              </w:rPr>
              <w:t>Acquired CDMA base stations (sites)</w:t>
            </w:r>
          </w:p>
        </w:tc>
        <w:tc>
          <w:tcPr>
            <w:tcW w:w="202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517"/>
        </w:trPr>
        <w:tc>
          <w:tcPr>
            <w:tcW w:w="4940" w:type="dxa"/>
            <w:vAlign w:val="bottom"/>
          </w:tcPr>
          <w:p>
            <w:pPr>
              <w:spacing w:after="0"/>
              <w:rPr>
                <w:sz w:val="24"/>
                <w:szCs w:val="24"/>
                <w:color w:val="auto"/>
              </w:rPr>
            </w:pPr>
          </w:p>
        </w:tc>
        <w:tc>
          <w:tcPr>
            <w:tcW w:w="2020" w:type="dxa"/>
            <w:vAlign w:val="bottom"/>
          </w:tcPr>
          <w:p>
            <w:pPr>
              <w:jc w:val="right"/>
              <w:ind w:right="1108"/>
              <w:spacing w:after="0"/>
              <w:rPr>
                <w:sz w:val="20"/>
                <w:szCs w:val="20"/>
                <w:color w:val="auto"/>
              </w:rPr>
            </w:pPr>
            <w:r>
              <w:rPr>
                <w:rFonts w:ascii="Arial" w:cs="Arial" w:eastAsia="Arial" w:hAnsi="Arial"/>
                <w:sz w:val="14"/>
                <w:szCs w:val="14"/>
                <w:color w:val="auto"/>
              </w:rPr>
              <w:t>23</w:t>
            </w:r>
          </w:p>
        </w:tc>
      </w:tr>
    </w:tbl>
    <w:p>
      <w:pPr>
        <w:sectPr>
          <w:pgSz w:w="11900" w:h="16838" w:orient="portrait"/>
          <w:cols w:equalWidth="0" w:num="1">
            <w:col w:w="11460"/>
          </w:cols>
          <w:pgMar w:left="220" w:top="129" w:right="21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70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 2019 Compared with the Three Months Ended September 30, 2018</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gridSpan w:val="4"/>
          </w:tcPr>
          <w:p>
            <w:pPr>
              <w:jc w:val="right"/>
              <w:ind w:right="349"/>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60" w:type="dxa"/>
            <w:vAlign w:val="bottom"/>
            <w:gridSpan w:val="4"/>
          </w:tcPr>
          <w:p>
            <w:pPr>
              <w:jc w:val="right"/>
              <w:ind w:right="569"/>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4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 of Revenue</w:t>
            </w:r>
          </w:p>
        </w:tc>
        <w:tc>
          <w:tcPr>
            <w:tcW w:w="240" w:type="dxa"/>
            <w:vAlign w:val="bottom"/>
          </w:tcPr>
          <w:p>
            <w:pPr>
              <w:spacing w:after="0"/>
              <w:rPr>
                <w:sz w:val="15"/>
                <w:szCs w:val="15"/>
                <w:color w:val="auto"/>
              </w:rPr>
            </w:pPr>
          </w:p>
        </w:tc>
        <w:tc>
          <w:tcPr>
            <w:tcW w:w="800" w:type="dxa"/>
            <w:vAlign w:val="bottom"/>
          </w:tcPr>
          <w:p>
            <w:pPr>
              <w:jc w:val="right"/>
              <w:ind w:right="309"/>
              <w:spacing w:after="0"/>
              <w:rPr>
                <w:sz w:val="20"/>
                <w:szCs w:val="20"/>
                <w:color w:val="auto"/>
              </w:rPr>
            </w:pPr>
            <w:r>
              <w:rPr>
                <w:rFonts w:ascii="Arial" w:cs="Arial" w:eastAsia="Arial" w:hAnsi="Arial"/>
                <w:sz w:val="14"/>
                <w:szCs w:val="14"/>
                <w:b w:val="1"/>
                <w:bCs w:val="1"/>
                <w:color w:val="auto"/>
              </w:rPr>
              <w:t>2018</w:t>
            </w:r>
          </w:p>
        </w:tc>
        <w:tc>
          <w:tcPr>
            <w:tcW w:w="1020" w:type="dxa"/>
            <w:vAlign w:val="bottom"/>
          </w:tcPr>
          <w:p>
            <w:pPr>
              <w:jc w:val="right"/>
              <w:ind w:right="82"/>
              <w:spacing w:after="0"/>
              <w:rPr>
                <w:sz w:val="20"/>
                <w:szCs w:val="20"/>
                <w:color w:val="auto"/>
              </w:rPr>
            </w:pPr>
            <w:r>
              <w:rPr>
                <w:rFonts w:ascii="Arial" w:cs="Arial" w:eastAsia="Arial" w:hAnsi="Arial"/>
                <w:sz w:val="13"/>
                <w:szCs w:val="13"/>
                <w:b w:val="1"/>
                <w:bCs w:val="1"/>
                <w:color w:val="auto"/>
              </w:rPr>
              <w:t>% of Revenue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color w:val="auto"/>
              </w:rPr>
              <w:t>Wireless operating revenue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Wireless service revenue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91,108</w:t>
            </w:r>
          </w:p>
        </w:tc>
        <w:tc>
          <w:tcPr>
            <w:tcW w:w="1020" w:type="dxa"/>
            <w:vAlign w:val="bottom"/>
          </w:tcPr>
          <w:p>
            <w:pPr>
              <w:jc w:val="right"/>
              <w:spacing w:after="0"/>
              <w:rPr>
                <w:sz w:val="20"/>
                <w:szCs w:val="20"/>
                <w:color w:val="auto"/>
              </w:rPr>
            </w:pPr>
            <w:r>
              <w:rPr>
                <w:rFonts w:ascii="Arial" w:cs="Arial" w:eastAsia="Arial" w:hAnsi="Arial"/>
                <w:sz w:val="11"/>
                <w:szCs w:val="11"/>
                <w:color w:val="auto"/>
              </w:rPr>
              <w:t>82.5%</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96,299</w:t>
            </w:r>
          </w:p>
        </w:tc>
        <w:tc>
          <w:tcPr>
            <w:tcW w:w="1020" w:type="dxa"/>
            <w:vAlign w:val="bottom"/>
          </w:tcPr>
          <w:p>
            <w:pPr>
              <w:jc w:val="right"/>
              <w:spacing w:after="0"/>
              <w:rPr>
                <w:sz w:val="20"/>
                <w:szCs w:val="20"/>
                <w:color w:val="auto"/>
              </w:rPr>
            </w:pPr>
            <w:r>
              <w:rPr>
                <w:rFonts w:ascii="Arial" w:cs="Arial" w:eastAsia="Arial" w:hAnsi="Arial"/>
                <w:sz w:val="11"/>
                <w:szCs w:val="11"/>
                <w:color w:val="auto"/>
              </w:rPr>
              <w:t>82.9%</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(5,191)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Tower lease revenue</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2,950</w:t>
            </w:r>
          </w:p>
        </w:tc>
        <w:tc>
          <w:tcPr>
            <w:tcW w:w="102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2,902</w:t>
            </w:r>
          </w:p>
        </w:tc>
        <w:tc>
          <w:tcPr>
            <w:tcW w:w="1020" w:type="dxa"/>
            <w:vAlign w:val="bottom"/>
          </w:tcPr>
          <w:p>
            <w:pPr>
              <w:jc w:val="right"/>
              <w:spacing w:after="0"/>
              <w:rPr>
                <w:sz w:val="20"/>
                <w:szCs w:val="20"/>
                <w:color w:val="auto"/>
              </w:rPr>
            </w:pPr>
            <w:r>
              <w:rPr>
                <w:rFonts w:ascii="Arial" w:cs="Arial" w:eastAsia="Arial" w:hAnsi="Arial"/>
                <w:sz w:val="11"/>
                <w:szCs w:val="11"/>
                <w:color w:val="auto"/>
              </w:rPr>
              <w:t>2.5%</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Equipment revenue</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15,975</w:t>
            </w:r>
          </w:p>
        </w:tc>
        <w:tc>
          <w:tcPr>
            <w:tcW w:w="1020" w:type="dxa"/>
            <w:vAlign w:val="bottom"/>
          </w:tcPr>
          <w:p>
            <w:pPr>
              <w:jc w:val="right"/>
              <w:spacing w:after="0"/>
              <w:rPr>
                <w:sz w:val="20"/>
                <w:szCs w:val="20"/>
                <w:color w:val="auto"/>
              </w:rPr>
            </w:pPr>
            <w:r>
              <w:rPr>
                <w:rFonts w:ascii="Arial" w:cs="Arial" w:eastAsia="Arial" w:hAnsi="Arial"/>
                <w:sz w:val="11"/>
                <w:szCs w:val="11"/>
                <w:color w:val="auto"/>
              </w:rPr>
              <w:t>14.5%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15,666</w:t>
            </w:r>
          </w:p>
        </w:tc>
        <w:tc>
          <w:tcPr>
            <w:tcW w:w="1020" w:type="dxa"/>
            <w:vAlign w:val="bottom"/>
          </w:tcPr>
          <w:p>
            <w:pPr>
              <w:jc w:val="right"/>
              <w:spacing w:after="0"/>
              <w:rPr>
                <w:sz w:val="20"/>
                <w:szCs w:val="20"/>
                <w:color w:val="auto"/>
              </w:rPr>
            </w:pPr>
            <w:r>
              <w:rPr>
                <w:rFonts w:ascii="Arial" w:cs="Arial" w:eastAsia="Arial" w:hAnsi="Arial"/>
                <w:sz w:val="11"/>
                <w:szCs w:val="11"/>
                <w:color w:val="auto"/>
              </w:rPr>
              <w:t>13.5%</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309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220"/>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1,232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(837)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(67.9)%</w:t>
            </w:r>
          </w:p>
        </w:tc>
        <w:tc>
          <w:tcPr>
            <w:tcW w:w="0" w:type="dxa"/>
            <w:vAlign w:val="bottom"/>
          </w:tcPr>
          <w:p>
            <w:pPr>
              <w:spacing w:after="0"/>
              <w:rPr>
                <w:sz w:val="1"/>
                <w:szCs w:val="1"/>
                <w:color w:val="auto"/>
              </w:rPr>
            </w:pPr>
          </w:p>
        </w:tc>
      </w:tr>
      <w:tr>
        <w:trPr>
          <w:trHeight w:val="202"/>
        </w:trPr>
        <w:tc>
          <w:tcPr>
            <w:tcW w:w="4940" w:type="dxa"/>
            <w:vAlign w:val="bottom"/>
            <w:gridSpan w:val="2"/>
          </w:tcPr>
          <w:p>
            <w:pPr>
              <w:ind w:left="220"/>
              <w:spacing w:after="0"/>
              <w:rPr>
                <w:sz w:val="20"/>
                <w:szCs w:val="20"/>
                <w:color w:val="auto"/>
              </w:rPr>
            </w:pPr>
            <w:r>
              <w:rPr>
                <w:rFonts w:ascii="Arial" w:cs="Arial" w:eastAsia="Arial" w:hAnsi="Arial"/>
                <w:sz w:val="14"/>
                <w:szCs w:val="14"/>
                <w:color w:val="auto"/>
              </w:rPr>
              <w:t>Total Wireless operating revenue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110,428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116,099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(5,671)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93"/>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Wireless operating expenses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Cost of services</w:t>
            </w:r>
          </w:p>
        </w:tc>
        <w:tc>
          <w:tcPr>
            <w:tcW w:w="22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34,044</w:t>
            </w:r>
          </w:p>
        </w:tc>
        <w:tc>
          <w:tcPr>
            <w:tcW w:w="1020" w:type="dxa"/>
            <w:vAlign w:val="bottom"/>
          </w:tcPr>
          <w:p>
            <w:pPr>
              <w:jc w:val="right"/>
              <w:spacing w:after="0"/>
              <w:rPr>
                <w:sz w:val="20"/>
                <w:szCs w:val="20"/>
                <w:color w:val="auto"/>
              </w:rPr>
            </w:pPr>
            <w:r>
              <w:rPr>
                <w:rFonts w:ascii="Arial" w:cs="Arial" w:eastAsia="Arial" w:hAnsi="Arial"/>
                <w:sz w:val="11"/>
                <w:szCs w:val="11"/>
                <w:color w:val="auto"/>
              </w:rPr>
              <w:t>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32,253</w:t>
            </w:r>
          </w:p>
        </w:tc>
        <w:tc>
          <w:tcPr>
            <w:tcW w:w="1020" w:type="dxa"/>
            <w:vAlign w:val="bottom"/>
          </w:tcPr>
          <w:p>
            <w:pPr>
              <w:jc w:val="right"/>
              <w:spacing w:after="0"/>
              <w:rPr>
                <w:sz w:val="20"/>
                <w:szCs w:val="20"/>
                <w:color w:val="auto"/>
              </w:rPr>
            </w:pPr>
            <w:r>
              <w:rPr>
                <w:rFonts w:ascii="Arial" w:cs="Arial" w:eastAsia="Arial" w:hAnsi="Arial"/>
                <w:sz w:val="11"/>
                <w:szCs w:val="11"/>
                <w:color w:val="auto"/>
              </w:rPr>
              <w:t>27.8%</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1,791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5.6 %</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Cost of goods sold</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15,571</w:t>
            </w:r>
          </w:p>
        </w:tc>
        <w:tc>
          <w:tcPr>
            <w:tcW w:w="1020" w:type="dxa"/>
            <w:vAlign w:val="bottom"/>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14,940</w:t>
            </w:r>
          </w:p>
        </w:tc>
        <w:tc>
          <w:tcPr>
            <w:tcW w:w="1020" w:type="dxa"/>
            <w:vAlign w:val="bottom"/>
          </w:tcPr>
          <w:p>
            <w:pPr>
              <w:jc w:val="right"/>
              <w:spacing w:after="0"/>
              <w:rPr>
                <w:sz w:val="20"/>
                <w:szCs w:val="20"/>
                <w:color w:val="auto"/>
              </w:rPr>
            </w:pPr>
            <w:r>
              <w:rPr>
                <w:rFonts w:ascii="Arial" w:cs="Arial" w:eastAsia="Arial" w:hAnsi="Arial"/>
                <w:sz w:val="11"/>
                <w:szCs w:val="11"/>
                <w:color w:val="auto"/>
              </w:rPr>
              <w:t>12.9%</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631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4.2 %</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9,882</w:t>
            </w:r>
          </w:p>
        </w:tc>
        <w:tc>
          <w:tcPr>
            <w:tcW w:w="1020" w:type="dxa"/>
            <w:vAlign w:val="bottom"/>
          </w:tcPr>
          <w:p>
            <w:pPr>
              <w:jc w:val="right"/>
              <w:spacing w:after="0"/>
              <w:rPr>
                <w:sz w:val="20"/>
                <w:szCs w:val="20"/>
                <w:color w:val="auto"/>
              </w:rPr>
            </w:pPr>
            <w:r>
              <w:rPr>
                <w:rFonts w:ascii="Arial" w:cs="Arial" w:eastAsia="Arial" w:hAnsi="Arial"/>
                <w:sz w:val="11"/>
                <w:szCs w:val="11"/>
                <w:color w:val="auto"/>
              </w:rPr>
              <w:t>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11,191</w:t>
            </w:r>
          </w:p>
        </w:tc>
        <w:tc>
          <w:tcPr>
            <w:tcW w:w="1020" w:type="dxa"/>
            <w:vAlign w:val="bottom"/>
          </w:tcPr>
          <w:p>
            <w:pPr>
              <w:jc w:val="right"/>
              <w:spacing w:after="0"/>
              <w:rPr>
                <w:sz w:val="20"/>
                <w:szCs w:val="20"/>
                <w:color w:val="auto"/>
              </w:rPr>
            </w:pPr>
            <w:r>
              <w:rPr>
                <w:rFonts w:ascii="Arial" w:cs="Arial" w:eastAsia="Arial" w:hAnsi="Arial"/>
                <w:sz w:val="11"/>
                <w:szCs w:val="11"/>
                <w:color w:val="auto"/>
              </w:rPr>
              <w:t>9.6%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(1,309)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220"/>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30,363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(3,163)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206"/>
        </w:trPr>
        <w:tc>
          <w:tcPr>
            <w:tcW w:w="4940" w:type="dxa"/>
            <w:vAlign w:val="bottom"/>
            <w:gridSpan w:val="2"/>
          </w:tcPr>
          <w:p>
            <w:pPr>
              <w:ind w:left="220"/>
              <w:spacing w:after="0"/>
              <w:rPr>
                <w:sz w:val="20"/>
                <w:szCs w:val="20"/>
                <w:color w:val="auto"/>
              </w:rPr>
            </w:pPr>
            <w:r>
              <w:rPr>
                <w:rFonts w:ascii="Arial" w:cs="Arial" w:eastAsia="Arial" w:hAnsi="Arial"/>
                <w:sz w:val="14"/>
                <w:szCs w:val="14"/>
                <w:color w:val="auto"/>
              </w:rPr>
              <w:t>Total Wireless operating expenses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86,697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88,747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(2,050)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6"/>
        </w:trPr>
        <w:tc>
          <w:tcPr>
            <w:tcW w:w="4940" w:type="dxa"/>
            <w:vAlign w:val="bottom"/>
            <w:gridSpan w:val="2"/>
          </w:tcPr>
          <w:p>
            <w:pPr>
              <w:ind w:left="300"/>
              <w:spacing w:after="0"/>
              <w:rPr>
                <w:sz w:val="20"/>
                <w:szCs w:val="20"/>
                <w:color w:val="auto"/>
              </w:rPr>
            </w:pPr>
            <w:r>
              <w:rPr>
                <w:rFonts w:ascii="Arial" w:cs="Arial" w:eastAsia="Arial" w:hAnsi="Arial"/>
                <w:sz w:val="14"/>
                <w:szCs w:val="14"/>
                <w:color w:val="auto"/>
              </w:rPr>
              <w:t>Wireless operating income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23,731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27,352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(3,621)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Revenue</w:t>
      </w:r>
    </w:p>
    <w:p>
      <w:pPr>
        <w:spacing w:after="0" w:line="21"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Under our affiliate agreement with Sprint, we have historically earned and recognized monthly revenue of $1.5 million for providing service to Sprint customers who pass through our network area ("Travel Revenue"). While we continue to provide these services to Sprint, the agreed upon payments were suspended by Sprint on April 30, 2019. Accordingly, we have ceased recognizing revenue for the services provided after that date until a new prospective fee can be agreed. We have triggered the final dispute resolution option with Sprint which we expect will lead to a resolution for travel fee revenue by early 2020.</w:t>
      </w:r>
    </w:p>
    <w:p>
      <w:pPr>
        <w:spacing w:after="0" w:line="150"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Wireless operating revenue decreased $5.7 million or 4.9% to $110.4 million for the three months ended September 30, 2019, compared with $116.1 million for the three months ended September 30, 2018. The decreases in revenue were primarily attributable to a decline in travel revenue of $4.5 million, lower postpaid Average Revenue Per User ("ARPU"), increased contract asset amortization which is recorded as contra revenue and due to increases in Sprint customer bad debt expense which reduces the revenues we earn from Sprint. These decreases were partially offset by the overall growth in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119" w:right="2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60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6080" w:type="dxa"/>
            <w:vAlign w:val="bottom"/>
            <w:gridSpan w:val="2"/>
          </w:tcPr>
          <w:p>
            <w:pPr>
              <w:spacing w:after="0"/>
              <w:rPr>
                <w:sz w:val="20"/>
                <w:szCs w:val="20"/>
                <w:color w:val="auto"/>
              </w:rPr>
            </w:pPr>
            <w:r>
              <w:rPr>
                <w:rFonts w:ascii="Arial" w:cs="Arial" w:eastAsia="Arial" w:hAnsi="Arial"/>
                <w:sz w:val="14"/>
                <w:szCs w:val="14"/>
                <w:color w:val="auto"/>
              </w:rPr>
              <w:t>The table below provides additional detail for Wireless service revenue.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ind w:left="112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8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408"/>
              <w:spacing w:after="0"/>
              <w:rPr>
                <w:sz w:val="20"/>
                <w:szCs w:val="20"/>
                <w:color w:val="auto"/>
              </w:rPr>
            </w:pPr>
            <w:r>
              <w:rPr>
                <w:rFonts w:ascii="Arial" w:cs="Arial" w:eastAsia="Arial" w:hAnsi="Arial"/>
                <w:sz w:val="14"/>
                <w:szCs w:val="14"/>
                <w:b w:val="1"/>
                <w:bCs w:val="1"/>
                <w:color w:val="auto"/>
                <w:w w:val="96"/>
              </w:rPr>
              <w:t>2018</w:t>
            </w:r>
          </w:p>
        </w:tc>
        <w:tc>
          <w:tcPr>
            <w:tcW w:w="13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6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Wireless service revenue:</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Postpaid billings (1)</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96,417</w:t>
            </w:r>
          </w:p>
        </w:tc>
        <w:tc>
          <w:tcPr>
            <w:tcW w:w="10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96,813</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(396)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Amortization of deferred contract and other costs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(4,708)</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(1,265)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Sprint management fee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(7,763)</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Net service fee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(8,345)</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Total postpaid service revenue</w:t>
            </w: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74,322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75,997</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(1,675)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Prepaid billings</w:t>
            </w: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30,860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28,460</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2,400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8.4 %</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Amortization of deferred contract and other costs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(13,594)</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(1,648)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Sprint management fee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(1,795)</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Total prepaid service revenue</w:t>
            </w: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13,692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13,071</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621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4.8 %</w:t>
            </w:r>
          </w:p>
        </w:tc>
        <w:tc>
          <w:tcPr>
            <w:tcW w:w="0" w:type="dxa"/>
            <w:vAlign w:val="bottom"/>
          </w:tcPr>
          <w:p>
            <w:pPr>
              <w:spacing w:after="0"/>
              <w:rPr>
                <w:sz w:val="1"/>
                <w:szCs w:val="1"/>
                <w:color w:val="auto"/>
              </w:rPr>
            </w:pPr>
          </w:p>
        </w:tc>
      </w:tr>
      <w:tr>
        <w:trPr>
          <w:trHeight w:val="216"/>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Travel and other revenue</w:t>
            </w: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7,231</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(4,137)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(57.2)%</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6080" w:type="dxa"/>
            <w:vAlign w:val="bottom"/>
            <w:gridSpan w:val="2"/>
          </w:tcPr>
          <w:p>
            <w:pPr>
              <w:ind w:left="300"/>
              <w:spacing w:after="0"/>
              <w:rPr>
                <w:sz w:val="20"/>
                <w:szCs w:val="20"/>
                <w:color w:val="auto"/>
              </w:rPr>
            </w:pPr>
            <w:r>
              <w:rPr>
                <w:rFonts w:ascii="Arial" w:cs="Arial" w:eastAsia="Arial" w:hAnsi="Arial"/>
                <w:sz w:val="14"/>
                <w:szCs w:val="14"/>
                <w:color w:val="auto"/>
              </w:rPr>
              <w:t>Total service revenue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91,108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96,299</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(5,191)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9"/>
                <w:szCs w:val="9"/>
                <w:color w:val="auto"/>
              </w:rPr>
              <w:t>_______________________________________________________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60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80" w:hanging="515"/>
        <w:spacing w:after="0" w:line="264" w:lineRule="auto"/>
        <w:tabs>
          <w:tab w:leader="none" w:pos="521" w:val="left"/>
        </w:tabs>
        <w:numPr>
          <w:ilvl w:val="0"/>
          <w:numId w:val="5"/>
        </w:numPr>
        <w:rPr>
          <w:rFonts w:ascii="Arial" w:cs="Arial" w:eastAsia="Arial" w:hAnsi="Arial"/>
          <w:sz w:val="11"/>
          <w:szCs w:val="11"/>
          <w:color w:val="auto"/>
        </w:rPr>
      </w:pPr>
      <w:r>
        <w:rPr>
          <w:rFonts w:ascii="Arial" w:cs="Arial" w:eastAsia="Arial" w:hAnsi="Arial"/>
          <w:sz w:val="11"/>
          <w:szCs w:val="11"/>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services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three months ended September 30, 2019, cost of services increased approximately $1.8 million or 5.6%, compared with the three months ended September 30, 2018 due to higher cell site rent expense of $2.8 million related to our network expansion, partially offset by continued network optimization and construction of fiber to our towers which results in more cost effective backhaul circuits.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goods sold</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three months ended September 30, 2019, cost of goods sold increased approximately $0.6 million, or 4.2%, compared with the three months ended September 30, 2018 on higher unit volume.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three months ended September 30, 2019, selling, general and administrative costs decreased approximately $1.3 million, or 11.7%, compared with the three months ended September 30, 2018. This was driven by a $1.7 million reduction in advertising expense, partially offset by a $0.5 million increase in sales and use tax expense.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Depreciation and amortization</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three months ended September 30, 2019, depreciation and amortization decreased approximately $3.2 million, or 10.4%, compared with the three months ended September 30, 2018, as certain assets acquired from nTelos became fully depreciated.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119"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49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708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 30, 2019 Compared with the Nine Months Ended September 30, 2018</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gridSpan w:val="4"/>
          </w:tcPr>
          <w:p>
            <w:pPr>
              <w:jc w:val="right"/>
              <w:ind w:right="389"/>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60" w:type="dxa"/>
            <w:vAlign w:val="bottom"/>
            <w:gridSpan w:val="4"/>
          </w:tcPr>
          <w:p>
            <w:pPr>
              <w:jc w:val="right"/>
              <w:ind w:right="569"/>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4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 of Revenue</w:t>
            </w:r>
          </w:p>
        </w:tc>
        <w:tc>
          <w:tcPr>
            <w:tcW w:w="240" w:type="dxa"/>
            <w:vAlign w:val="bottom"/>
          </w:tcPr>
          <w:p>
            <w:pPr>
              <w:spacing w:after="0"/>
              <w:rPr>
                <w:sz w:val="15"/>
                <w:szCs w:val="15"/>
                <w:color w:val="auto"/>
              </w:rPr>
            </w:pPr>
          </w:p>
        </w:tc>
        <w:tc>
          <w:tcPr>
            <w:tcW w:w="800" w:type="dxa"/>
            <w:vAlign w:val="bottom"/>
          </w:tcPr>
          <w:p>
            <w:pPr>
              <w:jc w:val="right"/>
              <w:ind w:right="309"/>
              <w:spacing w:after="0"/>
              <w:rPr>
                <w:sz w:val="20"/>
                <w:szCs w:val="20"/>
                <w:color w:val="auto"/>
              </w:rPr>
            </w:pPr>
            <w:r>
              <w:rPr>
                <w:rFonts w:ascii="Arial" w:cs="Arial" w:eastAsia="Arial" w:hAnsi="Arial"/>
                <w:sz w:val="14"/>
                <w:szCs w:val="14"/>
                <w:b w:val="1"/>
                <w:bCs w:val="1"/>
                <w:color w:val="auto"/>
              </w:rPr>
              <w:t>2018</w:t>
            </w:r>
          </w:p>
        </w:tc>
        <w:tc>
          <w:tcPr>
            <w:tcW w:w="1020" w:type="dxa"/>
            <w:vAlign w:val="bottom"/>
          </w:tcPr>
          <w:p>
            <w:pPr>
              <w:jc w:val="right"/>
              <w:ind w:right="82"/>
              <w:spacing w:after="0"/>
              <w:rPr>
                <w:sz w:val="20"/>
                <w:szCs w:val="20"/>
                <w:color w:val="auto"/>
              </w:rPr>
            </w:pPr>
            <w:r>
              <w:rPr>
                <w:rFonts w:ascii="Arial" w:cs="Arial" w:eastAsia="Arial" w:hAnsi="Arial"/>
                <w:sz w:val="13"/>
                <w:szCs w:val="13"/>
                <w:b w:val="1"/>
                <w:bCs w:val="1"/>
                <w:color w:val="auto"/>
              </w:rPr>
              <w:t>% of Revenue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color w:val="auto"/>
              </w:rPr>
              <w:t>Wireless operating revenue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Wireless service revenue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282,533</w:t>
            </w:r>
          </w:p>
        </w:tc>
        <w:tc>
          <w:tcPr>
            <w:tcW w:w="1020" w:type="dxa"/>
            <w:vAlign w:val="bottom"/>
          </w:tcPr>
          <w:p>
            <w:pPr>
              <w:jc w:val="right"/>
              <w:spacing w:after="0"/>
              <w:rPr>
                <w:sz w:val="20"/>
                <w:szCs w:val="20"/>
                <w:color w:val="auto"/>
              </w:rPr>
            </w:pPr>
            <w:r>
              <w:rPr>
                <w:rFonts w:ascii="Arial" w:cs="Arial" w:eastAsia="Arial" w:hAnsi="Arial"/>
                <w:sz w:val="11"/>
                <w:szCs w:val="11"/>
                <w:color w:val="auto"/>
              </w:rPr>
              <w:t>83.0%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284,154</w:t>
            </w:r>
          </w:p>
        </w:tc>
        <w:tc>
          <w:tcPr>
            <w:tcW w:w="1020" w:type="dxa"/>
            <w:vAlign w:val="bottom"/>
          </w:tcPr>
          <w:p>
            <w:pPr>
              <w:jc w:val="right"/>
              <w:spacing w:after="0"/>
              <w:rPr>
                <w:sz w:val="20"/>
                <w:szCs w:val="20"/>
                <w:color w:val="auto"/>
              </w:rPr>
            </w:pPr>
            <w:r>
              <w:rPr>
                <w:rFonts w:ascii="Arial" w:cs="Arial" w:eastAsia="Arial" w:hAnsi="Arial"/>
                <w:sz w:val="11"/>
                <w:szCs w:val="11"/>
                <w:color w:val="auto"/>
              </w:rPr>
              <w:t>82.7%</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(1,621)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Tower lease revenue</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8,810</w:t>
            </w:r>
          </w:p>
        </w:tc>
        <w:tc>
          <w:tcPr>
            <w:tcW w:w="1020" w:type="dxa"/>
            <w:vAlign w:val="bottom"/>
          </w:tcPr>
          <w:p>
            <w:pPr>
              <w:jc w:val="right"/>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8,676</w:t>
            </w:r>
          </w:p>
        </w:tc>
        <w:tc>
          <w:tcPr>
            <w:tcW w:w="1020" w:type="dxa"/>
            <w:vAlign w:val="bottom"/>
          </w:tcPr>
          <w:p>
            <w:pPr>
              <w:jc w:val="right"/>
              <w:spacing w:after="0"/>
              <w:rPr>
                <w:sz w:val="20"/>
                <w:szCs w:val="20"/>
                <w:color w:val="auto"/>
              </w:rPr>
            </w:pPr>
            <w:r>
              <w:rPr>
                <w:rFonts w:ascii="Arial" w:cs="Arial" w:eastAsia="Arial" w:hAnsi="Arial"/>
                <w:sz w:val="11"/>
                <w:szCs w:val="11"/>
                <w:color w:val="auto"/>
              </w:rPr>
              <w:t>2.5%</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Equipment revenue</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47,814</w:t>
            </w:r>
          </w:p>
        </w:tc>
        <w:tc>
          <w:tcPr>
            <w:tcW w:w="1020" w:type="dxa"/>
            <w:vAlign w:val="bottom"/>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48,859</w:t>
            </w:r>
          </w:p>
        </w:tc>
        <w:tc>
          <w:tcPr>
            <w:tcW w:w="1020" w:type="dxa"/>
            <w:vAlign w:val="bottom"/>
          </w:tcPr>
          <w:p>
            <w:pPr>
              <w:jc w:val="right"/>
              <w:spacing w:after="0"/>
              <w:rPr>
                <w:sz w:val="20"/>
                <w:szCs w:val="20"/>
                <w:color w:val="auto"/>
              </w:rPr>
            </w:pPr>
            <w:r>
              <w:rPr>
                <w:rFonts w:ascii="Arial" w:cs="Arial" w:eastAsia="Arial" w:hAnsi="Arial"/>
                <w:sz w:val="11"/>
                <w:szCs w:val="11"/>
                <w:color w:val="auto"/>
              </w:rPr>
              <w:t>14.2%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20"/>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(902)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(45.9)%</w:t>
            </w:r>
          </w:p>
        </w:tc>
        <w:tc>
          <w:tcPr>
            <w:tcW w:w="0" w:type="dxa"/>
            <w:vAlign w:val="bottom"/>
          </w:tcPr>
          <w:p>
            <w:pPr>
              <w:spacing w:after="0"/>
              <w:rPr>
                <w:sz w:val="1"/>
                <w:szCs w:val="1"/>
                <w:color w:val="auto"/>
              </w:rPr>
            </w:pPr>
          </w:p>
        </w:tc>
      </w:tr>
      <w:tr>
        <w:trPr>
          <w:trHeight w:val="202"/>
        </w:trPr>
        <w:tc>
          <w:tcPr>
            <w:tcW w:w="4940" w:type="dxa"/>
            <w:vAlign w:val="bottom"/>
            <w:gridSpan w:val="2"/>
          </w:tcPr>
          <w:p>
            <w:pPr>
              <w:ind w:left="220"/>
              <w:spacing w:after="0"/>
              <w:rPr>
                <w:sz w:val="20"/>
                <w:szCs w:val="20"/>
                <w:color w:val="auto"/>
              </w:rPr>
            </w:pPr>
            <w:r>
              <w:rPr>
                <w:rFonts w:ascii="Arial" w:cs="Arial" w:eastAsia="Arial" w:hAnsi="Arial"/>
                <w:sz w:val="14"/>
                <w:szCs w:val="14"/>
                <w:color w:val="auto"/>
              </w:rPr>
              <w:t>Total Wireless operating revenue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340,222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343,656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(3,434)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93"/>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Wireless operating expenses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Cost of services</w:t>
            </w:r>
          </w:p>
        </w:tc>
        <w:tc>
          <w:tcPr>
            <w:tcW w:w="22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101,085</w:t>
            </w:r>
          </w:p>
        </w:tc>
        <w:tc>
          <w:tcPr>
            <w:tcW w:w="1020" w:type="dxa"/>
            <w:vAlign w:val="bottom"/>
          </w:tcPr>
          <w:p>
            <w:pPr>
              <w:jc w:val="right"/>
              <w:spacing w:after="0"/>
              <w:rPr>
                <w:sz w:val="20"/>
                <w:szCs w:val="20"/>
                <w:color w:val="auto"/>
              </w:rPr>
            </w:pPr>
            <w:r>
              <w:rPr>
                <w:rFonts w:ascii="Arial" w:cs="Arial" w:eastAsia="Arial" w:hAnsi="Arial"/>
                <w:sz w:val="11"/>
                <w:szCs w:val="11"/>
                <w:color w:val="auto"/>
              </w:rPr>
              <w:t>29.7%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99,491</w:t>
            </w:r>
          </w:p>
        </w:tc>
        <w:tc>
          <w:tcPr>
            <w:tcW w:w="1020" w:type="dxa"/>
            <w:vAlign w:val="bottom"/>
          </w:tcPr>
          <w:p>
            <w:pPr>
              <w:jc w:val="right"/>
              <w:spacing w:after="0"/>
              <w:rPr>
                <w:sz w:val="20"/>
                <w:szCs w:val="20"/>
                <w:color w:val="auto"/>
              </w:rPr>
            </w:pPr>
            <w:r>
              <w:rPr>
                <w:rFonts w:ascii="Arial" w:cs="Arial" w:eastAsia="Arial" w:hAnsi="Arial"/>
                <w:sz w:val="11"/>
                <w:szCs w:val="11"/>
                <w:color w:val="auto"/>
              </w:rPr>
              <w:t>29.0%</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1,594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Cost of goods sold</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45,740</w:t>
            </w:r>
          </w:p>
        </w:tc>
        <w:tc>
          <w:tcPr>
            <w:tcW w:w="102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45,749</w:t>
            </w:r>
          </w:p>
        </w:tc>
        <w:tc>
          <w:tcPr>
            <w:tcW w:w="1020" w:type="dxa"/>
            <w:vAlign w:val="bottom"/>
          </w:tcPr>
          <w:p>
            <w:pPr>
              <w:jc w:val="right"/>
              <w:spacing w:after="0"/>
              <w:rPr>
                <w:sz w:val="20"/>
                <w:szCs w:val="20"/>
                <w:color w:val="auto"/>
              </w:rPr>
            </w:pPr>
            <w:r>
              <w:rPr>
                <w:rFonts w:ascii="Arial" w:cs="Arial" w:eastAsia="Arial" w:hAnsi="Arial"/>
                <w:sz w:val="11"/>
                <w:szCs w:val="11"/>
                <w:color w:val="auto"/>
              </w:rPr>
              <w:t>13.3%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31,836</w:t>
            </w:r>
          </w:p>
        </w:tc>
        <w:tc>
          <w:tcPr>
            <w:tcW w:w="1020" w:type="dxa"/>
            <w:vAlign w:val="bottom"/>
          </w:tcPr>
          <w:p>
            <w:pPr>
              <w:jc w:val="right"/>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35,693</w:t>
            </w:r>
          </w:p>
        </w:tc>
        <w:tc>
          <w:tcPr>
            <w:tcW w:w="1020" w:type="dxa"/>
            <w:vAlign w:val="bottom"/>
          </w:tcPr>
          <w:p>
            <w:pPr>
              <w:jc w:val="right"/>
              <w:spacing w:after="0"/>
              <w:rPr>
                <w:sz w:val="20"/>
                <w:szCs w:val="20"/>
                <w:color w:val="auto"/>
              </w:rPr>
            </w:pPr>
            <w:r>
              <w:rPr>
                <w:rFonts w:ascii="Arial" w:cs="Arial" w:eastAsia="Arial" w:hAnsi="Arial"/>
                <w:sz w:val="11"/>
                <w:szCs w:val="11"/>
                <w:color w:val="auto"/>
              </w:rPr>
              <w:t>10.4%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(3,857)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220"/>
        </w:trPr>
        <w:tc>
          <w:tcPr>
            <w:tcW w:w="494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90,469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95,853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27.9%</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(5,384)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6"/>
        </w:trPr>
        <w:tc>
          <w:tcPr>
            <w:tcW w:w="4940" w:type="dxa"/>
            <w:vAlign w:val="bottom"/>
            <w:gridSpan w:val="2"/>
          </w:tcPr>
          <w:p>
            <w:pPr>
              <w:ind w:left="220"/>
              <w:spacing w:after="0"/>
              <w:rPr>
                <w:sz w:val="20"/>
                <w:szCs w:val="20"/>
                <w:color w:val="auto"/>
              </w:rPr>
            </w:pPr>
            <w:r>
              <w:rPr>
                <w:rFonts w:ascii="Arial" w:cs="Arial" w:eastAsia="Arial" w:hAnsi="Arial"/>
                <w:sz w:val="14"/>
                <w:szCs w:val="14"/>
                <w:color w:val="auto"/>
              </w:rPr>
              <w:t>Total Wireless operating expenses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269,130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276,786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(7,656)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6"/>
        </w:trPr>
        <w:tc>
          <w:tcPr>
            <w:tcW w:w="4940" w:type="dxa"/>
            <w:vAlign w:val="bottom"/>
            <w:gridSpan w:val="2"/>
          </w:tcPr>
          <w:p>
            <w:pPr>
              <w:ind w:left="300"/>
              <w:spacing w:after="0"/>
              <w:rPr>
                <w:sz w:val="20"/>
                <w:szCs w:val="20"/>
                <w:color w:val="auto"/>
              </w:rPr>
            </w:pPr>
            <w:r>
              <w:rPr>
                <w:rFonts w:ascii="Arial" w:cs="Arial" w:eastAsia="Arial" w:hAnsi="Arial"/>
                <w:sz w:val="14"/>
                <w:szCs w:val="14"/>
                <w:color w:val="auto"/>
              </w:rPr>
              <w:t>Wireless operating income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71,092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66,870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4,222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6.3 %</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Revenue</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Under our affiliate agreement with Sprint, we have historically earned and recognized monthly revenue of $1.5 million for providing service to Sprint customers who pass through our network area. While we continue to provide these services to Sprint, the agreed upon fee was suspended on April 30, 2019. Accordingly, we have ceased recognizing revenue for the services provided after that date until a new prospective fee can be agreed. We have commenced the final dispute resolution proceedings to settle this dispute and expect it to be settled by early 2020.</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During the nine months ended September 30, 2019, operating revenue decreased approximately $3.4 million, or 1.0%, compared with the nine months ended September 30, 2018. The decreases in revenue were primarily attributable to a decline in Sprint travel revenue of $7.5 million, lower postpaid ARPU and increased contract asset amortization which is recorded as contra revenue. These decreases were partially offset by the overall growth in subscribers. Prepaid service revenue was up $2.2 million primarily due to subscriber growth and an increase in prepaid ARPU.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119"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60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6080" w:type="dxa"/>
            <w:vAlign w:val="bottom"/>
            <w:gridSpan w:val="2"/>
          </w:tcPr>
          <w:p>
            <w:pPr>
              <w:spacing w:after="0"/>
              <w:rPr>
                <w:sz w:val="20"/>
                <w:szCs w:val="20"/>
                <w:color w:val="auto"/>
              </w:rPr>
            </w:pPr>
            <w:r>
              <w:rPr>
                <w:rFonts w:ascii="Arial" w:cs="Arial" w:eastAsia="Arial" w:hAnsi="Arial"/>
                <w:sz w:val="14"/>
                <w:szCs w:val="14"/>
                <w:color w:val="auto"/>
              </w:rPr>
              <w:t>The table below provides additional detail for Wireless service revenue.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ind w:left="112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8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408"/>
              <w:spacing w:after="0"/>
              <w:rPr>
                <w:sz w:val="20"/>
                <w:szCs w:val="20"/>
                <w:color w:val="auto"/>
              </w:rPr>
            </w:pPr>
            <w:r>
              <w:rPr>
                <w:rFonts w:ascii="Arial" w:cs="Arial" w:eastAsia="Arial" w:hAnsi="Arial"/>
                <w:sz w:val="14"/>
                <w:szCs w:val="14"/>
                <w:b w:val="1"/>
                <w:bCs w:val="1"/>
                <w:color w:val="auto"/>
                <w:w w:val="96"/>
              </w:rPr>
              <w:t>2018</w:t>
            </w:r>
          </w:p>
        </w:tc>
        <w:tc>
          <w:tcPr>
            <w:tcW w:w="13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6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Wireless service revenue:</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Postpaid billings (1)</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291,672</w:t>
            </w:r>
          </w:p>
        </w:tc>
        <w:tc>
          <w:tcPr>
            <w:tcW w:w="10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286,230</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5,442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Amortization of deferred contract and other costs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(13,788)</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(3,009)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21.8 %</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Sprint management fee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(23,313)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(22,966)</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Net service fee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(24,603)</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Total postpaid service revenue</w:t>
            </w: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226,501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224,873</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1,628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Prepaid billings</w:t>
            </w: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90,721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82,716</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8,005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9.7 %</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Amortization of deferred contract and other costs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(44,593)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(39,258)</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(5,335)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13.6 %</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Sprint management fee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(5,198)</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(505)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9.7 %</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80" w:type="dxa"/>
            <w:vAlign w:val="bottom"/>
            <w:gridSpan w:val="2"/>
          </w:tcPr>
          <w:p>
            <w:pPr>
              <w:ind w:left="140"/>
              <w:spacing w:after="0"/>
              <w:rPr>
                <w:sz w:val="20"/>
                <w:szCs w:val="20"/>
                <w:color w:val="auto"/>
              </w:rPr>
            </w:pPr>
            <w:r>
              <w:rPr>
                <w:rFonts w:ascii="Arial" w:cs="Arial" w:eastAsia="Arial" w:hAnsi="Arial"/>
                <w:sz w:val="14"/>
                <w:szCs w:val="14"/>
                <w:color w:val="auto"/>
              </w:rPr>
              <w:t>Total prepaid service revenue</w:t>
            </w:r>
          </w:p>
        </w:tc>
        <w:tc>
          <w:tcPr>
            <w:tcW w:w="3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40,425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38,260</w:t>
            </w:r>
          </w:p>
        </w:tc>
        <w:tc>
          <w:tcPr>
            <w:tcW w:w="1360" w:type="dxa"/>
            <w:vAlign w:val="bottom"/>
            <w:gridSpan w:val="2"/>
          </w:tcPr>
          <w:p>
            <w:pPr>
              <w:jc w:val="right"/>
              <w:ind w:right="28"/>
              <w:spacing w:after="0"/>
              <w:rPr>
                <w:sz w:val="20"/>
                <w:szCs w:val="20"/>
                <w:color w:val="auto"/>
              </w:rPr>
            </w:pPr>
            <w:r>
              <w:rPr>
                <w:rFonts w:ascii="Arial" w:cs="Arial" w:eastAsia="Arial" w:hAnsi="Arial"/>
                <w:sz w:val="13"/>
                <w:szCs w:val="13"/>
                <w:color w:val="auto"/>
              </w:rPr>
              <w:t>2,165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r>
        <w:trPr>
          <w:trHeight w:val="216"/>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Travel and other revenue</w:t>
            </w: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15,607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21,021</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(5,414)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6080" w:type="dxa"/>
            <w:vAlign w:val="bottom"/>
            <w:gridSpan w:val="2"/>
          </w:tcPr>
          <w:p>
            <w:pPr>
              <w:ind w:left="300"/>
              <w:spacing w:after="0"/>
              <w:rPr>
                <w:sz w:val="20"/>
                <w:szCs w:val="20"/>
                <w:color w:val="auto"/>
              </w:rPr>
            </w:pPr>
            <w:r>
              <w:rPr>
                <w:rFonts w:ascii="Arial" w:cs="Arial" w:eastAsia="Arial" w:hAnsi="Arial"/>
                <w:sz w:val="14"/>
                <w:szCs w:val="14"/>
                <w:color w:val="auto"/>
              </w:rPr>
              <w:t>Total service revenue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282,533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284,154</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(1,621)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9"/>
                <w:szCs w:val="9"/>
                <w:color w:val="auto"/>
              </w:rPr>
              <w:t>_______________________________________________________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60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80" w:hanging="515"/>
        <w:spacing w:after="0" w:line="264" w:lineRule="auto"/>
        <w:tabs>
          <w:tab w:leader="none" w:pos="521" w:val="left"/>
        </w:tabs>
        <w:numPr>
          <w:ilvl w:val="0"/>
          <w:numId w:val="6"/>
        </w:numPr>
        <w:rPr>
          <w:rFonts w:ascii="Arial" w:cs="Arial" w:eastAsia="Arial" w:hAnsi="Arial"/>
          <w:sz w:val="11"/>
          <w:szCs w:val="11"/>
          <w:color w:val="auto"/>
        </w:rPr>
      </w:pPr>
      <w:r>
        <w:rPr>
          <w:rFonts w:ascii="Arial" w:cs="Arial" w:eastAsia="Arial" w:hAnsi="Arial"/>
          <w:sz w:val="11"/>
          <w:szCs w:val="11"/>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services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nine months ended September 30, 2019, cost of services increased approximately $1.6 million or 1.6%, compared with the nine months ended September 30, 2018 primarily due to higher cell site rent expense related to our network expansion, partially offset by continued network optimization and construction of fiber to our towers which results in more cost effective backhaul circuits.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goods sold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During the nine months ended September 30, 2019, cost of goods sold remained consistent with the prior period.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nine months ended September 30, 2019, selling, general and administrative costs decreased approximately $3.9 million, or 10.8%, compared with the nine months ended September 30, 2018 primarily due to lower marketing and advertising expenses of approximately $1.9 million, reduced sales and use and property tax expenses of $1.3 million, and a $0.6 million decline in store rent expense.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Depreciation and amortization</w:t>
      </w:r>
    </w:p>
    <w:p>
      <w:pPr>
        <w:spacing w:after="0" w:line="2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During the nine months ended September 30, 2019, depreciation and amortization decreased approximately $5.4 million, or 5.6%, compared with the nine months ended September 30, 2018. Amortization expense declined by $3.2 million, primarily because our Sprint affiliate contract expansion asset is amortized under an accelerated method that declines over time. Depreciation expense also declined by $2.2 million as certain assets acquired from nTelos in 2016 became fully depreciated.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119" w:right="21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and Wireline Operating Statistics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indicates selected operating statistics of Cable and Wireline: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auto"/>
                <w:w w:val="90"/>
              </w:rPr>
              <w:t>September 30, 2019</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w w:val="91"/>
              </w:rPr>
              <w:t>September 30, 2018</w:t>
            </w:r>
          </w:p>
        </w:tc>
        <w:tc>
          <w:tcPr>
            <w:tcW w:w="920" w:type="dxa"/>
            <w:vAlign w:val="bottom"/>
          </w:tcPr>
          <w:p>
            <w:pPr>
              <w:spacing w:after="0"/>
              <w:rPr>
                <w:sz w:val="16"/>
                <w:szCs w:val="16"/>
                <w:color w:val="auto"/>
              </w:rPr>
            </w:pPr>
          </w:p>
        </w:tc>
      </w:tr>
      <w:tr>
        <w:trPr>
          <w:trHeight w:val="23"/>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4"/>
        </w:trPr>
        <w:tc>
          <w:tcPr>
            <w:tcW w:w="4400" w:type="dxa"/>
            <w:vAlign w:val="bottom"/>
          </w:tcPr>
          <w:p>
            <w:pPr>
              <w:spacing w:after="0"/>
              <w:rPr>
                <w:sz w:val="15"/>
                <w:szCs w:val="15"/>
                <w:color w:val="auto"/>
              </w:rPr>
            </w:pP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Cable</w:t>
            </w:r>
          </w:p>
        </w:tc>
        <w:tc>
          <w:tcPr>
            <w:tcW w:w="1400" w:type="dxa"/>
            <w:vAlign w:val="bottom"/>
          </w:tcPr>
          <w:p>
            <w:pPr>
              <w:jc w:val="right"/>
              <w:ind w:right="448"/>
              <w:spacing w:after="0"/>
              <w:rPr>
                <w:sz w:val="20"/>
                <w:szCs w:val="20"/>
                <w:color w:val="auto"/>
              </w:rPr>
            </w:pPr>
            <w:r>
              <w:rPr>
                <w:rFonts w:ascii="Arial" w:cs="Arial" w:eastAsia="Arial" w:hAnsi="Arial"/>
                <w:sz w:val="14"/>
                <w:szCs w:val="14"/>
                <w:b w:val="1"/>
                <w:bCs w:val="1"/>
                <w:color w:val="auto"/>
              </w:rPr>
              <w:t>Wireline</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Cable</w:t>
            </w:r>
          </w:p>
        </w:tc>
        <w:tc>
          <w:tcPr>
            <w:tcW w:w="1420" w:type="dxa"/>
            <w:vAlign w:val="bottom"/>
          </w:tcPr>
          <w:p>
            <w:pPr>
              <w:jc w:val="right"/>
              <w:ind w:right="468"/>
              <w:spacing w:after="0"/>
              <w:rPr>
                <w:sz w:val="20"/>
                <w:szCs w:val="20"/>
                <w:color w:val="auto"/>
              </w:rPr>
            </w:pPr>
            <w:r>
              <w:rPr>
                <w:rFonts w:ascii="Arial" w:cs="Arial" w:eastAsia="Arial" w:hAnsi="Arial"/>
                <w:sz w:val="14"/>
                <w:szCs w:val="14"/>
                <w:b w:val="1"/>
                <w:bCs w:val="1"/>
                <w:color w:val="auto"/>
              </w:rPr>
              <w:t>Wireline</w:t>
            </w:r>
          </w:p>
        </w:tc>
        <w:tc>
          <w:tcPr>
            <w:tcW w:w="92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3"/>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4"/>
        </w:trPr>
        <w:tc>
          <w:tcPr>
            <w:tcW w:w="4400" w:type="dxa"/>
            <w:vAlign w:val="bottom"/>
          </w:tcPr>
          <w:p>
            <w:pPr>
              <w:ind w:left="20"/>
              <w:spacing w:after="0"/>
              <w:rPr>
                <w:sz w:val="20"/>
                <w:szCs w:val="20"/>
                <w:color w:val="auto"/>
              </w:rPr>
            </w:pPr>
            <w:r>
              <w:rPr>
                <w:rFonts w:ascii="Arial" w:cs="Arial" w:eastAsia="Arial" w:hAnsi="Arial"/>
                <w:sz w:val="14"/>
                <w:szCs w:val="14"/>
                <w:color w:val="auto"/>
              </w:rPr>
              <w:t>Cable homes passed (1)</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189,762</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16,500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206,262</w:t>
            </w:r>
          </w:p>
        </w:tc>
        <w:tc>
          <w:tcPr>
            <w:tcW w:w="1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185,119</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16,500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201,619</w:t>
            </w:r>
          </w:p>
        </w:tc>
      </w:tr>
      <w:tr>
        <w:trPr>
          <w:trHeight w:val="366"/>
        </w:trPr>
        <w:tc>
          <w:tcPr>
            <w:tcW w:w="4400" w:type="dxa"/>
            <w:vAlign w:val="bottom"/>
          </w:tcPr>
          <w:p>
            <w:pPr>
              <w:ind w:left="140"/>
              <w:spacing w:after="0"/>
              <w:rPr>
                <w:sz w:val="20"/>
                <w:szCs w:val="20"/>
                <w:color w:val="auto"/>
              </w:rPr>
            </w:pPr>
            <w:r>
              <w:rPr>
                <w:rFonts w:ascii="Arial" w:cs="Arial" w:eastAsia="Arial" w:hAnsi="Arial"/>
                <w:sz w:val="14"/>
                <w:szCs w:val="14"/>
                <w:color w:val="auto"/>
              </w:rPr>
              <w:t>Cable customer relationships (2)</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39,195</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4,249</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43,444</w:t>
            </w: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41,807</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5,300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47,107</w:t>
            </w:r>
          </w:p>
        </w:tc>
      </w:tr>
      <w:tr>
        <w:trPr>
          <w:trHeight w:val="216"/>
        </w:trPr>
        <w:tc>
          <w:tcPr>
            <w:tcW w:w="4400" w:type="dxa"/>
            <w:vAlign w:val="bottom"/>
          </w:tcPr>
          <w:p>
            <w:pPr>
              <w:ind w:left="140"/>
              <w:spacing w:after="0"/>
              <w:rPr>
                <w:sz w:val="20"/>
                <w:szCs w:val="20"/>
                <w:color w:val="auto"/>
              </w:rPr>
            </w:pPr>
            <w:r>
              <w:rPr>
                <w:rFonts w:ascii="Arial" w:cs="Arial" w:eastAsia="Arial" w:hAnsi="Arial"/>
                <w:sz w:val="14"/>
                <w:szCs w:val="14"/>
                <w:color w:val="auto"/>
              </w:rPr>
              <w:t>Non-cable customers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45,564</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13,429</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58,993</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37,619</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13,538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51,157</w:t>
            </w:r>
          </w:p>
        </w:tc>
      </w:tr>
      <w:tr>
        <w:trPr>
          <w:trHeight w:val="23"/>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4"/>
        </w:trPr>
        <w:tc>
          <w:tcPr>
            <w:tcW w:w="4400" w:type="dxa"/>
            <w:vAlign w:val="bottom"/>
          </w:tcPr>
          <w:p>
            <w:pPr>
              <w:ind w:left="140"/>
              <w:spacing w:after="0"/>
              <w:rPr>
                <w:sz w:val="20"/>
                <w:szCs w:val="20"/>
                <w:color w:val="auto"/>
              </w:rPr>
            </w:pPr>
            <w:r>
              <w:rPr>
                <w:rFonts w:ascii="Arial" w:cs="Arial" w:eastAsia="Arial" w:hAnsi="Arial"/>
                <w:sz w:val="14"/>
                <w:szCs w:val="14"/>
                <w:color w:val="auto"/>
              </w:rPr>
              <w:t>Total cable customer relationships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84,759</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17,678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102,437</w:t>
            </w:r>
          </w:p>
        </w:tc>
        <w:tc>
          <w:tcPr>
            <w:tcW w:w="1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79,426</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18,838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98,264</w:t>
            </w:r>
          </w:p>
        </w:tc>
      </w:tr>
      <w:tr>
        <w:trPr>
          <w:trHeight w:val="388"/>
        </w:trPr>
        <w:tc>
          <w:tcPr>
            <w:tcW w:w="4400" w:type="dxa"/>
            <w:vAlign w:val="bottom"/>
          </w:tcPr>
          <w:p>
            <w:pPr>
              <w:ind w:left="140"/>
              <w:spacing w:after="0"/>
              <w:rPr>
                <w:sz w:val="20"/>
                <w:szCs w:val="20"/>
                <w:color w:val="auto"/>
              </w:rPr>
            </w:pPr>
            <w:r>
              <w:rPr>
                <w:rFonts w:ascii="Arial" w:cs="Arial" w:eastAsia="Arial" w:hAnsi="Arial"/>
                <w:sz w:val="14"/>
                <w:szCs w:val="14"/>
                <w:color w:val="auto"/>
              </w:rPr>
              <w:t>Video RGUs:</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4400" w:type="dxa"/>
            <w:vAlign w:val="bottom"/>
          </w:tcPr>
          <w:p>
            <w:pPr>
              <w:ind w:left="300"/>
              <w:spacing w:after="0"/>
              <w:rPr>
                <w:sz w:val="20"/>
                <w:szCs w:val="20"/>
                <w:color w:val="auto"/>
              </w:rPr>
            </w:pPr>
            <w:r>
              <w:rPr>
                <w:rFonts w:ascii="Arial" w:cs="Arial" w:eastAsia="Arial" w:hAnsi="Arial"/>
                <w:sz w:val="14"/>
                <w:szCs w:val="14"/>
                <w:color w:val="auto"/>
              </w:rPr>
              <w:t>RGUs former methodology</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41,331</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4,438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45,769</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44,093</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4,796</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48,889</w:t>
            </w:r>
          </w:p>
        </w:tc>
      </w:tr>
      <w:tr>
        <w:trPr>
          <w:trHeight w:val="216"/>
        </w:trPr>
        <w:tc>
          <w:tcPr>
            <w:tcW w:w="4400" w:type="dxa"/>
            <w:vAlign w:val="bottom"/>
          </w:tcPr>
          <w:p>
            <w:pPr>
              <w:ind w:left="300"/>
              <w:spacing w:after="0"/>
              <w:rPr>
                <w:sz w:val="20"/>
                <w:szCs w:val="20"/>
                <w:color w:val="auto"/>
              </w:rPr>
            </w:pPr>
            <w:r>
              <w:rPr>
                <w:rFonts w:ascii="Arial" w:cs="Arial" w:eastAsia="Arial" w:hAnsi="Arial"/>
                <w:sz w:val="14"/>
                <w:szCs w:val="14"/>
                <w:color w:val="auto"/>
              </w:rPr>
              <w:t>Bulk adjustment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8,632</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614</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9,246</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9,624</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817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10,441</w:t>
            </w:r>
          </w:p>
        </w:tc>
      </w:tr>
      <w:tr>
        <w:trPr>
          <w:trHeight w:val="23"/>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4"/>
        </w:trPr>
        <w:tc>
          <w:tcPr>
            <w:tcW w:w="4400" w:type="dxa"/>
            <w:vAlign w:val="bottom"/>
          </w:tcPr>
          <w:p>
            <w:pPr>
              <w:ind w:left="220"/>
              <w:spacing w:after="0"/>
              <w:rPr>
                <w:sz w:val="20"/>
                <w:szCs w:val="20"/>
                <w:color w:val="auto"/>
              </w:rPr>
            </w:pPr>
            <w:r>
              <w:rPr>
                <w:rFonts w:ascii="Arial" w:cs="Arial" w:eastAsia="Arial" w:hAnsi="Arial"/>
                <w:sz w:val="14"/>
                <w:szCs w:val="14"/>
                <w:color w:val="auto"/>
              </w:rPr>
              <w:t>RGUs revised methodology (3)</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49,963</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5,052</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55,015</w:t>
            </w:r>
          </w:p>
        </w:tc>
        <w:tc>
          <w:tcPr>
            <w:tcW w:w="1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53,717</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5,613</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59,330</w:t>
            </w:r>
          </w:p>
        </w:tc>
      </w:tr>
      <w:tr>
        <w:trPr>
          <w:trHeight w:val="216"/>
        </w:trPr>
        <w:tc>
          <w:tcPr>
            <w:tcW w:w="4400" w:type="dxa"/>
            <w:vAlign w:val="bottom"/>
          </w:tcPr>
          <w:p>
            <w:pPr>
              <w:ind w:left="140"/>
              <w:spacing w:after="0"/>
              <w:rPr>
                <w:sz w:val="20"/>
                <w:szCs w:val="20"/>
                <w:color w:val="auto"/>
              </w:rPr>
            </w:pPr>
            <w:r>
              <w:rPr>
                <w:rFonts w:ascii="Arial" w:cs="Arial" w:eastAsia="Arial" w:hAnsi="Arial"/>
                <w:sz w:val="14"/>
                <w:szCs w:val="14"/>
                <w:color w:val="auto"/>
              </w:rPr>
              <w:t>Penetration (4)</w:t>
            </w:r>
          </w:p>
        </w:tc>
        <w:tc>
          <w:tcPr>
            <w:tcW w:w="1140" w:type="dxa"/>
            <w:vAlign w:val="bottom"/>
          </w:tcPr>
          <w:p>
            <w:pPr>
              <w:jc w:val="right"/>
              <w:spacing w:after="0"/>
              <w:rPr>
                <w:sz w:val="20"/>
                <w:szCs w:val="20"/>
                <w:color w:val="auto"/>
              </w:rPr>
            </w:pPr>
            <w:r>
              <w:rPr>
                <w:rFonts w:ascii="Arial" w:cs="Arial" w:eastAsia="Arial" w:hAnsi="Arial"/>
                <w:sz w:val="14"/>
                <w:szCs w:val="14"/>
                <w:color w:val="auto"/>
              </w:rPr>
              <w:t>26.3%</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30.6%</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29.0%</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34.0%</w:t>
            </w:r>
          </w:p>
        </w:tc>
        <w:tc>
          <w:tcPr>
            <w:tcW w:w="920" w:type="dxa"/>
            <w:vAlign w:val="bottom"/>
          </w:tcPr>
          <w:p>
            <w:pPr>
              <w:spacing w:after="0"/>
              <w:rPr>
                <w:sz w:val="18"/>
                <w:szCs w:val="18"/>
                <w:color w:val="auto"/>
              </w:rPr>
            </w:pPr>
          </w:p>
        </w:tc>
      </w:tr>
      <w:tr>
        <w:trPr>
          <w:trHeight w:val="216"/>
        </w:trPr>
        <w:tc>
          <w:tcPr>
            <w:tcW w:w="4400" w:type="dxa"/>
            <w:vAlign w:val="bottom"/>
          </w:tcPr>
          <w:p>
            <w:pPr>
              <w:ind w:left="140"/>
              <w:spacing w:after="0"/>
              <w:rPr>
                <w:sz w:val="20"/>
                <w:szCs w:val="20"/>
                <w:color w:val="auto"/>
              </w:rPr>
            </w:pPr>
            <w:r>
              <w:rPr>
                <w:rFonts w:ascii="Arial" w:cs="Arial" w:eastAsia="Arial" w:hAnsi="Arial"/>
                <w:sz w:val="14"/>
                <w:szCs w:val="14"/>
                <w:color w:val="auto"/>
              </w:rPr>
              <w:t>Digital video penetration (5)</w:t>
            </w:r>
          </w:p>
        </w:tc>
        <w:tc>
          <w:tcPr>
            <w:tcW w:w="1140" w:type="dxa"/>
            <w:vAlign w:val="bottom"/>
          </w:tcPr>
          <w:p>
            <w:pPr>
              <w:jc w:val="right"/>
              <w:spacing w:after="0"/>
              <w:rPr>
                <w:sz w:val="20"/>
                <w:szCs w:val="20"/>
                <w:color w:val="auto"/>
              </w:rPr>
            </w:pPr>
            <w:r>
              <w:rPr>
                <w:rFonts w:ascii="Arial" w:cs="Arial" w:eastAsia="Arial" w:hAnsi="Arial"/>
                <w:sz w:val="14"/>
                <w:szCs w:val="14"/>
                <w:color w:val="auto"/>
              </w:rPr>
              <w:t>95.9%</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100.0%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77.8%</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100.0%</w:t>
            </w:r>
          </w:p>
        </w:tc>
        <w:tc>
          <w:tcPr>
            <w:tcW w:w="920" w:type="dxa"/>
            <w:vAlign w:val="bottom"/>
          </w:tcPr>
          <w:p>
            <w:pPr>
              <w:spacing w:after="0"/>
              <w:rPr>
                <w:sz w:val="18"/>
                <w:szCs w:val="18"/>
                <w:color w:val="auto"/>
              </w:rPr>
            </w:pPr>
          </w:p>
        </w:tc>
      </w:tr>
      <w:tr>
        <w:trPr>
          <w:trHeight w:val="366"/>
        </w:trPr>
        <w:tc>
          <w:tcPr>
            <w:tcW w:w="4400" w:type="dxa"/>
            <w:vAlign w:val="bottom"/>
          </w:tcPr>
          <w:p>
            <w:pPr>
              <w:ind w:left="140"/>
              <w:spacing w:after="0"/>
              <w:rPr>
                <w:sz w:val="20"/>
                <w:szCs w:val="20"/>
                <w:color w:val="auto"/>
              </w:rPr>
            </w:pPr>
            <w:r>
              <w:rPr>
                <w:rFonts w:ascii="Arial" w:cs="Arial" w:eastAsia="Arial" w:hAnsi="Arial"/>
                <w:sz w:val="14"/>
                <w:szCs w:val="14"/>
                <w:color w:val="auto"/>
              </w:rPr>
              <w:t>Broadband RGUs:</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4400" w:type="dxa"/>
            <w:vAlign w:val="bottom"/>
          </w:tcPr>
          <w:p>
            <w:pPr>
              <w:ind w:left="300"/>
              <w:spacing w:after="0"/>
              <w:rPr>
                <w:sz w:val="20"/>
                <w:szCs w:val="20"/>
                <w:color w:val="auto"/>
              </w:rPr>
            </w:pPr>
            <w:r>
              <w:rPr>
                <w:rFonts w:ascii="Arial" w:cs="Arial" w:eastAsia="Arial" w:hAnsi="Arial"/>
                <w:sz w:val="14"/>
                <w:szCs w:val="14"/>
                <w:color w:val="auto"/>
              </w:rPr>
              <w:t>RGUs former methodology</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73,557</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14,061</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87,618</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67,089</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14,734</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81,823</w:t>
            </w:r>
          </w:p>
        </w:tc>
      </w:tr>
      <w:tr>
        <w:trPr>
          <w:trHeight w:val="216"/>
        </w:trPr>
        <w:tc>
          <w:tcPr>
            <w:tcW w:w="4400" w:type="dxa"/>
            <w:vAlign w:val="bottom"/>
          </w:tcPr>
          <w:p>
            <w:pPr>
              <w:ind w:left="300"/>
              <w:spacing w:after="0"/>
              <w:rPr>
                <w:sz w:val="20"/>
                <w:szCs w:val="20"/>
                <w:color w:val="auto"/>
              </w:rPr>
            </w:pPr>
            <w:r>
              <w:rPr>
                <w:rFonts w:ascii="Arial" w:cs="Arial" w:eastAsia="Arial" w:hAnsi="Arial"/>
                <w:sz w:val="14"/>
                <w:szCs w:val="14"/>
                <w:color w:val="auto"/>
              </w:rPr>
              <w:t xml:space="preserve">Less: Rural Local Exchange Carrier </w:t>
            </w:r>
            <w:r>
              <w:rPr>
                <w:rFonts w:ascii="Arial" w:cs="Arial" w:eastAsia="Arial" w:hAnsi="Arial"/>
                <w:sz w:val="12"/>
                <w:szCs w:val="12"/>
                <w:color w:val="auto"/>
              </w:rPr>
              <w:t>("RLEC")</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(8,112)</w:t>
            </w:r>
          </w:p>
        </w:tc>
        <w:tc>
          <w:tcPr>
            <w:tcW w:w="940" w:type="dxa"/>
            <w:vAlign w:val="bottom"/>
          </w:tcPr>
          <w:p>
            <w:pPr>
              <w:jc w:val="right"/>
              <w:spacing w:after="0"/>
              <w:rPr>
                <w:sz w:val="20"/>
                <w:szCs w:val="20"/>
                <w:color w:val="auto"/>
              </w:rPr>
            </w:pPr>
            <w:r>
              <w:rPr>
                <w:rFonts w:ascii="Arial" w:cs="Arial" w:eastAsia="Arial" w:hAnsi="Arial"/>
                <w:sz w:val="14"/>
                <w:szCs w:val="14"/>
                <w:color w:val="auto"/>
              </w:rPr>
              <w:t>(8,112)</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48"/>
              <w:spacing w:after="0"/>
              <w:rPr>
                <w:sz w:val="20"/>
                <w:szCs w:val="20"/>
                <w:color w:val="auto"/>
              </w:rPr>
            </w:pPr>
            <w:r>
              <w:rPr>
                <w:rFonts w:ascii="Arial" w:cs="Arial" w:eastAsia="Arial" w:hAnsi="Arial"/>
                <w:sz w:val="14"/>
                <w:szCs w:val="14"/>
                <w:color w:val="auto"/>
              </w:rPr>
              <w:t>(9,625)</w:t>
            </w:r>
          </w:p>
        </w:tc>
        <w:tc>
          <w:tcPr>
            <w:tcW w:w="920" w:type="dxa"/>
            <w:vAlign w:val="bottom"/>
          </w:tcPr>
          <w:p>
            <w:pPr>
              <w:jc w:val="right"/>
              <w:spacing w:after="0"/>
              <w:rPr>
                <w:sz w:val="20"/>
                <w:szCs w:val="20"/>
                <w:color w:val="auto"/>
              </w:rPr>
            </w:pPr>
            <w:r>
              <w:rPr>
                <w:rFonts w:ascii="Arial" w:cs="Arial" w:eastAsia="Arial" w:hAnsi="Arial"/>
                <w:sz w:val="14"/>
                <w:szCs w:val="14"/>
                <w:color w:val="auto"/>
              </w:rPr>
              <w:t>(9,625)</w:t>
            </w:r>
          </w:p>
        </w:tc>
      </w:tr>
      <w:tr>
        <w:trPr>
          <w:trHeight w:val="216"/>
        </w:trPr>
        <w:tc>
          <w:tcPr>
            <w:tcW w:w="4400" w:type="dxa"/>
            <w:vAlign w:val="bottom"/>
          </w:tcPr>
          <w:p>
            <w:pPr>
              <w:ind w:left="300"/>
              <w:spacing w:after="0"/>
              <w:rPr>
                <w:sz w:val="20"/>
                <w:szCs w:val="20"/>
                <w:color w:val="auto"/>
              </w:rPr>
            </w:pPr>
            <w:r>
              <w:rPr>
                <w:rFonts w:ascii="Arial" w:cs="Arial" w:eastAsia="Arial" w:hAnsi="Arial"/>
                <w:sz w:val="14"/>
                <w:szCs w:val="14"/>
                <w:color w:val="auto"/>
              </w:rPr>
              <w:t>Bulk adjustment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2,601</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306</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2,907</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1,939</w:t>
            </w:r>
          </w:p>
        </w:tc>
        <w:tc>
          <w:tcPr>
            <w:tcW w:w="1420" w:type="dxa"/>
            <w:vAlign w:val="bottom"/>
          </w:tcPr>
          <w:p>
            <w:pPr>
              <w:jc w:val="right"/>
              <w:ind w:right="248"/>
              <w:spacing w:after="0"/>
              <w:rPr>
                <w:sz w:val="20"/>
                <w:szCs w:val="20"/>
                <w:color w:val="auto"/>
              </w:rPr>
            </w:pPr>
            <w:r>
              <w:rPr>
                <w:rFonts w:ascii="Arial" w:cs="Arial" w:eastAsia="Arial" w:hAnsi="Arial"/>
                <w:sz w:val="14"/>
                <w:szCs w:val="14"/>
                <w:color w:val="auto"/>
              </w:rPr>
              <w:t>(456)</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1,483</w:t>
            </w:r>
          </w:p>
        </w:tc>
      </w:tr>
      <w:tr>
        <w:trPr>
          <w:trHeight w:val="23"/>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4"/>
        </w:trPr>
        <w:tc>
          <w:tcPr>
            <w:tcW w:w="4400" w:type="dxa"/>
            <w:vAlign w:val="bottom"/>
          </w:tcPr>
          <w:p>
            <w:pPr>
              <w:ind w:left="220"/>
              <w:spacing w:after="0"/>
              <w:rPr>
                <w:sz w:val="20"/>
                <w:szCs w:val="20"/>
                <w:color w:val="auto"/>
              </w:rPr>
            </w:pPr>
            <w:r>
              <w:rPr>
                <w:rFonts w:ascii="Arial" w:cs="Arial" w:eastAsia="Arial" w:hAnsi="Arial"/>
                <w:sz w:val="14"/>
                <w:szCs w:val="14"/>
                <w:color w:val="auto"/>
              </w:rPr>
              <w:t>RGUs revised methodology (3)</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76,158</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6,255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82,413</w:t>
            </w:r>
          </w:p>
        </w:tc>
        <w:tc>
          <w:tcPr>
            <w:tcW w:w="1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69,028</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4,653</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73,681</w:t>
            </w:r>
          </w:p>
        </w:tc>
      </w:tr>
      <w:tr>
        <w:trPr>
          <w:trHeight w:val="216"/>
        </w:trPr>
        <w:tc>
          <w:tcPr>
            <w:tcW w:w="4400" w:type="dxa"/>
            <w:vAlign w:val="bottom"/>
          </w:tcPr>
          <w:p>
            <w:pPr>
              <w:ind w:left="140"/>
              <w:spacing w:after="0"/>
              <w:rPr>
                <w:sz w:val="20"/>
                <w:szCs w:val="20"/>
                <w:color w:val="auto"/>
              </w:rPr>
            </w:pPr>
            <w:r>
              <w:rPr>
                <w:rFonts w:ascii="Arial" w:cs="Arial" w:eastAsia="Arial" w:hAnsi="Arial"/>
                <w:sz w:val="14"/>
                <w:szCs w:val="14"/>
                <w:color w:val="auto"/>
              </w:rPr>
              <w:t>Penetration (4)</w:t>
            </w:r>
          </w:p>
        </w:tc>
        <w:tc>
          <w:tcPr>
            <w:tcW w:w="1140" w:type="dxa"/>
            <w:vAlign w:val="bottom"/>
          </w:tcPr>
          <w:p>
            <w:pPr>
              <w:jc w:val="right"/>
              <w:spacing w:after="0"/>
              <w:rPr>
                <w:sz w:val="20"/>
                <w:szCs w:val="20"/>
                <w:color w:val="auto"/>
              </w:rPr>
            </w:pPr>
            <w:r>
              <w:rPr>
                <w:rFonts w:ascii="Arial" w:cs="Arial" w:eastAsia="Arial" w:hAnsi="Arial"/>
                <w:sz w:val="14"/>
                <w:szCs w:val="14"/>
                <w:color w:val="auto"/>
              </w:rPr>
              <w:t>40.1%</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37.9%</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37.3%</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28.2%</w:t>
            </w:r>
          </w:p>
        </w:tc>
        <w:tc>
          <w:tcPr>
            <w:tcW w:w="920" w:type="dxa"/>
            <w:vAlign w:val="bottom"/>
          </w:tcPr>
          <w:p>
            <w:pPr>
              <w:spacing w:after="0"/>
              <w:rPr>
                <w:sz w:val="18"/>
                <w:szCs w:val="18"/>
                <w:color w:val="auto"/>
              </w:rPr>
            </w:pPr>
          </w:p>
        </w:tc>
      </w:tr>
      <w:tr>
        <w:trPr>
          <w:trHeight w:val="366"/>
        </w:trPr>
        <w:tc>
          <w:tcPr>
            <w:tcW w:w="4400" w:type="dxa"/>
            <w:vAlign w:val="bottom"/>
          </w:tcPr>
          <w:p>
            <w:pPr>
              <w:ind w:left="140"/>
              <w:spacing w:after="0"/>
              <w:rPr>
                <w:sz w:val="20"/>
                <w:szCs w:val="20"/>
                <w:color w:val="auto"/>
              </w:rPr>
            </w:pPr>
            <w:r>
              <w:rPr>
                <w:rFonts w:ascii="Arial" w:cs="Arial" w:eastAsia="Arial" w:hAnsi="Arial"/>
                <w:sz w:val="14"/>
                <w:szCs w:val="14"/>
                <w:color w:val="auto"/>
              </w:rPr>
              <w:t>Voice RGUs:</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4400" w:type="dxa"/>
            <w:vAlign w:val="bottom"/>
          </w:tcPr>
          <w:p>
            <w:pPr>
              <w:ind w:left="300"/>
              <w:spacing w:after="0"/>
              <w:rPr>
                <w:sz w:val="20"/>
                <w:szCs w:val="20"/>
                <w:color w:val="auto"/>
              </w:rPr>
            </w:pPr>
            <w:r>
              <w:rPr>
                <w:rFonts w:ascii="Arial" w:cs="Arial" w:eastAsia="Arial" w:hAnsi="Arial"/>
                <w:sz w:val="14"/>
                <w:szCs w:val="14"/>
                <w:color w:val="auto"/>
              </w:rPr>
              <w:t>RGUs former methodology</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23,636</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19,135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42,771</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23,268</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17,786</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41,054</w:t>
            </w:r>
          </w:p>
        </w:tc>
      </w:tr>
      <w:tr>
        <w:trPr>
          <w:trHeight w:val="216"/>
        </w:trPr>
        <w:tc>
          <w:tcPr>
            <w:tcW w:w="4400" w:type="dxa"/>
            <w:vAlign w:val="bottom"/>
          </w:tcPr>
          <w:p>
            <w:pPr>
              <w:ind w:left="300"/>
              <w:spacing w:after="0"/>
              <w:rPr>
                <w:sz w:val="20"/>
                <w:szCs w:val="20"/>
                <w:color w:val="auto"/>
              </w:rPr>
            </w:pPr>
            <w:r>
              <w:rPr>
                <w:rFonts w:ascii="Arial" w:cs="Arial" w:eastAsia="Arial" w:hAnsi="Arial"/>
                <w:sz w:val="14"/>
                <w:szCs w:val="14"/>
                <w:color w:val="auto"/>
              </w:rPr>
              <w:t>Less: RLEC</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(14,594)</w:t>
            </w:r>
          </w:p>
        </w:tc>
        <w:tc>
          <w:tcPr>
            <w:tcW w:w="940" w:type="dxa"/>
            <w:vAlign w:val="bottom"/>
          </w:tcPr>
          <w:p>
            <w:pPr>
              <w:jc w:val="right"/>
              <w:spacing w:after="0"/>
              <w:rPr>
                <w:sz w:val="20"/>
                <w:szCs w:val="20"/>
                <w:color w:val="auto"/>
              </w:rPr>
            </w:pPr>
            <w:r>
              <w:rPr>
                <w:rFonts w:ascii="Arial" w:cs="Arial" w:eastAsia="Arial" w:hAnsi="Arial"/>
                <w:sz w:val="14"/>
                <w:szCs w:val="14"/>
                <w:color w:val="auto"/>
              </w:rPr>
              <w:t>(14,594)</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48"/>
              <w:spacing w:after="0"/>
              <w:rPr>
                <w:sz w:val="20"/>
                <w:szCs w:val="20"/>
                <w:color w:val="auto"/>
              </w:rPr>
            </w:pPr>
            <w:r>
              <w:rPr>
                <w:rFonts w:ascii="Arial" w:cs="Arial" w:eastAsia="Arial" w:hAnsi="Arial"/>
                <w:sz w:val="14"/>
                <w:szCs w:val="14"/>
                <w:color w:val="auto"/>
              </w:rPr>
              <w:t>(15,002)</w:t>
            </w:r>
          </w:p>
        </w:tc>
        <w:tc>
          <w:tcPr>
            <w:tcW w:w="920" w:type="dxa"/>
            <w:vAlign w:val="bottom"/>
          </w:tcPr>
          <w:p>
            <w:pPr>
              <w:jc w:val="right"/>
              <w:spacing w:after="0"/>
              <w:rPr>
                <w:sz w:val="20"/>
                <w:szCs w:val="20"/>
                <w:color w:val="auto"/>
              </w:rPr>
            </w:pPr>
            <w:r>
              <w:rPr>
                <w:rFonts w:ascii="Arial" w:cs="Arial" w:eastAsia="Arial" w:hAnsi="Arial"/>
                <w:sz w:val="14"/>
                <w:szCs w:val="14"/>
                <w:color w:val="auto"/>
              </w:rPr>
              <w:t>(15,002)</w:t>
            </w:r>
          </w:p>
        </w:tc>
      </w:tr>
      <w:tr>
        <w:trPr>
          <w:trHeight w:val="216"/>
        </w:trPr>
        <w:tc>
          <w:tcPr>
            <w:tcW w:w="4400" w:type="dxa"/>
            <w:vAlign w:val="bottom"/>
          </w:tcPr>
          <w:p>
            <w:pPr>
              <w:ind w:left="300"/>
              <w:spacing w:after="0"/>
              <w:rPr>
                <w:sz w:val="20"/>
                <w:szCs w:val="20"/>
                <w:color w:val="auto"/>
              </w:rPr>
            </w:pPr>
            <w:r>
              <w:rPr>
                <w:rFonts w:ascii="Arial" w:cs="Arial" w:eastAsia="Arial" w:hAnsi="Arial"/>
                <w:sz w:val="14"/>
                <w:szCs w:val="14"/>
                <w:color w:val="auto"/>
              </w:rPr>
              <w:t>Bulk adjustment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434</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2,345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2,779</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504</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105</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609</w:t>
            </w:r>
          </w:p>
        </w:tc>
      </w:tr>
      <w:tr>
        <w:trPr>
          <w:trHeight w:val="23"/>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4"/>
        </w:trPr>
        <w:tc>
          <w:tcPr>
            <w:tcW w:w="4400" w:type="dxa"/>
            <w:vAlign w:val="bottom"/>
          </w:tcPr>
          <w:p>
            <w:pPr>
              <w:ind w:left="220"/>
              <w:spacing w:after="0"/>
              <w:rPr>
                <w:sz w:val="20"/>
                <w:szCs w:val="20"/>
                <w:color w:val="auto"/>
              </w:rPr>
            </w:pPr>
            <w:r>
              <w:rPr>
                <w:rFonts w:ascii="Arial" w:cs="Arial" w:eastAsia="Arial" w:hAnsi="Arial"/>
                <w:sz w:val="14"/>
                <w:szCs w:val="14"/>
                <w:color w:val="auto"/>
              </w:rPr>
              <w:t>RGUs revised methodology (3)</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24,070</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6,886</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30,956</w:t>
            </w:r>
          </w:p>
        </w:tc>
        <w:tc>
          <w:tcPr>
            <w:tcW w:w="1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23,772</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2,889</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26,661</w:t>
            </w:r>
          </w:p>
        </w:tc>
      </w:tr>
      <w:tr>
        <w:trPr>
          <w:trHeight w:val="216"/>
        </w:trPr>
        <w:tc>
          <w:tcPr>
            <w:tcW w:w="4400" w:type="dxa"/>
            <w:vAlign w:val="bottom"/>
          </w:tcPr>
          <w:p>
            <w:pPr>
              <w:ind w:left="140"/>
              <w:spacing w:after="0"/>
              <w:rPr>
                <w:sz w:val="20"/>
                <w:szCs w:val="20"/>
                <w:color w:val="auto"/>
              </w:rPr>
            </w:pPr>
            <w:r>
              <w:rPr>
                <w:rFonts w:ascii="Arial" w:cs="Arial" w:eastAsia="Arial" w:hAnsi="Arial"/>
                <w:sz w:val="14"/>
                <w:szCs w:val="14"/>
                <w:color w:val="auto"/>
              </w:rPr>
              <w:t>Penetration (4)</w:t>
            </w:r>
          </w:p>
        </w:tc>
        <w:tc>
          <w:tcPr>
            <w:tcW w:w="1140" w:type="dxa"/>
            <w:vAlign w:val="bottom"/>
          </w:tcPr>
          <w:p>
            <w:pPr>
              <w:jc w:val="right"/>
              <w:spacing w:after="0"/>
              <w:rPr>
                <w:sz w:val="20"/>
                <w:szCs w:val="20"/>
                <w:color w:val="auto"/>
              </w:rPr>
            </w:pPr>
            <w:r>
              <w:rPr>
                <w:rFonts w:ascii="Arial" w:cs="Arial" w:eastAsia="Arial" w:hAnsi="Arial"/>
                <w:sz w:val="14"/>
                <w:szCs w:val="14"/>
                <w:color w:val="auto"/>
              </w:rPr>
              <w:t>12.7%</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41.7%</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12.8%</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17.5%</w:t>
            </w:r>
          </w:p>
        </w:tc>
        <w:tc>
          <w:tcPr>
            <w:tcW w:w="920" w:type="dxa"/>
            <w:vAlign w:val="bottom"/>
          </w:tcPr>
          <w:p>
            <w:pPr>
              <w:spacing w:after="0"/>
              <w:rPr>
                <w:sz w:val="18"/>
                <w:szCs w:val="18"/>
                <w:color w:val="auto"/>
              </w:rPr>
            </w:pPr>
          </w:p>
        </w:tc>
      </w:tr>
      <w:tr>
        <w:trPr>
          <w:trHeight w:val="431"/>
        </w:trPr>
        <w:tc>
          <w:tcPr>
            <w:tcW w:w="4400" w:type="dxa"/>
            <w:vAlign w:val="bottom"/>
          </w:tcPr>
          <w:p>
            <w:pPr>
              <w:ind w:left="20"/>
              <w:spacing w:after="0"/>
              <w:rPr>
                <w:sz w:val="20"/>
                <w:szCs w:val="20"/>
                <w:color w:val="auto"/>
              </w:rPr>
            </w:pPr>
            <w:r>
              <w:rPr>
                <w:rFonts w:ascii="Arial" w:cs="Arial" w:eastAsia="Arial" w:hAnsi="Arial"/>
                <w:sz w:val="14"/>
                <w:szCs w:val="14"/>
                <w:color w:val="auto"/>
              </w:rPr>
              <w:t>Total RGUs former methodology</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138,524</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37,634</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176,158</w:t>
            </w: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134,450</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37,316</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171,766</w:t>
            </w:r>
          </w:p>
        </w:tc>
      </w:tr>
      <w:tr>
        <w:trPr>
          <w:trHeight w:val="216"/>
        </w:trPr>
        <w:tc>
          <w:tcPr>
            <w:tcW w:w="4400" w:type="dxa"/>
            <w:vAlign w:val="bottom"/>
          </w:tcPr>
          <w:p>
            <w:pPr>
              <w:ind w:left="220"/>
              <w:spacing w:after="0"/>
              <w:rPr>
                <w:sz w:val="20"/>
                <w:szCs w:val="20"/>
                <w:color w:val="auto"/>
              </w:rPr>
            </w:pPr>
            <w:r>
              <w:rPr>
                <w:rFonts w:ascii="Arial" w:cs="Arial" w:eastAsia="Arial" w:hAnsi="Arial"/>
                <w:sz w:val="14"/>
                <w:szCs w:val="14"/>
                <w:color w:val="auto"/>
              </w:rPr>
              <w:t>Less: RLEC</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(22,706)</w:t>
            </w:r>
          </w:p>
        </w:tc>
        <w:tc>
          <w:tcPr>
            <w:tcW w:w="940" w:type="dxa"/>
            <w:vAlign w:val="bottom"/>
          </w:tcPr>
          <w:p>
            <w:pPr>
              <w:jc w:val="right"/>
              <w:spacing w:after="0"/>
              <w:rPr>
                <w:sz w:val="20"/>
                <w:szCs w:val="20"/>
                <w:color w:val="auto"/>
              </w:rPr>
            </w:pPr>
            <w:r>
              <w:rPr>
                <w:rFonts w:ascii="Arial" w:cs="Arial" w:eastAsia="Arial" w:hAnsi="Arial"/>
                <w:sz w:val="14"/>
                <w:szCs w:val="14"/>
                <w:color w:val="auto"/>
              </w:rPr>
              <w:t>(22,706)</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48"/>
              <w:spacing w:after="0"/>
              <w:rPr>
                <w:sz w:val="20"/>
                <w:szCs w:val="20"/>
                <w:color w:val="auto"/>
              </w:rPr>
            </w:pPr>
            <w:r>
              <w:rPr>
                <w:rFonts w:ascii="Arial" w:cs="Arial" w:eastAsia="Arial" w:hAnsi="Arial"/>
                <w:sz w:val="14"/>
                <w:szCs w:val="14"/>
                <w:color w:val="auto"/>
              </w:rPr>
              <w:t>(24,627)</w:t>
            </w:r>
          </w:p>
        </w:tc>
        <w:tc>
          <w:tcPr>
            <w:tcW w:w="920" w:type="dxa"/>
            <w:vAlign w:val="bottom"/>
          </w:tcPr>
          <w:p>
            <w:pPr>
              <w:jc w:val="right"/>
              <w:spacing w:after="0"/>
              <w:rPr>
                <w:sz w:val="20"/>
                <w:szCs w:val="20"/>
                <w:color w:val="auto"/>
              </w:rPr>
            </w:pPr>
            <w:r>
              <w:rPr>
                <w:rFonts w:ascii="Arial" w:cs="Arial" w:eastAsia="Arial" w:hAnsi="Arial"/>
                <w:sz w:val="14"/>
                <w:szCs w:val="14"/>
                <w:color w:val="auto"/>
              </w:rPr>
              <w:t>(24,627)</w:t>
            </w:r>
          </w:p>
        </w:tc>
      </w:tr>
      <w:tr>
        <w:trPr>
          <w:trHeight w:val="216"/>
        </w:trPr>
        <w:tc>
          <w:tcPr>
            <w:tcW w:w="4400" w:type="dxa"/>
            <w:vAlign w:val="bottom"/>
          </w:tcPr>
          <w:p>
            <w:pPr>
              <w:ind w:left="220"/>
              <w:spacing w:after="0"/>
              <w:rPr>
                <w:sz w:val="20"/>
                <w:szCs w:val="20"/>
                <w:color w:val="auto"/>
              </w:rPr>
            </w:pPr>
            <w:r>
              <w:rPr>
                <w:rFonts w:ascii="Arial" w:cs="Arial" w:eastAsia="Arial" w:hAnsi="Arial"/>
                <w:sz w:val="14"/>
                <w:szCs w:val="14"/>
                <w:color w:val="auto"/>
              </w:rPr>
              <w:t>Bulk adjustment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11,667</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3,265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14,932</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12,067</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466</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12,533</w:t>
            </w:r>
          </w:p>
        </w:tc>
      </w:tr>
      <w:tr>
        <w:trPr>
          <w:trHeight w:val="23"/>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4400" w:type="dxa"/>
            <w:vAlign w:val="bottom"/>
          </w:tcPr>
          <w:p>
            <w:pPr>
              <w:ind w:left="20"/>
              <w:spacing w:after="0"/>
              <w:rPr>
                <w:sz w:val="20"/>
                <w:szCs w:val="20"/>
                <w:color w:val="auto"/>
              </w:rPr>
            </w:pPr>
            <w:r>
              <w:rPr>
                <w:rFonts w:ascii="Arial" w:cs="Arial" w:eastAsia="Arial" w:hAnsi="Arial"/>
                <w:sz w:val="14"/>
                <w:szCs w:val="14"/>
                <w:color w:val="auto"/>
              </w:rPr>
              <w:t>Total RGUs revised methodology</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150,191</w:t>
            </w:r>
          </w:p>
        </w:tc>
        <w:tc>
          <w:tcPr>
            <w:tcW w:w="1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18,193</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168,384</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146,517</w:t>
            </w: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13,155</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159,672</w:t>
            </w:r>
          </w:p>
        </w:tc>
      </w:tr>
      <w:tr>
        <w:trPr>
          <w:trHeight w:val="20"/>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22"/>
        </w:trPr>
        <w:tc>
          <w:tcPr>
            <w:tcW w:w="4400" w:type="dxa"/>
            <w:vAlign w:val="bottom"/>
          </w:tcPr>
          <w:p>
            <w:pPr>
              <w:ind w:left="20"/>
              <w:spacing w:after="0"/>
              <w:rPr>
                <w:sz w:val="20"/>
                <w:szCs w:val="20"/>
                <w:color w:val="auto"/>
              </w:rPr>
            </w:pPr>
            <w:r>
              <w:rPr>
                <w:rFonts w:ascii="Arial" w:cs="Arial" w:eastAsia="Arial" w:hAnsi="Arial"/>
                <w:sz w:val="14"/>
                <w:szCs w:val="14"/>
                <w:color w:val="auto"/>
              </w:rPr>
              <w:t>RLEC homes passed</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25,495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25,495</w:t>
            </w: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25,457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25,457</w:t>
            </w: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RLEC RGUs:</w:t>
            </w: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4"/>
                <w:szCs w:val="14"/>
                <w:color w:val="auto"/>
              </w:rPr>
              <w:t>Data RLEC</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8,112</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8,112</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9,625</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9,625</w:t>
            </w:r>
          </w:p>
        </w:tc>
      </w:tr>
      <w:tr>
        <w:trPr>
          <w:trHeight w:val="216"/>
        </w:trPr>
        <w:tc>
          <w:tcPr>
            <w:tcW w:w="4400" w:type="dxa"/>
            <w:vAlign w:val="bottom"/>
          </w:tcPr>
          <w:p>
            <w:pPr>
              <w:ind w:left="140"/>
              <w:spacing w:after="0"/>
              <w:rPr>
                <w:sz w:val="20"/>
                <w:szCs w:val="20"/>
                <w:color w:val="auto"/>
              </w:rPr>
            </w:pPr>
            <w:r>
              <w:rPr>
                <w:rFonts w:ascii="Arial" w:cs="Arial" w:eastAsia="Arial" w:hAnsi="Arial"/>
                <w:sz w:val="14"/>
                <w:szCs w:val="14"/>
                <w:color w:val="auto"/>
              </w:rPr>
              <w:t>Penetration (4)</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31.8%</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37.8%</w:t>
            </w:r>
          </w:p>
        </w:tc>
        <w:tc>
          <w:tcPr>
            <w:tcW w:w="920" w:type="dxa"/>
            <w:vAlign w:val="bottom"/>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4"/>
                <w:szCs w:val="14"/>
                <w:color w:val="auto"/>
              </w:rPr>
              <w:t>Voice RLEC</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14,594</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14,594</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15,002</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15,002</w:t>
            </w:r>
          </w:p>
        </w:tc>
      </w:tr>
      <w:tr>
        <w:trPr>
          <w:trHeight w:val="216"/>
        </w:trPr>
        <w:tc>
          <w:tcPr>
            <w:tcW w:w="4400" w:type="dxa"/>
            <w:vAlign w:val="bottom"/>
          </w:tcPr>
          <w:p>
            <w:pPr>
              <w:ind w:left="140"/>
              <w:spacing w:after="0"/>
              <w:rPr>
                <w:sz w:val="20"/>
                <w:szCs w:val="20"/>
                <w:color w:val="auto"/>
              </w:rPr>
            </w:pPr>
            <w:r>
              <w:rPr>
                <w:rFonts w:ascii="Arial" w:cs="Arial" w:eastAsia="Arial" w:hAnsi="Arial"/>
                <w:sz w:val="14"/>
                <w:szCs w:val="14"/>
                <w:color w:val="auto"/>
              </w:rPr>
              <w:t>Penetration (4)</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57.2%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58.9%</w:t>
            </w:r>
          </w:p>
        </w:tc>
        <w:tc>
          <w:tcPr>
            <w:tcW w:w="920" w:type="dxa"/>
            <w:vAlign w:val="bottom"/>
          </w:tcPr>
          <w:p>
            <w:pPr>
              <w:spacing w:after="0"/>
              <w:rPr>
                <w:sz w:val="18"/>
                <w:szCs w:val="18"/>
                <w:color w:val="auto"/>
              </w:rPr>
            </w:pPr>
          </w:p>
        </w:tc>
      </w:tr>
      <w:tr>
        <w:trPr>
          <w:trHeight w:val="23"/>
        </w:trPr>
        <w:tc>
          <w:tcPr>
            <w:tcW w:w="4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4"/>
        </w:trPr>
        <w:tc>
          <w:tcPr>
            <w:tcW w:w="4400" w:type="dxa"/>
            <w:vAlign w:val="bottom"/>
          </w:tcPr>
          <w:p>
            <w:pPr>
              <w:ind w:left="20"/>
              <w:spacing w:after="0"/>
              <w:rPr>
                <w:sz w:val="20"/>
                <w:szCs w:val="20"/>
                <w:color w:val="auto"/>
              </w:rPr>
            </w:pPr>
            <w:r>
              <w:rPr>
                <w:rFonts w:ascii="Arial" w:cs="Arial" w:eastAsia="Arial" w:hAnsi="Arial"/>
                <w:sz w:val="14"/>
                <w:szCs w:val="14"/>
                <w:color w:val="auto"/>
              </w:rPr>
              <w:t>Total RLEC RGUs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22,706</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22,706</w:t>
            </w:r>
          </w:p>
        </w:tc>
        <w:tc>
          <w:tcPr>
            <w:tcW w:w="1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24,627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24,627</w:t>
            </w:r>
          </w:p>
        </w:tc>
      </w:tr>
      <w:tr>
        <w:trPr>
          <w:trHeight w:val="366"/>
        </w:trPr>
        <w:tc>
          <w:tcPr>
            <w:tcW w:w="4400" w:type="dxa"/>
            <w:vAlign w:val="bottom"/>
          </w:tcPr>
          <w:p>
            <w:pPr>
              <w:ind w:left="20"/>
              <w:spacing w:after="0"/>
              <w:rPr>
                <w:sz w:val="20"/>
                <w:szCs w:val="20"/>
                <w:color w:val="auto"/>
              </w:rPr>
            </w:pPr>
            <w:r>
              <w:rPr>
                <w:rFonts w:ascii="Arial" w:cs="Arial" w:eastAsia="Arial" w:hAnsi="Arial"/>
                <w:sz w:val="14"/>
                <w:szCs w:val="14"/>
                <w:color w:val="auto"/>
              </w:rPr>
              <w:t>Average revenue generating units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150,022</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17,851</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167,873</w:t>
            </w: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145,516</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12,058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157,574</w:t>
            </w: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Fiber route miles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3,678</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2,186</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5,864</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3,436</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2,112</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5,548</w:t>
            </w: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Total fiber miles (6)</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147,331</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164,371</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311,702</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134,411</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158,526</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292,937</w:t>
            </w:r>
          </w:p>
        </w:tc>
      </w:tr>
      <w:tr>
        <w:trPr>
          <w:trHeight w:val="114"/>
        </w:trPr>
        <w:tc>
          <w:tcPr>
            <w:tcW w:w="4400" w:type="dxa"/>
            <w:vAlign w:val="bottom"/>
          </w:tcPr>
          <w:p>
            <w:pPr>
              <w:spacing w:after="0"/>
              <w:rPr>
                <w:sz w:val="20"/>
                <w:szCs w:val="20"/>
                <w:color w:val="auto"/>
              </w:rPr>
            </w:pPr>
            <w:r>
              <w:rPr>
                <w:rFonts w:ascii="Arial" w:cs="Arial" w:eastAsia="Arial" w:hAnsi="Arial"/>
                <w:sz w:val="9"/>
                <w:szCs w:val="9"/>
                <w:color w:val="auto"/>
              </w:rPr>
              <w:t>_______________________________________________________</w:t>
            </w:r>
          </w:p>
        </w:tc>
        <w:tc>
          <w:tcPr>
            <w:tcW w:w="1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20" w:type="dxa"/>
            <w:vAlign w:val="bottom"/>
          </w:tcPr>
          <w:p>
            <w:pPr>
              <w:spacing w:after="0"/>
              <w:rPr>
                <w:sz w:val="9"/>
                <w:szCs w:val="9"/>
                <w:color w:val="auto"/>
              </w:rPr>
            </w:pPr>
          </w:p>
        </w:tc>
      </w:tr>
    </w:tbl>
    <w:p>
      <w:pPr>
        <w:ind w:left="520" w:hanging="255"/>
        <w:spacing w:after="0" w:line="245" w:lineRule="auto"/>
        <w:tabs>
          <w:tab w:leader="none" w:pos="520" w:val="left"/>
        </w:tabs>
        <w:numPr>
          <w:ilvl w:val="0"/>
          <w:numId w:val="7"/>
        </w:numPr>
        <w:rPr>
          <w:rFonts w:ascii="Arial" w:cs="Arial" w:eastAsia="Arial" w:hAnsi="Arial"/>
          <w:sz w:val="11"/>
          <w:szCs w:val="11"/>
          <w:color w:val="auto"/>
        </w:rPr>
      </w:pPr>
      <w:r>
        <w:rPr>
          <w:rFonts w:ascii="Arial" w:cs="Arial" w:eastAsia="Arial" w:hAnsi="Arial"/>
          <w:sz w:val="11"/>
          <w:szCs w:val="11"/>
          <w:color w:val="auto"/>
        </w:rPr>
        <w:t>Homes and businesses are considered passed (“homes passed”) if we can connect them to our distribution system without further extending the transmission lines. Homes passed is an estimate based upon the best available information. Homes passed have access to video, broadband and voice services.</w:t>
      </w:r>
    </w:p>
    <w:p>
      <w:pPr>
        <w:ind w:left="520" w:hanging="255"/>
        <w:spacing w:after="0"/>
        <w:tabs>
          <w:tab w:leader="none" w:pos="520" w:val="left"/>
        </w:tabs>
        <w:numPr>
          <w:ilvl w:val="0"/>
          <w:numId w:val="7"/>
        </w:numPr>
        <w:rPr>
          <w:rFonts w:ascii="Arial" w:cs="Arial" w:eastAsia="Arial" w:hAnsi="Arial"/>
          <w:sz w:val="11"/>
          <w:szCs w:val="11"/>
          <w:color w:val="auto"/>
        </w:rPr>
      </w:pPr>
      <w:r>
        <w:rPr>
          <w:rFonts w:ascii="Arial" w:cs="Arial" w:eastAsia="Arial" w:hAnsi="Arial"/>
          <w:sz w:val="11"/>
          <w:szCs w:val="11"/>
          <w:color w:val="auto"/>
        </w:rPr>
        <w:t>Customer relationships represent the number of billed customers who receive at least one of our services.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129" w:right="21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1" w:lineRule="exact"/>
        <w:rPr>
          <w:sz w:val="20"/>
          <w:szCs w:val="20"/>
          <w:color w:val="auto"/>
        </w:rPr>
      </w:pPr>
    </w:p>
    <w:p>
      <w:pPr>
        <w:ind w:left="520" w:right="340" w:hanging="255"/>
        <w:spacing w:after="0" w:line="254" w:lineRule="auto"/>
        <w:tabs>
          <w:tab w:leader="none" w:pos="520" w:val="left"/>
        </w:tabs>
        <w:numPr>
          <w:ilvl w:val="0"/>
          <w:numId w:val="8"/>
        </w:numPr>
        <w:rPr>
          <w:rFonts w:ascii="Arial" w:cs="Arial" w:eastAsia="Arial" w:hAnsi="Arial"/>
          <w:sz w:val="11"/>
          <w:szCs w:val="11"/>
          <w:color w:val="auto"/>
        </w:rPr>
      </w:pPr>
      <w:r>
        <w:rPr>
          <w:rFonts w:ascii="Arial" w:cs="Arial" w:eastAsia="Arial" w:hAnsi="Arial"/>
          <w:sz w:val="11"/>
          <w:szCs w:val="11"/>
          <w:color w:val="auto"/>
        </w:rPr>
        <w:t>As of September 30, 2019, the Company revised its methodology for counting RGUs associated with hotels, multiple dwelling units ("MDUs") and certain commercial customers. We now count each dwelling or unit of service as a separate RGU. Prior year information has been recast to reflect our revised methodology. Previously we counted RGUs on an equivalent basis consistent with carriage fee practices.</w:t>
      </w:r>
    </w:p>
    <w:p>
      <w:pPr>
        <w:ind w:left="520" w:hanging="255"/>
        <w:spacing w:after="0"/>
        <w:tabs>
          <w:tab w:leader="none" w:pos="520" w:val="left"/>
        </w:tabs>
        <w:numPr>
          <w:ilvl w:val="0"/>
          <w:numId w:val="8"/>
        </w:numPr>
        <w:rPr>
          <w:rFonts w:ascii="Arial" w:cs="Arial" w:eastAsia="Arial" w:hAnsi="Arial"/>
          <w:sz w:val="11"/>
          <w:szCs w:val="11"/>
          <w:color w:val="auto"/>
        </w:rPr>
      </w:pPr>
      <w:r>
        <w:rPr>
          <w:rFonts w:ascii="Arial" w:cs="Arial" w:eastAsia="Arial" w:hAnsi="Arial"/>
          <w:sz w:val="11"/>
          <w:szCs w:val="11"/>
          <w:color w:val="auto"/>
        </w:rPr>
        <w:t>Penetration is calculated by dividing the number of users by the number of homes passed or available homes, as appropriate.</w:t>
      </w:r>
    </w:p>
    <w:p>
      <w:pPr>
        <w:spacing w:after="0" w:line="2" w:lineRule="exact"/>
        <w:rPr>
          <w:rFonts w:ascii="Arial" w:cs="Arial" w:eastAsia="Arial" w:hAnsi="Arial"/>
          <w:sz w:val="11"/>
          <w:szCs w:val="11"/>
          <w:color w:val="auto"/>
        </w:rPr>
      </w:pPr>
    </w:p>
    <w:p>
      <w:pPr>
        <w:ind w:left="520" w:hanging="255"/>
        <w:spacing w:after="0" w:line="245" w:lineRule="auto"/>
        <w:tabs>
          <w:tab w:leader="none" w:pos="520" w:val="left"/>
        </w:tabs>
        <w:numPr>
          <w:ilvl w:val="0"/>
          <w:numId w:val="8"/>
        </w:numPr>
        <w:rPr>
          <w:rFonts w:ascii="Arial" w:cs="Arial" w:eastAsia="Arial" w:hAnsi="Arial"/>
          <w:sz w:val="11"/>
          <w:szCs w:val="11"/>
          <w:color w:val="auto"/>
        </w:rPr>
      </w:pPr>
      <w:r>
        <w:rPr>
          <w:rFonts w:ascii="Arial" w:cs="Arial" w:eastAsia="Arial" w:hAnsi="Arial"/>
          <w:sz w:val="11"/>
          <w:szCs w:val="11"/>
          <w:color w:val="auto"/>
        </w:rPr>
        <w:t>Digital video penetration is calculated by dividing the number of digital video users by total video users. Digital video users are video customers who receive any level of video service via digital transmission. A dwelling with one or more digital set-top boxes or digital adapters counts as one digital video user.</w:t>
      </w:r>
    </w:p>
    <w:p>
      <w:pPr>
        <w:ind w:left="520" w:hanging="255"/>
        <w:spacing w:after="0"/>
        <w:tabs>
          <w:tab w:leader="none" w:pos="520" w:val="left"/>
        </w:tabs>
        <w:numPr>
          <w:ilvl w:val="0"/>
          <w:numId w:val="8"/>
        </w:numPr>
        <w:rPr>
          <w:rFonts w:ascii="Arial" w:cs="Arial" w:eastAsia="Arial" w:hAnsi="Arial"/>
          <w:sz w:val="11"/>
          <w:szCs w:val="11"/>
          <w:color w:val="auto"/>
        </w:rPr>
      </w:pPr>
      <w:r>
        <w:rPr>
          <w:rFonts w:ascii="Arial" w:cs="Arial" w:eastAsia="Arial" w:hAnsi="Arial"/>
          <w:sz w:val="11"/>
          <w:szCs w:val="11"/>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 2019 Compared with the Three Months Ended September 30, 2018</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6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Pr>
          <w:p>
            <w:pPr>
              <w:spacing w:after="0"/>
              <w:rPr>
                <w:sz w:val="15"/>
                <w:szCs w:val="15"/>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 of Revenue</w:t>
            </w:r>
          </w:p>
        </w:tc>
        <w:tc>
          <w:tcPr>
            <w:tcW w:w="24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20" w:type="dxa"/>
            <w:vAlign w:val="bottom"/>
          </w:tcPr>
          <w:p>
            <w:pPr>
              <w:jc w:val="right"/>
              <w:ind w:right="82"/>
              <w:spacing w:after="0"/>
              <w:rPr>
                <w:sz w:val="20"/>
                <w:szCs w:val="20"/>
                <w:color w:val="auto"/>
              </w:rPr>
            </w:pPr>
            <w:r>
              <w:rPr>
                <w:rFonts w:ascii="Arial" w:cs="Arial" w:eastAsia="Arial" w:hAnsi="Arial"/>
                <w:sz w:val="13"/>
                <w:szCs w:val="13"/>
                <w:b w:val="1"/>
                <w:bCs w:val="1"/>
                <w:color w:val="auto"/>
              </w:rPr>
              <w:t>% of Revenue</w:t>
            </w:r>
          </w:p>
        </w:tc>
        <w:tc>
          <w:tcPr>
            <w:tcW w:w="112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Arial" w:cs="Arial" w:eastAsia="Arial" w:hAnsi="Arial"/>
                <w:sz w:val="14"/>
                <w:szCs w:val="14"/>
                <w:color w:val="auto"/>
              </w:rPr>
              <w:t>Cable operating revenue</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4"/>
                <w:szCs w:val="14"/>
                <w:color w:val="auto"/>
              </w:rPr>
              <w:t>Residential &amp; SMB</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30,829</w:t>
            </w:r>
          </w:p>
        </w:tc>
        <w:tc>
          <w:tcPr>
            <w:tcW w:w="1020" w:type="dxa"/>
            <w:vAlign w:val="bottom"/>
          </w:tcPr>
          <w:p>
            <w:pPr>
              <w:jc w:val="right"/>
              <w:spacing w:after="0"/>
              <w:rPr>
                <w:sz w:val="20"/>
                <w:szCs w:val="20"/>
                <w:color w:val="auto"/>
              </w:rPr>
            </w:pPr>
            <w:r>
              <w:rPr>
                <w:rFonts w:ascii="Arial" w:cs="Arial" w:eastAsia="Arial" w:hAnsi="Arial"/>
                <w:sz w:val="11"/>
                <w:szCs w:val="11"/>
                <w:color w:val="auto"/>
              </w:rPr>
              <w:t>87.8%</w:t>
            </w:r>
          </w:p>
        </w:tc>
        <w:tc>
          <w:tcPr>
            <w:tcW w:w="10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28,578</w:t>
            </w:r>
          </w:p>
        </w:tc>
        <w:tc>
          <w:tcPr>
            <w:tcW w:w="1020" w:type="dxa"/>
            <w:vAlign w:val="bottom"/>
          </w:tcPr>
          <w:p>
            <w:pPr>
              <w:jc w:val="right"/>
              <w:spacing w:after="0"/>
              <w:rPr>
                <w:sz w:val="20"/>
                <w:szCs w:val="20"/>
                <w:color w:val="auto"/>
              </w:rPr>
            </w:pPr>
            <w:r>
              <w:rPr>
                <w:rFonts w:ascii="Arial" w:cs="Arial" w:eastAsia="Arial" w:hAnsi="Arial"/>
                <w:sz w:val="11"/>
                <w:szCs w:val="11"/>
                <w:color w:val="auto"/>
              </w:rPr>
              <w:t>88.8%</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2,251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4"/>
                <w:szCs w:val="14"/>
                <w:color w:val="auto"/>
              </w:rPr>
              <w:t>Equipment revenue</w:t>
            </w: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292</w:t>
            </w:r>
          </w:p>
        </w:tc>
        <w:tc>
          <w:tcPr>
            <w:tcW w:w="1020" w:type="dxa"/>
            <w:vAlign w:val="bottom"/>
          </w:tcPr>
          <w:p>
            <w:pPr>
              <w:jc w:val="right"/>
              <w:spacing w:after="0"/>
              <w:rPr>
                <w:sz w:val="20"/>
                <w:szCs w:val="20"/>
                <w:color w:val="auto"/>
              </w:rPr>
            </w:pPr>
            <w:r>
              <w:rPr>
                <w:rFonts w:ascii="Arial" w:cs="Arial" w:eastAsia="Arial" w:hAnsi="Arial"/>
                <w:sz w:val="11"/>
                <w:szCs w:val="11"/>
                <w:color w:val="auto"/>
              </w:rPr>
              <w:t>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020" w:type="dxa"/>
            <w:vAlign w:val="bottom"/>
          </w:tcPr>
          <w:p>
            <w:pPr>
              <w:jc w:val="right"/>
              <w:spacing w:after="0"/>
              <w:rPr>
                <w:sz w:val="20"/>
                <w:szCs w:val="20"/>
                <w:color w:val="auto"/>
              </w:rPr>
            </w:pPr>
            <w:r>
              <w:rPr>
                <w:rFonts w:ascii="Arial" w:cs="Arial" w:eastAsia="Arial" w:hAnsi="Arial"/>
                <w:sz w:val="11"/>
                <w:szCs w:val="11"/>
                <w:color w:val="auto"/>
              </w:rPr>
              <w:t>0.7%</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220"/>
        </w:trPr>
        <w:tc>
          <w:tcPr>
            <w:tcW w:w="4940" w:type="dxa"/>
            <w:vAlign w:val="bottom"/>
          </w:tcPr>
          <w:p>
            <w:pPr>
              <w:ind w:left="140"/>
              <w:spacing w:after="0"/>
              <w:rPr>
                <w:sz w:val="20"/>
                <w:szCs w:val="20"/>
                <w:color w:val="auto"/>
              </w:rPr>
            </w:pPr>
            <w:r>
              <w:rPr>
                <w:rFonts w:ascii="Arial" w:cs="Arial" w:eastAsia="Arial" w:hAnsi="Arial"/>
                <w:sz w:val="14"/>
                <w:szCs w:val="14"/>
                <w:color w:val="auto"/>
              </w:rPr>
              <w:t>Enterprise &amp; other revenue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3,983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613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202"/>
        </w:trPr>
        <w:tc>
          <w:tcPr>
            <w:tcW w:w="4940" w:type="dxa"/>
            <w:vAlign w:val="bottom"/>
          </w:tcPr>
          <w:p>
            <w:pPr>
              <w:ind w:left="220"/>
              <w:spacing w:after="0"/>
              <w:rPr>
                <w:sz w:val="20"/>
                <w:szCs w:val="20"/>
                <w:color w:val="auto"/>
              </w:rPr>
            </w:pPr>
            <w:r>
              <w:rPr>
                <w:rFonts w:ascii="Arial" w:cs="Arial" w:eastAsia="Arial" w:hAnsi="Arial"/>
                <w:sz w:val="14"/>
                <w:szCs w:val="14"/>
                <w:color w:val="auto"/>
              </w:rPr>
              <w:t>Total Cable operating revenue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35,104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32,182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2,922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Arial" w:cs="Arial" w:eastAsia="Arial" w:hAnsi="Arial"/>
                <w:sz w:val="14"/>
                <w:szCs w:val="14"/>
                <w:color w:val="auto"/>
              </w:rPr>
              <w:t>Cable operating expenses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4"/>
                <w:szCs w:val="14"/>
                <w:color w:val="auto"/>
              </w:rPr>
              <w:t>Cost of services</w:t>
            </w:r>
          </w:p>
        </w:tc>
        <w:tc>
          <w:tcPr>
            <w:tcW w:w="240" w:type="dxa"/>
            <w:vAlign w:val="bottom"/>
          </w:tcPr>
          <w:p>
            <w:pPr>
              <w:spacing w:after="0"/>
              <w:rPr>
                <w:sz w:val="19"/>
                <w:szCs w:val="19"/>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15,790</w:t>
            </w:r>
          </w:p>
        </w:tc>
        <w:tc>
          <w:tcPr>
            <w:tcW w:w="1020" w:type="dxa"/>
            <w:vAlign w:val="bottom"/>
          </w:tcPr>
          <w:p>
            <w:pPr>
              <w:jc w:val="right"/>
              <w:spacing w:after="0"/>
              <w:rPr>
                <w:sz w:val="20"/>
                <w:szCs w:val="20"/>
                <w:color w:val="auto"/>
              </w:rPr>
            </w:pPr>
            <w:r>
              <w:rPr>
                <w:rFonts w:ascii="Arial" w:cs="Arial" w:eastAsia="Arial" w:hAnsi="Arial"/>
                <w:sz w:val="11"/>
                <w:szCs w:val="11"/>
                <w:color w:val="auto"/>
              </w:rPr>
              <w:t>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14,837</w:t>
            </w:r>
          </w:p>
        </w:tc>
        <w:tc>
          <w:tcPr>
            <w:tcW w:w="1020" w:type="dxa"/>
            <w:vAlign w:val="bottom"/>
          </w:tcPr>
          <w:p>
            <w:pPr>
              <w:jc w:val="right"/>
              <w:spacing w:after="0"/>
              <w:rPr>
                <w:sz w:val="20"/>
                <w:szCs w:val="20"/>
                <w:color w:val="auto"/>
              </w:rPr>
            </w:pPr>
            <w:r>
              <w:rPr>
                <w:rFonts w:ascii="Arial" w:cs="Arial" w:eastAsia="Arial" w:hAnsi="Arial"/>
                <w:sz w:val="11"/>
                <w:szCs w:val="11"/>
                <w:color w:val="auto"/>
              </w:rPr>
              <w:t>46.1%</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953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4"/>
                <w:szCs w:val="14"/>
                <w:color w:val="auto"/>
              </w:rPr>
              <w:t>Cost of goods sold</w:t>
            </w: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156</w:t>
            </w:r>
          </w:p>
        </w:tc>
        <w:tc>
          <w:tcPr>
            <w:tcW w:w="1020" w:type="dxa"/>
            <w:vAlign w:val="bottom"/>
          </w:tcPr>
          <w:p>
            <w:pPr>
              <w:jc w:val="right"/>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020" w:type="dxa"/>
            <w:vAlign w:val="bottom"/>
          </w:tcPr>
          <w:p>
            <w:pPr>
              <w:jc w:val="right"/>
              <w:spacing w:after="0"/>
              <w:rPr>
                <w:sz w:val="20"/>
                <w:szCs w:val="20"/>
                <w:color w:val="auto"/>
              </w:rPr>
            </w:pPr>
            <w:r>
              <w:rPr>
                <w:rFonts w:ascii="Arial" w:cs="Arial" w:eastAsia="Arial" w:hAnsi="Arial"/>
                <w:sz w:val="11"/>
                <w:szCs w:val="11"/>
                <w:color w:val="auto"/>
              </w:rPr>
              <w:t>0.2%</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6,636</w:t>
            </w:r>
          </w:p>
        </w:tc>
        <w:tc>
          <w:tcPr>
            <w:tcW w:w="1020" w:type="dxa"/>
            <w:vAlign w:val="bottom"/>
          </w:tcPr>
          <w:p>
            <w:pPr>
              <w:jc w:val="right"/>
              <w:spacing w:after="0"/>
              <w:rPr>
                <w:sz w:val="20"/>
                <w:szCs w:val="20"/>
                <w:color w:val="auto"/>
              </w:rPr>
            </w:pPr>
            <w:r>
              <w:rPr>
                <w:rFonts w:ascii="Arial" w:cs="Arial" w:eastAsia="Arial" w:hAnsi="Arial"/>
                <w:sz w:val="11"/>
                <w:szCs w:val="11"/>
                <w:color w:val="auto"/>
              </w:rPr>
              <w:t>18.9%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5,331</w:t>
            </w:r>
          </w:p>
        </w:tc>
        <w:tc>
          <w:tcPr>
            <w:tcW w:w="1020" w:type="dxa"/>
            <w:vAlign w:val="bottom"/>
          </w:tcPr>
          <w:p>
            <w:pPr>
              <w:jc w:val="right"/>
              <w:spacing w:after="0"/>
              <w:rPr>
                <w:sz w:val="20"/>
                <w:szCs w:val="20"/>
                <w:color w:val="auto"/>
              </w:rPr>
            </w:pPr>
            <w:r>
              <w:rPr>
                <w:rFonts w:ascii="Arial" w:cs="Arial" w:eastAsia="Arial" w:hAnsi="Arial"/>
                <w:sz w:val="11"/>
                <w:szCs w:val="11"/>
                <w:color w:val="auto"/>
              </w:rPr>
              <w:t>16.6%</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1,305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220"/>
        </w:trPr>
        <w:tc>
          <w:tcPr>
            <w:tcW w:w="49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6,226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6,102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124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6"/>
        </w:trPr>
        <w:tc>
          <w:tcPr>
            <w:tcW w:w="4940" w:type="dxa"/>
            <w:vAlign w:val="bottom"/>
          </w:tcPr>
          <w:p>
            <w:pPr>
              <w:ind w:left="220"/>
              <w:spacing w:after="0"/>
              <w:rPr>
                <w:sz w:val="20"/>
                <w:szCs w:val="20"/>
                <w:color w:val="auto"/>
              </w:rPr>
            </w:pPr>
            <w:r>
              <w:rPr>
                <w:rFonts w:ascii="Arial" w:cs="Arial" w:eastAsia="Arial" w:hAnsi="Arial"/>
                <w:sz w:val="14"/>
                <w:szCs w:val="14"/>
                <w:color w:val="auto"/>
              </w:rPr>
              <w:t>Total Cable operating expenses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28,808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26,348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81.9%</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2,460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06"/>
        </w:trPr>
        <w:tc>
          <w:tcPr>
            <w:tcW w:w="4940" w:type="dxa"/>
            <w:vAlign w:val="bottom"/>
          </w:tcPr>
          <w:p>
            <w:pPr>
              <w:ind w:left="20"/>
              <w:spacing w:after="0"/>
              <w:rPr>
                <w:sz w:val="20"/>
                <w:szCs w:val="20"/>
                <w:color w:val="auto"/>
              </w:rPr>
            </w:pPr>
            <w:r>
              <w:rPr>
                <w:rFonts w:ascii="Arial" w:cs="Arial" w:eastAsia="Arial" w:hAnsi="Arial"/>
                <w:sz w:val="14"/>
                <w:szCs w:val="14"/>
                <w:color w:val="auto"/>
              </w:rPr>
              <w:t>Cable operating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6,296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18.1%</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462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Residential &amp; Small and Medium Business ("SMB") revenue</w:t>
      </w:r>
    </w:p>
    <w:p>
      <w:pPr>
        <w:spacing w:after="0" w:line="21" w:lineRule="exact"/>
        <w:rPr>
          <w:sz w:val="20"/>
          <w:szCs w:val="20"/>
          <w:color w:val="auto"/>
        </w:rPr>
      </w:pPr>
    </w:p>
    <w:p>
      <w:pPr>
        <w:ind w:right="140"/>
        <w:spacing w:after="0" w:line="274" w:lineRule="auto"/>
        <w:rPr>
          <w:sz w:val="20"/>
          <w:szCs w:val="20"/>
          <w:color w:val="auto"/>
        </w:rPr>
      </w:pPr>
      <w:r>
        <w:rPr>
          <w:rFonts w:ascii="Arial" w:cs="Arial" w:eastAsia="Arial" w:hAnsi="Arial"/>
          <w:sz w:val="14"/>
          <w:szCs w:val="14"/>
          <w:color w:val="auto"/>
        </w:rPr>
        <w:t>During the three months ended September 30, 2019, revenue increased approximately $2.3 million, or 7.9%, compared with the three months ended September 30, 2018. The increase was primarily attributable to a full quarter of results from the Big Sandy acquisition and growth in ARPU from an increase in video rates.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Enterprise &amp; other revenue</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Enterprise &amp; other revenue is mainly comprised of fiber services, backhaul and installation services. During the three months ended September 30, 2019, Enterprise &amp; other revenue increased approximately $0.6 million, or 18.2%, compared with the three months ended September 30, 2018 primarily attributable to expansion of the Company's fiber network and increased demand for fiber services.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the three months ended September 30, 2019, operating expenses increased approximately $2.5 million, or 9.3%, compared with the three months ended September 30, 2018 primarily due to $0.8 million of expenses incurred that were associated with starting our FTTH product offering, higher repair and maintenance expenses of $0.8 million associated with maintaining our growing network, higher sales and marketing expenses of $0.6 million and $0.2 million in higher programming costs. We expect to continue to incur expenses related to the initiation of FTTH in select markets, in advance of generating revenue from this new product.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129" w:right="21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 2019 Compared with the Nine Months Ended September 30, 2018</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Pr>
          <w:p>
            <w:pPr>
              <w:spacing w:after="0"/>
              <w:rPr>
                <w:sz w:val="15"/>
                <w:szCs w:val="15"/>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 of Revenue</w:t>
            </w:r>
          </w:p>
        </w:tc>
        <w:tc>
          <w:tcPr>
            <w:tcW w:w="24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20" w:type="dxa"/>
            <w:vAlign w:val="bottom"/>
          </w:tcPr>
          <w:p>
            <w:pPr>
              <w:jc w:val="right"/>
              <w:ind w:right="82"/>
              <w:spacing w:after="0"/>
              <w:rPr>
                <w:sz w:val="20"/>
                <w:szCs w:val="20"/>
                <w:color w:val="auto"/>
              </w:rPr>
            </w:pPr>
            <w:r>
              <w:rPr>
                <w:rFonts w:ascii="Arial" w:cs="Arial" w:eastAsia="Arial" w:hAnsi="Arial"/>
                <w:sz w:val="13"/>
                <w:szCs w:val="13"/>
                <w:b w:val="1"/>
                <w:bCs w:val="1"/>
                <w:color w:val="auto"/>
              </w:rPr>
              <w:t>% of Revenue</w:t>
            </w:r>
          </w:p>
        </w:tc>
        <w:tc>
          <w:tcPr>
            <w:tcW w:w="0" w:type="dxa"/>
            <w:vAlign w:val="bottom"/>
          </w:tcPr>
          <w:p>
            <w:pPr>
              <w:spacing w:after="0"/>
              <w:rPr>
                <w:sz w:val="1"/>
                <w:szCs w:val="1"/>
                <w:color w:val="auto"/>
              </w:rPr>
            </w:pPr>
          </w:p>
        </w:tc>
      </w:tr>
      <w:tr>
        <w:trPr>
          <w:trHeight w:val="23"/>
        </w:trPr>
        <w:tc>
          <w:tcPr>
            <w:tcW w:w="4920" w:type="dxa"/>
            <w:vAlign w:val="bottom"/>
            <w:vMerge w:val="restart"/>
          </w:tcPr>
          <w:p>
            <w:pPr>
              <w:spacing w:after="0"/>
              <w:rPr>
                <w:sz w:val="20"/>
                <w:szCs w:val="20"/>
                <w:color w:val="auto"/>
              </w:rPr>
            </w:pPr>
            <w:r>
              <w:rPr>
                <w:rFonts w:ascii="Arial" w:cs="Arial" w:eastAsia="Arial" w:hAnsi="Arial"/>
                <w:sz w:val="14"/>
                <w:szCs w:val="14"/>
                <w:color w:val="auto"/>
              </w:rPr>
              <w:t>Cable operating revenue</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rPr>
                <w:sz w:val="20"/>
                <w:szCs w:val="20"/>
                <w:color w:val="auto"/>
              </w:rPr>
            </w:pPr>
            <w:r>
              <w:rPr>
                <w:rFonts w:ascii="Arial" w:cs="Arial" w:eastAsia="Arial" w:hAnsi="Arial"/>
                <w:sz w:val="14"/>
                <w:szCs w:val="14"/>
                <w:color w:val="auto"/>
              </w:rPr>
              <w:t>Residential &amp; SMB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91,250</w:t>
            </w:r>
          </w:p>
        </w:tc>
        <w:tc>
          <w:tcPr>
            <w:tcW w:w="1020" w:type="dxa"/>
            <w:vAlign w:val="bottom"/>
          </w:tcPr>
          <w:p>
            <w:pPr>
              <w:jc w:val="right"/>
              <w:spacing w:after="0"/>
              <w:rPr>
                <w:sz w:val="20"/>
                <w:szCs w:val="20"/>
                <w:color w:val="auto"/>
              </w:rPr>
            </w:pPr>
            <w:r>
              <w:rPr>
                <w:rFonts w:ascii="Arial" w:cs="Arial" w:eastAsia="Arial" w:hAnsi="Arial"/>
                <w:sz w:val="11"/>
                <w:szCs w:val="11"/>
                <w:color w:val="auto"/>
              </w:rPr>
              <w:t>88.2%</w:t>
            </w:r>
          </w:p>
        </w:tc>
        <w:tc>
          <w:tcPr>
            <w:tcW w:w="10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85,797</w:t>
            </w:r>
          </w:p>
        </w:tc>
        <w:tc>
          <w:tcPr>
            <w:tcW w:w="1020" w:type="dxa"/>
            <w:vAlign w:val="bottom"/>
          </w:tcPr>
          <w:p>
            <w:pPr>
              <w:jc w:val="right"/>
              <w:spacing w:after="0"/>
              <w:rPr>
                <w:sz w:val="20"/>
                <w:szCs w:val="20"/>
                <w:color w:val="auto"/>
              </w:rPr>
            </w:pPr>
            <w:r>
              <w:rPr>
                <w:rFonts w:ascii="Arial" w:cs="Arial" w:eastAsia="Arial" w:hAnsi="Arial"/>
                <w:sz w:val="11"/>
                <w:szCs w:val="11"/>
                <w:color w:val="auto"/>
              </w:rPr>
              <w:t>89.4%</w:t>
            </w: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Arial" w:cs="Arial" w:eastAsia="Arial" w:hAnsi="Arial"/>
                <w:sz w:val="14"/>
                <w:szCs w:val="14"/>
                <w:color w:val="auto"/>
              </w:rPr>
              <w:t>Equipment revenue</w:t>
            </w: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817</w:t>
            </w:r>
          </w:p>
        </w:tc>
        <w:tc>
          <w:tcPr>
            <w:tcW w:w="1020" w:type="dxa"/>
            <w:vAlign w:val="bottom"/>
          </w:tcPr>
          <w:p>
            <w:pPr>
              <w:jc w:val="right"/>
              <w:spacing w:after="0"/>
              <w:rPr>
                <w:sz w:val="20"/>
                <w:szCs w:val="20"/>
                <w:color w:val="auto"/>
              </w:rPr>
            </w:pPr>
            <w:r>
              <w:rPr>
                <w:rFonts w:ascii="Arial" w:cs="Arial" w:eastAsia="Arial" w:hAnsi="Arial"/>
                <w:sz w:val="11"/>
                <w:szCs w:val="11"/>
                <w:color w:val="auto"/>
              </w:rPr>
              <w:t>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537</w:t>
            </w:r>
          </w:p>
        </w:tc>
        <w:tc>
          <w:tcPr>
            <w:tcW w:w="1020" w:type="dxa"/>
            <w:vAlign w:val="bottom"/>
          </w:tcPr>
          <w:p>
            <w:pPr>
              <w:jc w:val="right"/>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220"/>
        </w:trPr>
        <w:tc>
          <w:tcPr>
            <w:tcW w:w="4920" w:type="dxa"/>
            <w:vAlign w:val="bottom"/>
          </w:tcPr>
          <w:p>
            <w:pPr>
              <w:ind w:left="120"/>
              <w:spacing w:after="0"/>
              <w:rPr>
                <w:sz w:val="20"/>
                <w:szCs w:val="20"/>
                <w:color w:val="auto"/>
              </w:rPr>
            </w:pPr>
            <w:r>
              <w:rPr>
                <w:rFonts w:ascii="Arial" w:cs="Arial" w:eastAsia="Arial" w:hAnsi="Arial"/>
                <w:sz w:val="14"/>
                <w:szCs w:val="14"/>
                <w:color w:val="auto"/>
              </w:rPr>
              <w:t>Enterprise &amp; other revenue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11,436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9,670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202"/>
        </w:trPr>
        <w:tc>
          <w:tcPr>
            <w:tcW w:w="4920" w:type="dxa"/>
            <w:vAlign w:val="bottom"/>
          </w:tcPr>
          <w:p>
            <w:pPr>
              <w:ind w:left="200"/>
              <w:spacing w:after="0"/>
              <w:rPr>
                <w:sz w:val="20"/>
                <w:szCs w:val="20"/>
                <w:color w:val="auto"/>
              </w:rPr>
            </w:pPr>
            <w:r>
              <w:rPr>
                <w:rFonts w:ascii="Arial" w:cs="Arial" w:eastAsia="Arial" w:hAnsi="Arial"/>
                <w:sz w:val="14"/>
                <w:szCs w:val="14"/>
                <w:color w:val="auto"/>
              </w:rPr>
              <w:t>Total Cable operating revenue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103,503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96,004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93"/>
        </w:trPr>
        <w:tc>
          <w:tcPr>
            <w:tcW w:w="4920" w:type="dxa"/>
            <w:vAlign w:val="bottom"/>
          </w:tcPr>
          <w:p>
            <w:pPr>
              <w:spacing w:after="0"/>
              <w:rPr>
                <w:sz w:val="20"/>
                <w:szCs w:val="20"/>
                <w:color w:val="auto"/>
              </w:rPr>
            </w:pPr>
            <w:r>
              <w:rPr>
                <w:rFonts w:ascii="Arial" w:cs="Arial" w:eastAsia="Arial" w:hAnsi="Arial"/>
                <w:sz w:val="14"/>
                <w:szCs w:val="14"/>
                <w:color w:val="auto"/>
              </w:rPr>
              <w:t>Cable operating expenses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rPr>
                <w:sz w:val="20"/>
                <w:szCs w:val="20"/>
                <w:color w:val="auto"/>
              </w:rPr>
            </w:pPr>
            <w:r>
              <w:rPr>
                <w:rFonts w:ascii="Arial" w:cs="Arial" w:eastAsia="Arial" w:hAnsi="Arial"/>
                <w:sz w:val="14"/>
                <w:szCs w:val="14"/>
                <w:color w:val="auto"/>
              </w:rPr>
              <w:t>Cost of services</w:t>
            </w:r>
          </w:p>
        </w:tc>
        <w:tc>
          <w:tcPr>
            <w:tcW w:w="240" w:type="dxa"/>
            <w:vAlign w:val="bottom"/>
          </w:tcPr>
          <w:p>
            <w:pPr>
              <w:spacing w:after="0"/>
              <w:rPr>
                <w:sz w:val="19"/>
                <w:szCs w:val="19"/>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47,138</w:t>
            </w:r>
          </w:p>
        </w:tc>
        <w:tc>
          <w:tcPr>
            <w:tcW w:w="1020" w:type="dxa"/>
            <w:vAlign w:val="bottom"/>
          </w:tcPr>
          <w:p>
            <w:pPr>
              <w:jc w:val="right"/>
              <w:spacing w:after="0"/>
              <w:rPr>
                <w:sz w:val="20"/>
                <w:szCs w:val="20"/>
                <w:color w:val="auto"/>
              </w:rPr>
            </w:pPr>
            <w:r>
              <w:rPr>
                <w:rFonts w:ascii="Arial" w:cs="Arial" w:eastAsia="Arial" w:hAnsi="Arial"/>
                <w:sz w:val="11"/>
                <w:szCs w:val="11"/>
                <w:color w:val="auto"/>
              </w:rPr>
              <w:t>45.5%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45,118</w:t>
            </w:r>
          </w:p>
        </w:tc>
        <w:tc>
          <w:tcPr>
            <w:tcW w:w="1020" w:type="dxa"/>
            <w:vAlign w:val="bottom"/>
          </w:tcPr>
          <w:p>
            <w:pPr>
              <w:jc w:val="right"/>
              <w:spacing w:after="0"/>
              <w:rPr>
                <w:sz w:val="20"/>
                <w:szCs w:val="20"/>
                <w:color w:val="auto"/>
              </w:rPr>
            </w:pPr>
            <w:r>
              <w:rPr>
                <w:rFonts w:ascii="Arial" w:cs="Arial" w:eastAsia="Arial" w:hAnsi="Arial"/>
                <w:sz w:val="11"/>
                <w:szCs w:val="11"/>
                <w:color w:val="auto"/>
              </w:rPr>
              <w:t>47.0%</w:t>
            </w: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Arial" w:cs="Arial" w:eastAsia="Arial" w:hAnsi="Arial"/>
                <w:sz w:val="14"/>
                <w:szCs w:val="14"/>
                <w:color w:val="auto"/>
              </w:rPr>
              <w:t>Cost of goods sold</w:t>
            </w: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443</w:t>
            </w:r>
          </w:p>
        </w:tc>
        <w:tc>
          <w:tcPr>
            <w:tcW w:w="1020" w:type="dxa"/>
            <w:vAlign w:val="bottom"/>
          </w:tcPr>
          <w:p>
            <w:pPr>
              <w:jc w:val="right"/>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20" w:type="dxa"/>
            <w:vAlign w:val="bottom"/>
          </w:tcPr>
          <w:p>
            <w:pPr>
              <w:jc w:val="right"/>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17,898</w:t>
            </w:r>
          </w:p>
        </w:tc>
        <w:tc>
          <w:tcPr>
            <w:tcW w:w="1020" w:type="dxa"/>
            <w:vAlign w:val="bottom"/>
          </w:tcPr>
          <w:p>
            <w:pPr>
              <w:jc w:val="right"/>
              <w:spacing w:after="0"/>
              <w:rPr>
                <w:sz w:val="20"/>
                <w:szCs w:val="20"/>
                <w:color w:val="auto"/>
              </w:rPr>
            </w:pPr>
            <w:r>
              <w:rPr>
                <w:rFonts w:ascii="Arial" w:cs="Arial" w:eastAsia="Arial" w:hAnsi="Arial"/>
                <w:sz w:val="11"/>
                <w:szCs w:val="11"/>
                <w:color w:val="auto"/>
              </w:rPr>
              <w:t>17.3%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14,940</w:t>
            </w:r>
          </w:p>
        </w:tc>
        <w:tc>
          <w:tcPr>
            <w:tcW w:w="1020" w:type="dxa"/>
            <w:vAlign w:val="bottom"/>
          </w:tcPr>
          <w:p>
            <w:pPr>
              <w:jc w:val="right"/>
              <w:spacing w:after="0"/>
              <w:rPr>
                <w:sz w:val="20"/>
                <w:szCs w:val="20"/>
                <w:color w:val="auto"/>
              </w:rPr>
            </w:pPr>
            <w:r>
              <w:rPr>
                <w:rFonts w:ascii="Arial" w:cs="Arial" w:eastAsia="Arial" w:hAnsi="Arial"/>
                <w:sz w:val="11"/>
                <w:szCs w:val="11"/>
                <w:color w:val="auto"/>
              </w:rPr>
              <w:t>15.6%</w:t>
            </w:r>
          </w:p>
        </w:tc>
        <w:tc>
          <w:tcPr>
            <w:tcW w:w="0" w:type="dxa"/>
            <w:vAlign w:val="bottom"/>
          </w:tcPr>
          <w:p>
            <w:pPr>
              <w:spacing w:after="0"/>
              <w:rPr>
                <w:sz w:val="1"/>
                <w:szCs w:val="1"/>
                <w:color w:val="auto"/>
              </w:rPr>
            </w:pPr>
          </w:p>
        </w:tc>
      </w:tr>
      <w:tr>
        <w:trPr>
          <w:trHeight w:val="220"/>
        </w:trPr>
        <w:tc>
          <w:tcPr>
            <w:tcW w:w="49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19,239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18,305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w:t>
            </w:r>
          </w:p>
        </w:tc>
        <w:tc>
          <w:tcPr>
            <w:tcW w:w="0" w:type="dxa"/>
            <w:vAlign w:val="bottom"/>
          </w:tcPr>
          <w:p>
            <w:pPr>
              <w:spacing w:after="0"/>
              <w:rPr>
                <w:sz w:val="1"/>
                <w:szCs w:val="1"/>
                <w:color w:val="auto"/>
              </w:rPr>
            </w:pPr>
          </w:p>
        </w:tc>
      </w:tr>
      <w:tr>
        <w:trPr>
          <w:trHeight w:val="206"/>
        </w:trPr>
        <w:tc>
          <w:tcPr>
            <w:tcW w:w="4920" w:type="dxa"/>
            <w:vAlign w:val="bottom"/>
          </w:tcPr>
          <w:p>
            <w:pPr>
              <w:ind w:left="200"/>
              <w:spacing w:after="0"/>
              <w:rPr>
                <w:sz w:val="20"/>
                <w:szCs w:val="20"/>
                <w:color w:val="auto"/>
              </w:rPr>
            </w:pPr>
            <w:r>
              <w:rPr>
                <w:rFonts w:ascii="Arial" w:cs="Arial" w:eastAsia="Arial" w:hAnsi="Arial"/>
                <w:sz w:val="14"/>
                <w:szCs w:val="14"/>
                <w:color w:val="auto"/>
              </w:rPr>
              <w:t>Total Cable operating expenses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84,718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78,560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81.8%</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4"/>
                <w:szCs w:val="14"/>
                <w:color w:val="auto"/>
              </w:rPr>
              <w:t>Cable operating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18,785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17,444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13823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2395" cy="698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Pr>
          <w:p>
            <w:pPr>
              <w:jc w:val="right"/>
              <w:ind w:right="39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4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r>
      <w:tr>
        <w:trPr>
          <w:trHeight w:val="23"/>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95"/>
        </w:trPr>
        <w:tc>
          <w:tcPr>
            <w:tcW w:w="1020" w:type="dxa"/>
            <w:vAlign w:val="bottom"/>
          </w:tcPr>
          <w:p>
            <w:pPr>
              <w:jc w:val="right"/>
              <w:ind w:right="35"/>
              <w:spacing w:after="0"/>
              <w:rPr>
                <w:sz w:val="20"/>
                <w:szCs w:val="20"/>
                <w:color w:val="auto"/>
              </w:rPr>
            </w:pPr>
            <w:r>
              <w:rPr>
                <w:rFonts w:ascii="Arial" w:cs="Arial" w:eastAsia="Arial" w:hAnsi="Arial"/>
                <w:sz w:val="13"/>
                <w:szCs w:val="13"/>
                <w:color w:val="auto"/>
              </w:rPr>
              <w:t>5,453</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216"/>
        </w:trPr>
        <w:tc>
          <w:tcPr>
            <w:tcW w:w="1020" w:type="dxa"/>
            <w:vAlign w:val="bottom"/>
          </w:tcPr>
          <w:p>
            <w:pPr>
              <w:jc w:val="right"/>
              <w:ind w:right="35"/>
              <w:spacing w:after="0"/>
              <w:rPr>
                <w:sz w:val="20"/>
                <w:szCs w:val="20"/>
                <w:color w:val="auto"/>
              </w:rPr>
            </w:pPr>
            <w:r>
              <w:rPr>
                <w:rFonts w:ascii="Arial" w:cs="Arial" w:eastAsia="Arial" w:hAnsi="Arial"/>
                <w:sz w:val="13"/>
                <w:szCs w:val="13"/>
                <w:color w:val="auto"/>
              </w:rPr>
              <w:t>280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52.1%</w:t>
            </w:r>
          </w:p>
        </w:tc>
      </w:tr>
      <w:tr>
        <w:trPr>
          <w:trHeight w:val="216"/>
        </w:trPr>
        <w:tc>
          <w:tcPr>
            <w:tcW w:w="1020" w:type="dxa"/>
            <w:vAlign w:val="bottom"/>
          </w:tcPr>
          <w:p>
            <w:pPr>
              <w:jc w:val="right"/>
              <w:ind w:right="35"/>
              <w:spacing w:after="0"/>
              <w:rPr>
                <w:sz w:val="20"/>
                <w:szCs w:val="20"/>
                <w:color w:val="auto"/>
              </w:rPr>
            </w:pPr>
            <w:r>
              <w:rPr>
                <w:rFonts w:ascii="Arial" w:cs="Arial" w:eastAsia="Arial" w:hAnsi="Arial"/>
                <w:sz w:val="13"/>
                <w:szCs w:val="13"/>
                <w:color w:val="auto"/>
              </w:rPr>
              <w:t>1,766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18.3%</w:t>
            </w:r>
          </w:p>
        </w:tc>
      </w:tr>
      <w:tr>
        <w:trPr>
          <w:trHeight w:val="226"/>
        </w:trPr>
        <w:tc>
          <w:tcPr>
            <w:tcW w:w="1020" w:type="dxa"/>
            <w:vAlign w:val="bottom"/>
          </w:tcPr>
          <w:p>
            <w:pPr>
              <w:jc w:val="right"/>
              <w:ind w:right="35"/>
              <w:spacing w:after="0"/>
              <w:rPr>
                <w:sz w:val="20"/>
                <w:szCs w:val="20"/>
                <w:color w:val="auto"/>
              </w:rPr>
            </w:pPr>
            <w:r>
              <w:rPr>
                <w:rFonts w:ascii="Arial" w:cs="Arial" w:eastAsia="Arial" w:hAnsi="Arial"/>
                <w:sz w:val="13"/>
                <w:szCs w:val="13"/>
                <w:color w:val="auto"/>
              </w:rPr>
              <w:t>7,499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442"/>
        </w:trPr>
        <w:tc>
          <w:tcPr>
            <w:tcW w:w="1020" w:type="dxa"/>
            <w:vAlign w:val="bottom"/>
          </w:tcPr>
          <w:p>
            <w:pPr>
              <w:jc w:val="right"/>
              <w:ind w:right="35"/>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216"/>
        </w:trPr>
        <w:tc>
          <w:tcPr>
            <w:tcW w:w="1020" w:type="dxa"/>
            <w:vAlign w:val="bottom"/>
          </w:tcPr>
          <w:p>
            <w:pPr>
              <w:jc w:val="right"/>
              <w:ind w:right="35"/>
              <w:spacing w:after="0"/>
              <w:rPr>
                <w:sz w:val="20"/>
                <w:szCs w:val="20"/>
                <w:color w:val="auto"/>
              </w:rPr>
            </w:pPr>
            <w:r>
              <w:rPr>
                <w:rFonts w:ascii="Arial" w:cs="Arial" w:eastAsia="Arial" w:hAnsi="Arial"/>
                <w:sz w:val="13"/>
                <w:szCs w:val="13"/>
                <w:color w:val="auto"/>
              </w:rPr>
              <w:t>246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124.9%</w:t>
            </w:r>
          </w:p>
        </w:tc>
      </w:tr>
      <w:tr>
        <w:trPr>
          <w:trHeight w:val="216"/>
        </w:trPr>
        <w:tc>
          <w:tcPr>
            <w:tcW w:w="1020" w:type="dxa"/>
            <w:vAlign w:val="bottom"/>
          </w:tcPr>
          <w:p>
            <w:pPr>
              <w:jc w:val="right"/>
              <w:ind w:right="35"/>
              <w:spacing w:after="0"/>
              <w:rPr>
                <w:sz w:val="20"/>
                <w:szCs w:val="20"/>
                <w:color w:val="auto"/>
              </w:rPr>
            </w:pPr>
            <w:r>
              <w:rPr>
                <w:rFonts w:ascii="Arial" w:cs="Arial" w:eastAsia="Arial" w:hAnsi="Arial"/>
                <w:sz w:val="13"/>
                <w:szCs w:val="13"/>
                <w:color w:val="auto"/>
              </w:rPr>
              <w:t>2,958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19.8%</w:t>
            </w:r>
          </w:p>
        </w:tc>
      </w:tr>
      <w:tr>
        <w:trPr>
          <w:trHeight w:val="216"/>
        </w:trPr>
        <w:tc>
          <w:tcPr>
            <w:tcW w:w="1020" w:type="dxa"/>
            <w:vAlign w:val="bottom"/>
          </w:tcPr>
          <w:p>
            <w:pPr>
              <w:jc w:val="right"/>
              <w:ind w:right="35"/>
              <w:spacing w:after="0"/>
              <w:rPr>
                <w:sz w:val="20"/>
                <w:szCs w:val="20"/>
                <w:color w:val="auto"/>
              </w:rPr>
            </w:pPr>
            <w:r>
              <w:rPr>
                <w:rFonts w:ascii="Arial" w:cs="Arial" w:eastAsia="Arial" w:hAnsi="Arial"/>
                <w:sz w:val="13"/>
                <w:szCs w:val="13"/>
                <w:color w:val="auto"/>
              </w:rPr>
              <w:t>934</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226"/>
        </w:trPr>
        <w:tc>
          <w:tcPr>
            <w:tcW w:w="1020" w:type="dxa"/>
            <w:vAlign w:val="bottom"/>
          </w:tcPr>
          <w:p>
            <w:pPr>
              <w:jc w:val="right"/>
              <w:ind w:right="35"/>
              <w:spacing w:after="0"/>
              <w:rPr>
                <w:sz w:val="20"/>
                <w:szCs w:val="20"/>
                <w:color w:val="auto"/>
              </w:rPr>
            </w:pPr>
            <w:r>
              <w:rPr>
                <w:rFonts w:ascii="Arial" w:cs="Arial" w:eastAsia="Arial" w:hAnsi="Arial"/>
                <w:sz w:val="13"/>
                <w:szCs w:val="13"/>
                <w:color w:val="auto"/>
              </w:rPr>
              <w:t>6,158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237"/>
        </w:trPr>
        <w:tc>
          <w:tcPr>
            <w:tcW w:w="1020" w:type="dxa"/>
            <w:vAlign w:val="bottom"/>
          </w:tcPr>
          <w:p>
            <w:pPr>
              <w:jc w:val="right"/>
              <w:ind w:right="35"/>
              <w:spacing w:after="0"/>
              <w:rPr>
                <w:sz w:val="20"/>
                <w:szCs w:val="20"/>
                <w:color w:val="auto"/>
              </w:rPr>
            </w:pPr>
            <w:r>
              <w:rPr>
                <w:rFonts w:ascii="Arial" w:cs="Arial" w:eastAsia="Arial" w:hAnsi="Arial"/>
                <w:sz w:val="13"/>
                <w:szCs w:val="13"/>
                <w:color w:val="auto"/>
              </w:rPr>
              <w:t>1,341</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w:t>
            </w:r>
          </w:p>
        </w:tc>
      </w:tr>
    </w:tbl>
    <w:p>
      <w:pPr>
        <w:spacing w:after="0" w:line="210" w:lineRule="exact"/>
        <w:rPr>
          <w:sz w:val="20"/>
          <w:szCs w:val="20"/>
          <w:color w:val="auto"/>
        </w:rPr>
      </w:pPr>
    </w:p>
    <w:p>
      <w:pPr>
        <w:sectPr>
          <w:pgSz w:w="11900" w:h="16838" w:orient="portrait"/>
          <w:cols w:equalWidth="0" w:num="2">
            <w:col w:w="9180" w:space="100"/>
            <w:col w:w="2180"/>
          </w:cols>
          <w:pgMar w:left="220" w:top="129" w:right="219" w:bottom="1440" w:gutter="0" w:footer="0" w:header="0"/>
        </w:sectPr>
      </w:pPr>
    </w:p>
    <w:p>
      <w:pPr>
        <w:spacing w:after="0"/>
        <w:rPr>
          <w:sz w:val="20"/>
          <w:szCs w:val="20"/>
          <w:color w:val="auto"/>
        </w:rPr>
      </w:pPr>
      <w:r>
        <w:rPr>
          <w:rFonts w:ascii="Arial" w:cs="Arial" w:eastAsia="Arial" w:hAnsi="Arial"/>
          <w:sz w:val="14"/>
          <w:szCs w:val="14"/>
          <w:b w:val="1"/>
          <w:bCs w:val="1"/>
          <w:i w:val="1"/>
          <w:iCs w:val="1"/>
          <w:color w:val="auto"/>
        </w:rPr>
        <w:t>Residential &amp; SMB revenue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nine months ended September 30, 2019, revenue increased approximately $5.5 million, or 6.4%, compared with the nine months ended September 30, 2018. The increase was primarily attributable to a full quarter of results from the Big Sandy acquisition and growth in ARPU from an increase in video rates.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Enterprise &amp; other revenue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nine months ended September 30, 2019, Enterprise &amp; other revenue increased approximately $1.8 million, or 18.3%, compared with the nine months ended September 30, 2018 primarily attributable to expansion of the Company's fiber network and increased demand for fiber services.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the nine months ended September 30, 2019, operating expenses increased approximately $6.2 million, or 7.8%, compared with the nine months ended September 30, 2018 primarily due to $1.8 million of expenses incurred for starting our FTTH product offering, $1.5 million of higher sales and marketing expenses, $1.4 million of higher repair and maintenance expenses, $0.9 million of higher depreciation and amortization expense, and $0.7 million of higher programming fees. We expect to continue to incur expenses related to the initiation of FTTH in select markets, in advance of generating revenue from this new product.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129" w:right="21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Wireline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 2019 Compared with the Three Months Ended September 30, 2018</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6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 of Revenue</w:t>
            </w:r>
          </w:p>
        </w:tc>
        <w:tc>
          <w:tcPr>
            <w:tcW w:w="24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20" w:type="dxa"/>
            <w:vAlign w:val="bottom"/>
          </w:tcPr>
          <w:p>
            <w:pPr>
              <w:jc w:val="right"/>
              <w:ind w:right="82"/>
              <w:spacing w:after="0"/>
              <w:rPr>
                <w:sz w:val="20"/>
                <w:szCs w:val="20"/>
                <w:color w:val="auto"/>
              </w:rPr>
            </w:pPr>
            <w:r>
              <w:rPr>
                <w:rFonts w:ascii="Arial" w:cs="Arial" w:eastAsia="Arial" w:hAnsi="Arial"/>
                <w:sz w:val="13"/>
                <w:szCs w:val="13"/>
                <w:b w:val="1"/>
                <w:bCs w:val="1"/>
                <w:color w:val="auto"/>
              </w:rPr>
              <w:t>% of Revenue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Arial" w:cs="Arial" w:eastAsia="Arial" w:hAnsi="Arial"/>
                <w:sz w:val="14"/>
                <w:szCs w:val="14"/>
                <w:color w:val="auto"/>
              </w:rPr>
              <w:t>Wireline operating revenue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4"/>
                <w:szCs w:val="14"/>
                <w:color w:val="auto"/>
              </w:rPr>
              <w:t>Service revenue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5,892</w:t>
            </w:r>
          </w:p>
        </w:tc>
        <w:tc>
          <w:tcPr>
            <w:tcW w:w="1020" w:type="dxa"/>
            <w:vAlign w:val="bottom"/>
          </w:tcPr>
          <w:p>
            <w:pPr>
              <w:jc w:val="right"/>
              <w:spacing w:after="0"/>
              <w:rPr>
                <w:sz w:val="20"/>
                <w:szCs w:val="20"/>
                <w:color w:val="auto"/>
              </w:rPr>
            </w:pPr>
            <w:r>
              <w:rPr>
                <w:rFonts w:ascii="Arial" w:cs="Arial" w:eastAsia="Arial" w:hAnsi="Arial"/>
                <w:sz w:val="11"/>
                <w:szCs w:val="11"/>
                <w:color w:val="auto"/>
              </w:rPr>
              <w:t>30.8%</w:t>
            </w:r>
          </w:p>
        </w:tc>
        <w:tc>
          <w:tcPr>
            <w:tcW w:w="10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5,824</w:t>
            </w:r>
          </w:p>
        </w:tc>
        <w:tc>
          <w:tcPr>
            <w:tcW w:w="1020" w:type="dxa"/>
            <w:vAlign w:val="bottom"/>
          </w:tcPr>
          <w:p>
            <w:pPr>
              <w:jc w:val="right"/>
              <w:spacing w:after="0"/>
              <w:rPr>
                <w:sz w:val="20"/>
                <w:szCs w:val="20"/>
                <w:color w:val="auto"/>
              </w:rPr>
            </w:pPr>
            <w:r>
              <w:rPr>
                <w:rFonts w:ascii="Arial" w:cs="Arial" w:eastAsia="Arial" w:hAnsi="Arial"/>
                <w:sz w:val="11"/>
                <w:szCs w:val="11"/>
                <w:color w:val="auto"/>
              </w:rPr>
              <w:t>29.7%</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4"/>
                <w:szCs w:val="14"/>
                <w:color w:val="auto"/>
              </w:rPr>
              <w:t>Carrier access and fiber revenue</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12,504</w:t>
            </w:r>
          </w:p>
        </w:tc>
        <w:tc>
          <w:tcPr>
            <w:tcW w:w="1020" w:type="dxa"/>
            <w:vAlign w:val="bottom"/>
          </w:tcPr>
          <w:p>
            <w:pPr>
              <w:jc w:val="right"/>
              <w:spacing w:after="0"/>
              <w:rPr>
                <w:sz w:val="20"/>
                <w:szCs w:val="20"/>
                <w:color w:val="auto"/>
              </w:rPr>
            </w:pPr>
            <w:r>
              <w:rPr>
                <w:rFonts w:ascii="Arial" w:cs="Arial" w:eastAsia="Arial" w:hAnsi="Arial"/>
                <w:sz w:val="11"/>
                <w:szCs w:val="11"/>
                <w:color w:val="auto"/>
              </w:rPr>
              <w:t>65.3%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13,019</w:t>
            </w:r>
          </w:p>
        </w:tc>
        <w:tc>
          <w:tcPr>
            <w:tcW w:w="1020" w:type="dxa"/>
            <w:vAlign w:val="bottom"/>
          </w:tcPr>
          <w:p>
            <w:pPr>
              <w:jc w:val="right"/>
              <w:spacing w:after="0"/>
              <w:rPr>
                <w:sz w:val="20"/>
                <w:szCs w:val="20"/>
                <w:color w:val="auto"/>
              </w:rPr>
            </w:pPr>
            <w:r>
              <w:rPr>
                <w:rFonts w:ascii="Arial" w:cs="Arial" w:eastAsia="Arial" w:hAnsi="Arial"/>
                <w:sz w:val="11"/>
                <w:szCs w:val="11"/>
                <w:color w:val="auto"/>
              </w:rPr>
              <w:t>66.3%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(515)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4"/>
                <w:szCs w:val="14"/>
                <w:color w:val="auto"/>
              </w:rPr>
              <w:t>Equipment revenue</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20" w:type="dxa"/>
            <w:vAlign w:val="bottom"/>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020" w:type="dxa"/>
            <w:vAlign w:val="bottom"/>
          </w:tcPr>
          <w:p>
            <w:pPr>
              <w:jc w:val="right"/>
              <w:spacing w:after="0"/>
              <w:rPr>
                <w:sz w:val="20"/>
                <w:szCs w:val="20"/>
                <w:color w:val="auto"/>
              </w:rPr>
            </w:pPr>
            <w:r>
              <w:rPr>
                <w:rFonts w:ascii="Arial" w:cs="Arial" w:eastAsia="Arial" w:hAnsi="Arial"/>
                <w:sz w:val="11"/>
                <w:szCs w:val="11"/>
                <w:color w:val="auto"/>
              </w:rPr>
              <w:t>0.3%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220"/>
        </w:trPr>
        <w:tc>
          <w:tcPr>
            <w:tcW w:w="4940" w:type="dxa"/>
            <w:vAlign w:val="bottom"/>
          </w:tcPr>
          <w:p>
            <w:pPr>
              <w:ind w:left="14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2"/>
        </w:trPr>
        <w:tc>
          <w:tcPr>
            <w:tcW w:w="4940" w:type="dxa"/>
            <w:vAlign w:val="bottom"/>
          </w:tcPr>
          <w:p>
            <w:pPr>
              <w:ind w:left="220"/>
              <w:spacing w:after="0"/>
              <w:rPr>
                <w:sz w:val="20"/>
                <w:szCs w:val="20"/>
                <w:color w:val="auto"/>
              </w:rPr>
            </w:pPr>
            <w:r>
              <w:rPr>
                <w:rFonts w:ascii="Arial" w:cs="Arial" w:eastAsia="Arial" w:hAnsi="Arial"/>
                <w:sz w:val="14"/>
                <w:szCs w:val="14"/>
                <w:color w:val="auto"/>
              </w:rPr>
              <w:t>Total Wireline operating revenue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19,144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(478)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Arial" w:cs="Arial" w:eastAsia="Arial" w:hAnsi="Arial"/>
                <w:sz w:val="14"/>
                <w:szCs w:val="14"/>
                <w:color w:val="auto"/>
              </w:rPr>
              <w:t>Wireline operating expenses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4"/>
                <w:szCs w:val="14"/>
                <w:color w:val="auto"/>
              </w:rPr>
              <w:t>Cost of services</w:t>
            </w:r>
          </w:p>
        </w:tc>
        <w:tc>
          <w:tcPr>
            <w:tcW w:w="22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9,104</w:t>
            </w:r>
          </w:p>
        </w:tc>
        <w:tc>
          <w:tcPr>
            <w:tcW w:w="1020" w:type="dxa"/>
            <w:vAlign w:val="bottom"/>
          </w:tcPr>
          <w:p>
            <w:pPr>
              <w:jc w:val="right"/>
              <w:spacing w:after="0"/>
              <w:rPr>
                <w:sz w:val="20"/>
                <w:szCs w:val="20"/>
                <w:color w:val="auto"/>
              </w:rPr>
            </w:pPr>
            <w:r>
              <w:rPr>
                <w:rFonts w:ascii="Arial" w:cs="Arial" w:eastAsia="Arial" w:hAnsi="Arial"/>
                <w:sz w:val="11"/>
                <w:szCs w:val="11"/>
                <w:color w:val="auto"/>
              </w:rPr>
              <w:t>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9,266</w:t>
            </w:r>
          </w:p>
        </w:tc>
        <w:tc>
          <w:tcPr>
            <w:tcW w:w="1020" w:type="dxa"/>
            <w:vAlign w:val="bottom"/>
          </w:tcPr>
          <w:p>
            <w:pPr>
              <w:jc w:val="right"/>
              <w:spacing w:after="0"/>
              <w:rPr>
                <w:sz w:val="20"/>
                <w:szCs w:val="20"/>
                <w:color w:val="auto"/>
              </w:rPr>
            </w:pPr>
            <w:r>
              <w:rPr>
                <w:rFonts w:ascii="Arial" w:cs="Arial" w:eastAsia="Arial" w:hAnsi="Arial"/>
                <w:sz w:val="11"/>
                <w:szCs w:val="11"/>
                <w:color w:val="auto"/>
              </w:rPr>
              <w:t>47.2%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4"/>
                <w:szCs w:val="14"/>
                <w:color w:val="auto"/>
              </w:rPr>
              <w:t>Costs of goods sold</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20" w:type="dxa"/>
            <w:vAlign w:val="bottom"/>
          </w:tcPr>
          <w:p>
            <w:pPr>
              <w:jc w:val="right"/>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20" w:type="dxa"/>
            <w:vAlign w:val="bottom"/>
          </w:tcPr>
          <w:p>
            <w:pPr>
              <w:jc w:val="right"/>
              <w:spacing w:after="0"/>
              <w:rPr>
                <w:sz w:val="20"/>
                <w:szCs w:val="20"/>
                <w:color w:val="auto"/>
              </w:rPr>
            </w:pPr>
            <w:r>
              <w:rPr>
                <w:rFonts w:ascii="Arial" w:cs="Arial" w:eastAsia="Arial" w:hAnsi="Arial"/>
                <w:sz w:val="11"/>
                <w:szCs w:val="11"/>
                <w:color w:val="auto"/>
              </w:rPr>
              <w:t>0.1%</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415.8 %</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1,938</w:t>
            </w:r>
          </w:p>
        </w:tc>
        <w:tc>
          <w:tcPr>
            <w:tcW w:w="1020" w:type="dxa"/>
            <w:vAlign w:val="bottom"/>
          </w:tcPr>
          <w:p>
            <w:pPr>
              <w:jc w:val="right"/>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1,780</w:t>
            </w:r>
          </w:p>
        </w:tc>
        <w:tc>
          <w:tcPr>
            <w:tcW w:w="1020" w:type="dxa"/>
            <w:vAlign w:val="bottom"/>
          </w:tcPr>
          <w:p>
            <w:pPr>
              <w:jc w:val="right"/>
              <w:spacing w:after="0"/>
              <w:rPr>
                <w:sz w:val="20"/>
                <w:szCs w:val="20"/>
                <w:color w:val="auto"/>
              </w:rPr>
            </w:pPr>
            <w:r>
              <w:rPr>
                <w:rFonts w:ascii="Arial" w:cs="Arial" w:eastAsia="Arial" w:hAnsi="Arial"/>
                <w:sz w:val="11"/>
                <w:szCs w:val="11"/>
                <w:color w:val="auto"/>
              </w:rPr>
              <w:t>9.1%</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220"/>
        </w:trPr>
        <w:tc>
          <w:tcPr>
            <w:tcW w:w="49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3,435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206"/>
        </w:trPr>
        <w:tc>
          <w:tcPr>
            <w:tcW w:w="4940" w:type="dxa"/>
            <w:vAlign w:val="bottom"/>
          </w:tcPr>
          <w:p>
            <w:pPr>
              <w:ind w:left="220"/>
              <w:spacing w:after="0"/>
              <w:rPr>
                <w:sz w:val="20"/>
                <w:szCs w:val="20"/>
                <w:color w:val="auto"/>
              </w:rPr>
            </w:pPr>
            <w:r>
              <w:rPr>
                <w:rFonts w:ascii="Arial" w:cs="Arial" w:eastAsia="Arial" w:hAnsi="Arial"/>
                <w:sz w:val="14"/>
                <w:szCs w:val="14"/>
                <w:color w:val="auto"/>
              </w:rPr>
              <w:t>Total Wireline operating expenses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73.9%</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6"/>
        </w:trPr>
        <w:tc>
          <w:tcPr>
            <w:tcW w:w="4940" w:type="dxa"/>
            <w:vAlign w:val="bottom"/>
          </w:tcPr>
          <w:p>
            <w:pPr>
              <w:ind w:left="20"/>
              <w:spacing w:after="0"/>
              <w:rPr>
                <w:sz w:val="20"/>
                <w:szCs w:val="20"/>
                <w:color w:val="auto"/>
              </w:rPr>
            </w:pPr>
            <w:r>
              <w:rPr>
                <w:rFonts w:ascii="Arial" w:cs="Arial" w:eastAsia="Arial" w:hAnsi="Arial"/>
                <w:sz w:val="14"/>
                <w:szCs w:val="14"/>
                <w:color w:val="auto"/>
              </w:rPr>
              <w:t>Wireline operating income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4,927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26.1%</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revenue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three months ended September 30, 2019, total operating revenue decreased approximately $0.5 million compared with the three months ended September 30, 2018. The decrease was primarily attributable to a reduction in regulatory support funds.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September 30, 2019, total operating expenses were comparable to the three months ended September 30,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 2019 Compared with the Nine Months Ended September 30, 2018</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6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 of Revenue</w:t>
            </w:r>
          </w:p>
        </w:tc>
        <w:tc>
          <w:tcPr>
            <w:tcW w:w="24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20" w:type="dxa"/>
            <w:vAlign w:val="bottom"/>
          </w:tcPr>
          <w:p>
            <w:pPr>
              <w:jc w:val="right"/>
              <w:ind w:right="82"/>
              <w:spacing w:after="0"/>
              <w:rPr>
                <w:sz w:val="20"/>
                <w:szCs w:val="20"/>
                <w:color w:val="auto"/>
              </w:rPr>
            </w:pPr>
            <w:r>
              <w:rPr>
                <w:rFonts w:ascii="Arial" w:cs="Arial" w:eastAsia="Arial" w:hAnsi="Arial"/>
                <w:sz w:val="13"/>
                <w:szCs w:val="13"/>
                <w:b w:val="1"/>
                <w:bCs w:val="1"/>
                <w:color w:val="auto"/>
              </w:rPr>
              <w:t>% of Revenue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Arial" w:cs="Arial" w:eastAsia="Arial" w:hAnsi="Arial"/>
                <w:sz w:val="14"/>
                <w:szCs w:val="14"/>
                <w:color w:val="auto"/>
              </w:rPr>
              <w:t>Wireline operating revenue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4"/>
                <w:szCs w:val="14"/>
                <w:color w:val="auto"/>
              </w:rPr>
              <w:t>Service revenue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17,700</w:t>
            </w:r>
          </w:p>
        </w:tc>
        <w:tc>
          <w:tcPr>
            <w:tcW w:w="1020" w:type="dxa"/>
            <w:vAlign w:val="bottom"/>
          </w:tcPr>
          <w:p>
            <w:pPr>
              <w:jc w:val="right"/>
              <w:spacing w:after="0"/>
              <w:rPr>
                <w:sz w:val="20"/>
                <w:szCs w:val="20"/>
                <w:color w:val="auto"/>
              </w:rPr>
            </w:pPr>
            <w:r>
              <w:rPr>
                <w:rFonts w:ascii="Arial" w:cs="Arial" w:eastAsia="Arial" w:hAnsi="Arial"/>
                <w:sz w:val="11"/>
                <w:szCs w:val="11"/>
                <w:color w:val="auto"/>
              </w:rPr>
              <w:t>30.7%</w:t>
            </w:r>
          </w:p>
        </w:tc>
        <w:tc>
          <w:tcPr>
            <w:tcW w:w="10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17,439</w:t>
            </w:r>
          </w:p>
        </w:tc>
        <w:tc>
          <w:tcPr>
            <w:tcW w:w="1020" w:type="dxa"/>
            <w:vAlign w:val="bottom"/>
          </w:tcPr>
          <w:p>
            <w:pPr>
              <w:jc w:val="right"/>
              <w:spacing w:after="0"/>
              <w:rPr>
                <w:sz w:val="20"/>
                <w:szCs w:val="20"/>
                <w:color w:val="auto"/>
              </w:rPr>
            </w:pPr>
            <w:r>
              <w:rPr>
                <w:rFonts w:ascii="Arial" w:cs="Arial" w:eastAsia="Arial" w:hAnsi="Arial"/>
                <w:sz w:val="11"/>
                <w:szCs w:val="11"/>
                <w:color w:val="auto"/>
              </w:rPr>
              <w:t>29.8%</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261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4"/>
                <w:szCs w:val="14"/>
                <w:color w:val="auto"/>
              </w:rPr>
              <w:t>Carrier access and fiber revenue</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37,668</w:t>
            </w:r>
          </w:p>
        </w:tc>
        <w:tc>
          <w:tcPr>
            <w:tcW w:w="1020" w:type="dxa"/>
            <w:vAlign w:val="bottom"/>
          </w:tcPr>
          <w:p>
            <w:pPr>
              <w:jc w:val="right"/>
              <w:spacing w:after="0"/>
              <w:rPr>
                <w:sz w:val="20"/>
                <w:szCs w:val="20"/>
                <w:color w:val="auto"/>
              </w:rPr>
            </w:pPr>
            <w:r>
              <w:rPr>
                <w:rFonts w:ascii="Arial" w:cs="Arial" w:eastAsia="Arial" w:hAnsi="Arial"/>
                <w:sz w:val="11"/>
                <w:szCs w:val="11"/>
                <w:color w:val="auto"/>
              </w:rPr>
              <w:t>65.4%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38,341</w:t>
            </w:r>
          </w:p>
        </w:tc>
        <w:tc>
          <w:tcPr>
            <w:tcW w:w="1020" w:type="dxa"/>
            <w:vAlign w:val="bottom"/>
          </w:tcPr>
          <w:p>
            <w:pPr>
              <w:jc w:val="right"/>
              <w:spacing w:after="0"/>
              <w:rPr>
                <w:sz w:val="20"/>
                <w:szCs w:val="20"/>
                <w:color w:val="auto"/>
              </w:rPr>
            </w:pPr>
            <w:r>
              <w:rPr>
                <w:rFonts w:ascii="Arial" w:cs="Arial" w:eastAsia="Arial" w:hAnsi="Arial"/>
                <w:sz w:val="11"/>
                <w:szCs w:val="11"/>
                <w:color w:val="auto"/>
              </w:rPr>
              <w:t>65.6%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(673)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4"/>
                <w:szCs w:val="14"/>
                <w:color w:val="auto"/>
              </w:rPr>
              <w:t>Equipment revenue</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20" w:type="dxa"/>
            <w:vAlign w:val="bottom"/>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020" w:type="dxa"/>
            <w:vAlign w:val="bottom"/>
          </w:tcPr>
          <w:p>
            <w:pPr>
              <w:jc w:val="right"/>
              <w:spacing w:after="0"/>
              <w:rPr>
                <w:sz w:val="20"/>
                <w:szCs w:val="20"/>
                <w:color w:val="auto"/>
              </w:rPr>
            </w:pPr>
            <w:r>
              <w:rPr>
                <w:rFonts w:ascii="Arial" w:cs="Arial" w:eastAsia="Arial" w:hAnsi="Arial"/>
                <w:sz w:val="11"/>
                <w:szCs w:val="11"/>
                <w:color w:val="auto"/>
              </w:rPr>
              <w:t>0.3%</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220"/>
        </w:trPr>
        <w:tc>
          <w:tcPr>
            <w:tcW w:w="4940" w:type="dxa"/>
            <w:vAlign w:val="bottom"/>
          </w:tcPr>
          <w:p>
            <w:pPr>
              <w:ind w:left="14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202"/>
        </w:trPr>
        <w:tc>
          <w:tcPr>
            <w:tcW w:w="4940" w:type="dxa"/>
            <w:vAlign w:val="bottom"/>
          </w:tcPr>
          <w:p>
            <w:pPr>
              <w:ind w:left="220"/>
              <w:spacing w:after="0"/>
              <w:rPr>
                <w:sz w:val="20"/>
                <w:szCs w:val="20"/>
                <w:color w:val="auto"/>
              </w:rPr>
            </w:pPr>
            <w:r>
              <w:rPr>
                <w:rFonts w:ascii="Arial" w:cs="Arial" w:eastAsia="Arial" w:hAnsi="Arial"/>
                <w:sz w:val="14"/>
                <w:szCs w:val="14"/>
                <w:color w:val="auto"/>
              </w:rPr>
              <w:t>Total Wireline operating revenue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57,580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58,441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(861)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Arial" w:cs="Arial" w:eastAsia="Arial" w:hAnsi="Arial"/>
                <w:sz w:val="14"/>
                <w:szCs w:val="14"/>
                <w:color w:val="auto"/>
              </w:rPr>
              <w:t>Wireline operating expenses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4"/>
                <w:szCs w:val="14"/>
                <w:color w:val="auto"/>
              </w:rPr>
              <w:t>Cost of services</w:t>
            </w:r>
          </w:p>
        </w:tc>
        <w:tc>
          <w:tcPr>
            <w:tcW w:w="22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27,234</w:t>
            </w:r>
          </w:p>
        </w:tc>
        <w:tc>
          <w:tcPr>
            <w:tcW w:w="1020" w:type="dxa"/>
            <w:vAlign w:val="bottom"/>
          </w:tcPr>
          <w:p>
            <w:pPr>
              <w:jc w:val="right"/>
              <w:spacing w:after="0"/>
              <w:rPr>
                <w:sz w:val="20"/>
                <w:szCs w:val="20"/>
                <w:color w:val="auto"/>
              </w:rPr>
            </w:pPr>
            <w:r>
              <w:rPr>
                <w:rFonts w:ascii="Arial" w:cs="Arial" w:eastAsia="Arial" w:hAnsi="Arial"/>
                <w:sz w:val="11"/>
                <w:szCs w:val="11"/>
                <w:color w:val="auto"/>
              </w:rPr>
              <w:t>47.3%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28,441</w:t>
            </w:r>
          </w:p>
        </w:tc>
        <w:tc>
          <w:tcPr>
            <w:tcW w:w="1020" w:type="dxa"/>
            <w:vAlign w:val="bottom"/>
          </w:tcPr>
          <w:p>
            <w:pPr>
              <w:jc w:val="right"/>
              <w:spacing w:after="0"/>
              <w:rPr>
                <w:sz w:val="20"/>
                <w:szCs w:val="20"/>
                <w:color w:val="auto"/>
              </w:rPr>
            </w:pPr>
            <w:r>
              <w:rPr>
                <w:rFonts w:ascii="Arial" w:cs="Arial" w:eastAsia="Arial" w:hAnsi="Arial"/>
                <w:sz w:val="11"/>
                <w:szCs w:val="11"/>
                <w:color w:val="auto"/>
              </w:rPr>
              <w:t>48.7%</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4"/>
                <w:szCs w:val="14"/>
                <w:color w:val="auto"/>
              </w:rPr>
              <w:t>Costs of goods sold</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020" w:type="dxa"/>
            <w:vAlign w:val="bottom"/>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020" w:type="dxa"/>
            <w:vAlign w:val="bottom"/>
          </w:tcPr>
          <w:p>
            <w:pPr>
              <w:jc w:val="right"/>
              <w:spacing w:after="0"/>
              <w:rPr>
                <w:sz w:val="20"/>
                <w:szCs w:val="20"/>
                <w:color w:val="auto"/>
              </w:rPr>
            </w:pPr>
            <w:r>
              <w:rPr>
                <w:rFonts w:ascii="Arial" w:cs="Arial" w:eastAsia="Arial" w:hAnsi="Arial"/>
                <w:sz w:val="11"/>
                <w:szCs w:val="11"/>
                <w:color w:val="auto"/>
              </w:rPr>
              <w:t>0.1%</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150.8 %</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5,769</w:t>
            </w:r>
          </w:p>
        </w:tc>
        <w:tc>
          <w:tcPr>
            <w:tcW w:w="102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5,183</w:t>
            </w:r>
          </w:p>
        </w:tc>
        <w:tc>
          <w:tcPr>
            <w:tcW w:w="1020" w:type="dxa"/>
            <w:vAlign w:val="bottom"/>
          </w:tcPr>
          <w:p>
            <w:pPr>
              <w:jc w:val="right"/>
              <w:spacing w:after="0"/>
              <w:rPr>
                <w:sz w:val="20"/>
                <w:szCs w:val="20"/>
                <w:color w:val="auto"/>
              </w:rPr>
            </w:pPr>
            <w:r>
              <w:rPr>
                <w:rFonts w:ascii="Arial" w:cs="Arial" w:eastAsia="Arial" w:hAnsi="Arial"/>
                <w:sz w:val="11"/>
                <w:szCs w:val="11"/>
                <w:color w:val="auto"/>
              </w:rPr>
              <w:t>8.9%</w:t>
            </w:r>
          </w:p>
        </w:tc>
        <w:tc>
          <w:tcPr>
            <w:tcW w:w="1120" w:type="dxa"/>
            <w:vAlign w:val="bottom"/>
            <w:gridSpan w:val="2"/>
          </w:tcPr>
          <w:p>
            <w:pPr>
              <w:jc w:val="right"/>
              <w:ind w:right="28"/>
              <w:spacing w:after="0"/>
              <w:rPr>
                <w:sz w:val="20"/>
                <w:szCs w:val="20"/>
                <w:color w:val="auto"/>
              </w:rPr>
            </w:pPr>
            <w:r>
              <w:rPr>
                <w:rFonts w:ascii="Arial" w:cs="Arial" w:eastAsia="Arial" w:hAnsi="Arial"/>
                <w:sz w:val="13"/>
                <w:szCs w:val="13"/>
                <w:color w:val="auto"/>
              </w:rPr>
              <w:t>586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11.3 %</w:t>
            </w:r>
          </w:p>
        </w:tc>
        <w:tc>
          <w:tcPr>
            <w:tcW w:w="0" w:type="dxa"/>
            <w:vAlign w:val="bottom"/>
          </w:tcPr>
          <w:p>
            <w:pPr>
              <w:spacing w:after="0"/>
              <w:rPr>
                <w:sz w:val="1"/>
                <w:szCs w:val="1"/>
                <w:color w:val="auto"/>
              </w:rPr>
            </w:pPr>
          </w:p>
        </w:tc>
      </w:tr>
      <w:tr>
        <w:trPr>
          <w:trHeight w:val="220"/>
        </w:trPr>
        <w:tc>
          <w:tcPr>
            <w:tcW w:w="49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10,057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10,069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6"/>
        </w:trPr>
        <w:tc>
          <w:tcPr>
            <w:tcW w:w="4940" w:type="dxa"/>
            <w:vAlign w:val="bottom"/>
          </w:tcPr>
          <w:p>
            <w:pPr>
              <w:ind w:left="220"/>
              <w:spacing w:after="0"/>
              <w:rPr>
                <w:sz w:val="20"/>
                <w:szCs w:val="20"/>
                <w:color w:val="auto"/>
              </w:rPr>
            </w:pPr>
            <w:r>
              <w:rPr>
                <w:rFonts w:ascii="Arial" w:cs="Arial" w:eastAsia="Arial" w:hAnsi="Arial"/>
                <w:sz w:val="14"/>
                <w:szCs w:val="14"/>
                <w:color w:val="auto"/>
              </w:rPr>
              <w:t>Total Wireline operating expenses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43,754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74.9%</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(541)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6"/>
        </w:trPr>
        <w:tc>
          <w:tcPr>
            <w:tcW w:w="4940" w:type="dxa"/>
            <w:vAlign w:val="bottom"/>
          </w:tcPr>
          <w:p>
            <w:pPr>
              <w:ind w:left="20"/>
              <w:spacing w:after="0"/>
              <w:rPr>
                <w:sz w:val="20"/>
                <w:szCs w:val="20"/>
                <w:color w:val="auto"/>
              </w:rPr>
            </w:pPr>
            <w:r>
              <w:rPr>
                <w:rFonts w:ascii="Arial" w:cs="Arial" w:eastAsia="Arial" w:hAnsi="Arial"/>
                <w:sz w:val="14"/>
                <w:szCs w:val="14"/>
                <w:color w:val="auto"/>
              </w:rPr>
              <w:t>Wireline operating income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14,687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revenue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nine months ended September 30, 2019, total operating revenue decreased approximately $0.9 million compared with the nine months ended September 30, 2018. Lower switched access terminating volume drove $0.6 million of the decline, and lower governmental support payments drove a further $0.3 million decrease.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nine months ended September 30, 2019, total operating expenses decreased approximately $0.5 million compared with the nine months ended September 30, 2018 primarily due primarily to reductions in payroll expenses.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OIBDA</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Adjusted OIBDA represents Operating income before depreciation, amortization, stock-based compensation and certain other items of revenue, expense, gain or loss not reflective of our operating performance, which may or may not be recurring in nature.</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Adjusted OIBDA is a non-GAAP financial measure that we use to evaluate our operating performance in comparison to our competitors. Management believes that analysts and investors use Adjusted OIBDA as a supplemental measure of operating performance to facilitate comparisons with other telecommunications companies. This measure isolates and evaluates operating performance by excluding the cost of financing (e.g., interest expense), as well as the non-cash depreciation and amortization of past capital investments, non-cash share-based compensation expense, and certain other items of revenue, expense, gain or loss not reflective of our operating performance, which may or may not be recurring in nature.</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Adjusted OIBDA has limitations as an analytical tool and should not be considered in isolation or as a substitute for operating income, net income or any other measure of financial performance reported in accordance with U.S. Generally Accepted Accounting Principles (“GAAP”).</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reconcile Adjusted OIBDA to operating income, which we consider to be the most directly comparable GAAP financial measure: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20" w:type="dxa"/>
            <w:vAlign w:val="bottom"/>
            <w:gridSpan w:val="2"/>
          </w:tcPr>
          <w:p>
            <w:pPr>
              <w:ind w:left="20"/>
              <w:spacing w:after="0"/>
              <w:rPr>
                <w:sz w:val="20"/>
                <w:szCs w:val="20"/>
                <w:color w:val="auto"/>
              </w:rPr>
            </w:pPr>
            <w:r>
              <w:rPr>
                <w:rFonts w:ascii="Arial" w:cs="Arial" w:eastAsia="Arial" w:hAnsi="Arial"/>
                <w:sz w:val="13"/>
                <w:szCs w:val="13"/>
                <w:b w:val="1"/>
                <w:bCs w:val="1"/>
                <w:color w:val="auto"/>
              </w:rPr>
              <w:t>Three Months Ended September 30, 2019</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47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Wireless</w:t>
            </w:r>
          </w:p>
        </w:tc>
        <w:tc>
          <w:tcPr>
            <w:tcW w:w="2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Cable</w:t>
            </w:r>
          </w:p>
        </w:tc>
        <w:tc>
          <w:tcPr>
            <w:tcW w:w="24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Wireline</w:t>
            </w: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3"/>
                <w:szCs w:val="13"/>
                <w:b w:val="1"/>
                <w:bCs w:val="1"/>
                <w:color w:val="auto"/>
                <w:w w:val="94"/>
              </w:rPr>
              <w:t>Consolidated</w:t>
            </w: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9"/>
        </w:trPr>
        <w:tc>
          <w:tcPr>
            <w:tcW w:w="4720" w:type="dxa"/>
            <w:vAlign w:val="bottom"/>
            <w:gridSpan w:val="2"/>
          </w:tcPr>
          <w:p>
            <w:pPr>
              <w:ind w:left="20"/>
              <w:spacing w:after="0"/>
              <w:rPr>
                <w:sz w:val="20"/>
                <w:szCs w:val="20"/>
                <w:color w:val="auto"/>
              </w:rPr>
            </w:pPr>
            <w:r>
              <w:rPr>
                <w:rFonts w:ascii="Arial" w:cs="Arial" w:eastAsia="Arial" w:hAnsi="Arial"/>
                <w:sz w:val="13"/>
                <w:szCs w:val="13"/>
                <w:color w:val="auto"/>
              </w:rPr>
              <w:t>Operating income</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23,731</w:t>
            </w:r>
          </w:p>
        </w:tc>
        <w:tc>
          <w:tcPr>
            <w:tcW w:w="120" w:type="dxa"/>
            <w:vAlign w:val="bottom"/>
          </w:tcPr>
          <w:p>
            <w:pPr>
              <w:spacing w:after="0"/>
              <w:rPr>
                <w:sz w:val="14"/>
                <w:szCs w:val="14"/>
                <w:color w:val="auto"/>
              </w:rPr>
            </w:pP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6,296</w:t>
            </w:r>
          </w:p>
        </w:tc>
        <w:tc>
          <w:tcPr>
            <w:tcW w:w="120" w:type="dxa"/>
            <w:vAlign w:val="bottom"/>
          </w:tcPr>
          <w:p>
            <w:pPr>
              <w:spacing w:after="0"/>
              <w:rPr>
                <w:sz w:val="14"/>
                <w:szCs w:val="14"/>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4,927</w:t>
            </w:r>
          </w:p>
        </w:tc>
        <w:tc>
          <w:tcPr>
            <w:tcW w:w="120" w:type="dxa"/>
            <w:vAlign w:val="bottom"/>
          </w:tcPr>
          <w:p>
            <w:pPr>
              <w:spacing w:after="0"/>
              <w:rPr>
                <w:sz w:val="14"/>
                <w:szCs w:val="1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(9,595)</w:t>
            </w:r>
          </w:p>
        </w:tc>
        <w:tc>
          <w:tcPr>
            <w:tcW w:w="100" w:type="dxa"/>
            <w:vAlign w:val="bottom"/>
          </w:tcPr>
          <w:p>
            <w:pPr>
              <w:spacing w:after="0"/>
              <w:rPr>
                <w:sz w:val="14"/>
                <w:szCs w:val="14"/>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25,359</w:t>
            </w:r>
          </w:p>
        </w:tc>
      </w:tr>
      <w:tr>
        <w:trPr>
          <w:trHeight w:val="216"/>
        </w:trPr>
        <w:tc>
          <w:tcPr>
            <w:tcW w:w="4720" w:type="dxa"/>
            <w:vAlign w:val="bottom"/>
            <w:gridSpan w:val="2"/>
          </w:tcPr>
          <w:p>
            <w:pPr>
              <w:ind w:left="14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27,200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6,226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3,077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36,626</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9"/>
        </w:trPr>
        <w:tc>
          <w:tcPr>
            <w:tcW w:w="4720" w:type="dxa"/>
            <w:vAlign w:val="bottom"/>
            <w:gridSpan w:val="2"/>
          </w:tcPr>
          <w:p>
            <w:pPr>
              <w:ind w:left="20"/>
              <w:spacing w:after="0"/>
              <w:rPr>
                <w:sz w:val="20"/>
                <w:szCs w:val="20"/>
                <w:color w:val="auto"/>
              </w:rPr>
            </w:pPr>
            <w:r>
              <w:rPr>
                <w:rFonts w:ascii="Arial" w:cs="Arial" w:eastAsia="Arial" w:hAnsi="Arial"/>
                <w:sz w:val="13"/>
                <w:szCs w:val="13"/>
                <w:color w:val="auto"/>
              </w:rPr>
              <w:t>OIBDA</w:t>
            </w:r>
          </w:p>
        </w:tc>
        <w:tc>
          <w:tcPr>
            <w:tcW w:w="240" w:type="dxa"/>
            <w:vAlign w:val="bottom"/>
          </w:tcPr>
          <w:p>
            <w:pPr>
              <w:spacing w:after="0"/>
              <w:rPr>
                <w:sz w:val="14"/>
                <w:szCs w:val="14"/>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50,931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12,522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8,004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(9,472)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61,985</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9"/>
        </w:trPr>
        <w:tc>
          <w:tcPr>
            <w:tcW w:w="4720" w:type="dxa"/>
            <w:vAlign w:val="bottom"/>
            <w:gridSpan w:val="2"/>
          </w:tcPr>
          <w:p>
            <w:pPr>
              <w:ind w:left="140"/>
              <w:spacing w:after="0"/>
              <w:rPr>
                <w:sz w:val="20"/>
                <w:szCs w:val="20"/>
                <w:color w:val="auto"/>
              </w:rPr>
            </w:pPr>
            <w:r>
              <w:rPr>
                <w:rFonts w:ascii="Arial" w:cs="Arial" w:eastAsia="Arial" w:hAnsi="Arial"/>
                <w:sz w:val="13"/>
                <w:szCs w:val="13"/>
                <w:color w:val="auto"/>
              </w:rPr>
              <w:t>Share-based compensation expense</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851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851</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8"/>
        </w:trPr>
        <w:tc>
          <w:tcPr>
            <w:tcW w:w="4720" w:type="dxa"/>
            <w:vAlign w:val="bottom"/>
            <w:gridSpan w:val="2"/>
          </w:tcPr>
          <w:p>
            <w:pPr>
              <w:ind w:left="20"/>
              <w:spacing w:after="0"/>
              <w:rPr>
                <w:sz w:val="20"/>
                <w:szCs w:val="20"/>
                <w:color w:val="auto"/>
              </w:rPr>
            </w:pPr>
            <w:r>
              <w:rPr>
                <w:rFonts w:ascii="Arial" w:cs="Arial" w:eastAsia="Arial" w:hAnsi="Arial"/>
                <w:sz w:val="13"/>
                <w:szCs w:val="13"/>
                <w:color w:val="auto"/>
              </w:rPr>
              <w:t>Adjusted OIBDA</w:t>
            </w: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50,931</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12,522</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8,004</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(8,621)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62,836</w:t>
            </w:r>
          </w:p>
        </w:tc>
      </w:tr>
      <w:tr>
        <w:trPr>
          <w:trHeight w:val="20"/>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Additionally, we realized cash savings of $9.7 million during the period from the waiver of Sprint's Management Fee. These cash savings are accounted for as a reduction of the Sprint affiliate contract expansion asset, which was recognized in conjunction with the 2016 nTelos acquisition. The remaining waived management fee balance at September 30, 2019 was $128.2 million, which we expect to realize through 2022.</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20" w:type="dxa"/>
            <w:vAlign w:val="bottom"/>
            <w:gridSpan w:val="2"/>
          </w:tcPr>
          <w:p>
            <w:pPr>
              <w:ind w:left="20"/>
              <w:spacing w:after="0"/>
              <w:rPr>
                <w:sz w:val="20"/>
                <w:szCs w:val="20"/>
                <w:color w:val="auto"/>
              </w:rPr>
            </w:pPr>
            <w:r>
              <w:rPr>
                <w:rFonts w:ascii="Arial" w:cs="Arial" w:eastAsia="Arial" w:hAnsi="Arial"/>
                <w:sz w:val="13"/>
                <w:szCs w:val="13"/>
                <w:b w:val="1"/>
                <w:bCs w:val="1"/>
                <w:color w:val="auto"/>
              </w:rPr>
              <w:t>Three Months Ended September 30, 2018</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Wireless</w:t>
            </w:r>
          </w:p>
        </w:tc>
        <w:tc>
          <w:tcPr>
            <w:tcW w:w="2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Cable</w:t>
            </w:r>
          </w:p>
        </w:tc>
        <w:tc>
          <w:tcPr>
            <w:tcW w:w="24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Wireline</w:t>
            </w: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3"/>
                <w:szCs w:val="13"/>
                <w:b w:val="1"/>
                <w:bCs w:val="1"/>
                <w:color w:val="auto"/>
                <w:w w:val="94"/>
              </w:rPr>
              <w:t>Consolidated</w:t>
            </w:r>
          </w:p>
        </w:tc>
        <w:tc>
          <w:tcPr>
            <w:tcW w:w="0" w:type="dxa"/>
            <w:vAlign w:val="bottom"/>
          </w:tcPr>
          <w:p>
            <w:pPr>
              <w:spacing w:after="0"/>
              <w:rPr>
                <w:sz w:val="1"/>
                <w:szCs w:val="1"/>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720" w:type="dxa"/>
            <w:vAlign w:val="bottom"/>
            <w:gridSpan w:val="2"/>
          </w:tcPr>
          <w:p>
            <w:pPr>
              <w:ind w:left="20"/>
              <w:spacing w:after="0"/>
              <w:rPr>
                <w:sz w:val="20"/>
                <w:szCs w:val="20"/>
                <w:color w:val="auto"/>
              </w:rPr>
            </w:pPr>
            <w:r>
              <w:rPr>
                <w:rFonts w:ascii="Arial" w:cs="Arial" w:eastAsia="Arial" w:hAnsi="Arial"/>
                <w:sz w:val="13"/>
                <w:szCs w:val="13"/>
                <w:color w:val="auto"/>
              </w:rPr>
              <w:t>Operating income</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27,352</w:t>
            </w:r>
          </w:p>
        </w:tc>
        <w:tc>
          <w:tcPr>
            <w:tcW w:w="120" w:type="dxa"/>
            <w:vAlign w:val="bottom"/>
          </w:tcPr>
          <w:p>
            <w:pPr>
              <w:spacing w:after="0"/>
              <w:rPr>
                <w:sz w:val="14"/>
                <w:szCs w:val="14"/>
                <w:color w:val="auto"/>
              </w:rPr>
            </w:pP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5,834</w:t>
            </w:r>
          </w:p>
        </w:tc>
        <w:tc>
          <w:tcPr>
            <w:tcW w:w="120" w:type="dxa"/>
            <w:vAlign w:val="bottom"/>
          </w:tcPr>
          <w:p>
            <w:pPr>
              <w:spacing w:after="0"/>
              <w:rPr>
                <w:sz w:val="14"/>
                <w:szCs w:val="14"/>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5,122</w:t>
            </w:r>
          </w:p>
        </w:tc>
        <w:tc>
          <w:tcPr>
            <w:tcW w:w="120" w:type="dxa"/>
            <w:vAlign w:val="bottom"/>
          </w:tcPr>
          <w:p>
            <w:pPr>
              <w:spacing w:after="0"/>
              <w:rPr>
                <w:sz w:val="14"/>
                <w:szCs w:val="1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(9,979)</w:t>
            </w:r>
          </w:p>
        </w:tc>
        <w:tc>
          <w:tcPr>
            <w:tcW w:w="100" w:type="dxa"/>
            <w:vAlign w:val="bottom"/>
          </w:tcPr>
          <w:p>
            <w:pPr>
              <w:spacing w:after="0"/>
              <w:rPr>
                <w:sz w:val="14"/>
                <w:szCs w:val="14"/>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28,329</w:t>
            </w:r>
          </w:p>
        </w:tc>
        <w:tc>
          <w:tcPr>
            <w:tcW w:w="0" w:type="dxa"/>
            <w:vAlign w:val="bottom"/>
          </w:tcPr>
          <w:p>
            <w:pPr>
              <w:spacing w:after="0"/>
              <w:rPr>
                <w:sz w:val="1"/>
                <w:szCs w:val="1"/>
                <w:color w:val="auto"/>
              </w:rPr>
            </w:pPr>
          </w:p>
        </w:tc>
      </w:tr>
      <w:tr>
        <w:trPr>
          <w:trHeight w:val="216"/>
        </w:trPr>
        <w:tc>
          <w:tcPr>
            <w:tcW w:w="4720" w:type="dxa"/>
            <w:vAlign w:val="bottom"/>
            <w:gridSpan w:val="2"/>
          </w:tcPr>
          <w:p>
            <w:pPr>
              <w:ind w:left="14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30,363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6,102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3,435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40,028</w:t>
            </w:r>
          </w:p>
        </w:tc>
        <w:tc>
          <w:tcPr>
            <w:tcW w:w="0" w:type="dxa"/>
            <w:vAlign w:val="bottom"/>
          </w:tcPr>
          <w:p>
            <w:pPr>
              <w:spacing w:after="0"/>
              <w:rPr>
                <w:sz w:val="1"/>
                <w:szCs w:val="1"/>
                <w:color w:val="auto"/>
              </w:rPr>
            </w:pPr>
          </w:p>
        </w:tc>
      </w:tr>
      <w:tr>
        <w:trPr>
          <w:trHeight w:val="27"/>
        </w:trPr>
        <w:tc>
          <w:tcPr>
            <w:tcW w:w="4720" w:type="dxa"/>
            <w:vAlign w:val="bottom"/>
            <w:gridSpan w:val="2"/>
            <w:vMerge w:val="restart"/>
          </w:tcPr>
          <w:p>
            <w:pPr>
              <w:ind w:left="20"/>
              <w:spacing w:after="0"/>
              <w:rPr>
                <w:sz w:val="20"/>
                <w:szCs w:val="20"/>
                <w:color w:val="auto"/>
              </w:rPr>
            </w:pPr>
            <w:r>
              <w:rPr>
                <w:rFonts w:ascii="Arial" w:cs="Arial" w:eastAsia="Arial" w:hAnsi="Arial"/>
                <w:sz w:val="13"/>
                <w:szCs w:val="13"/>
                <w:color w:val="auto"/>
              </w:rPr>
              <w:t>OIBDA</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57,715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11,936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8,557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(9,851)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68,357</w:t>
            </w:r>
          </w:p>
        </w:tc>
        <w:tc>
          <w:tcPr>
            <w:tcW w:w="0" w:type="dxa"/>
            <w:vAlign w:val="bottom"/>
          </w:tcPr>
          <w:p>
            <w:pPr>
              <w:spacing w:after="0"/>
              <w:rPr>
                <w:sz w:val="1"/>
                <w:szCs w:val="1"/>
                <w:color w:val="auto"/>
              </w:rPr>
            </w:pPr>
          </w:p>
        </w:tc>
      </w:tr>
      <w:tr>
        <w:trPr>
          <w:trHeight w:val="27"/>
        </w:trPr>
        <w:tc>
          <w:tcPr>
            <w:tcW w:w="4720" w:type="dxa"/>
            <w:vAlign w:val="bottom"/>
            <w:gridSpan w:val="2"/>
            <w:vMerge w:val="restart"/>
          </w:tcPr>
          <w:p>
            <w:pPr>
              <w:ind w:left="140"/>
              <w:spacing w:after="0"/>
              <w:rPr>
                <w:sz w:val="20"/>
                <w:szCs w:val="20"/>
                <w:color w:val="auto"/>
              </w:rPr>
            </w:pPr>
            <w:r>
              <w:rPr>
                <w:rFonts w:ascii="Arial" w:cs="Arial" w:eastAsia="Arial" w:hAnsi="Arial"/>
                <w:sz w:val="13"/>
                <w:szCs w:val="13"/>
                <w:color w:val="auto"/>
              </w:rPr>
              <w:t>Share-based compensation expense</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1,171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1,171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720" w:type="dxa"/>
            <w:vAlign w:val="bottom"/>
            <w:gridSpan w:val="2"/>
          </w:tcPr>
          <w:p>
            <w:pPr>
              <w:ind w:left="20"/>
              <w:spacing w:after="0"/>
              <w:rPr>
                <w:sz w:val="20"/>
                <w:szCs w:val="20"/>
                <w:color w:val="auto"/>
              </w:rPr>
            </w:pPr>
            <w:r>
              <w:rPr>
                <w:rFonts w:ascii="Arial" w:cs="Arial" w:eastAsia="Arial" w:hAnsi="Arial"/>
                <w:sz w:val="13"/>
                <w:szCs w:val="13"/>
                <w:color w:val="auto"/>
              </w:rPr>
              <w:t>Adjusted OIBDA</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57,715</w:t>
            </w:r>
          </w:p>
        </w:tc>
        <w:tc>
          <w:tcPr>
            <w:tcW w:w="120" w:type="dxa"/>
            <w:vAlign w:val="bottom"/>
          </w:tcPr>
          <w:p>
            <w:pPr>
              <w:spacing w:after="0"/>
              <w:rPr>
                <w:sz w:val="14"/>
                <w:szCs w:val="14"/>
                <w:color w:val="auto"/>
              </w:rPr>
            </w:pP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11,936</w:t>
            </w:r>
          </w:p>
        </w:tc>
        <w:tc>
          <w:tcPr>
            <w:tcW w:w="120" w:type="dxa"/>
            <w:vAlign w:val="bottom"/>
          </w:tcPr>
          <w:p>
            <w:pPr>
              <w:spacing w:after="0"/>
              <w:rPr>
                <w:sz w:val="14"/>
                <w:szCs w:val="14"/>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8,557</w:t>
            </w:r>
          </w:p>
        </w:tc>
        <w:tc>
          <w:tcPr>
            <w:tcW w:w="120" w:type="dxa"/>
            <w:vAlign w:val="bottom"/>
          </w:tcPr>
          <w:p>
            <w:pPr>
              <w:spacing w:after="0"/>
              <w:rPr>
                <w:sz w:val="14"/>
                <w:szCs w:val="1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(8,680)</w:t>
            </w:r>
          </w:p>
        </w:tc>
        <w:tc>
          <w:tcPr>
            <w:tcW w:w="100" w:type="dxa"/>
            <w:vAlign w:val="bottom"/>
          </w:tcPr>
          <w:p>
            <w:pPr>
              <w:spacing w:after="0"/>
              <w:rPr>
                <w:sz w:val="14"/>
                <w:szCs w:val="14"/>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69,528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Additionally, we realized cash savings of $9.6 million during the period from the waiver of Sprint's Management Fee, as discussed above.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129" w:right="21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20" w:type="dxa"/>
            <w:vAlign w:val="bottom"/>
            <w:gridSpan w:val="2"/>
          </w:tcPr>
          <w:p>
            <w:pPr>
              <w:ind w:left="20"/>
              <w:spacing w:after="0"/>
              <w:rPr>
                <w:sz w:val="20"/>
                <w:szCs w:val="20"/>
                <w:color w:val="auto"/>
              </w:rPr>
            </w:pPr>
            <w:r>
              <w:rPr>
                <w:rFonts w:ascii="Arial" w:cs="Arial" w:eastAsia="Arial" w:hAnsi="Arial"/>
                <w:sz w:val="13"/>
                <w:szCs w:val="13"/>
                <w:b w:val="1"/>
                <w:bCs w:val="1"/>
                <w:color w:val="auto"/>
              </w:rPr>
              <w:t>Nine Months Ended September 30, 2019</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47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Wireless</w:t>
            </w:r>
          </w:p>
        </w:tc>
        <w:tc>
          <w:tcPr>
            <w:tcW w:w="2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Cable</w:t>
            </w:r>
          </w:p>
        </w:tc>
        <w:tc>
          <w:tcPr>
            <w:tcW w:w="24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Wireline</w:t>
            </w: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3"/>
                <w:szCs w:val="13"/>
                <w:b w:val="1"/>
                <w:bCs w:val="1"/>
                <w:color w:val="auto"/>
                <w:w w:val="94"/>
              </w:rPr>
              <w:t>Consolidated</w:t>
            </w: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9"/>
        </w:trPr>
        <w:tc>
          <w:tcPr>
            <w:tcW w:w="4720" w:type="dxa"/>
            <w:vAlign w:val="bottom"/>
            <w:gridSpan w:val="2"/>
          </w:tcPr>
          <w:p>
            <w:pPr>
              <w:ind w:left="20"/>
              <w:spacing w:after="0"/>
              <w:rPr>
                <w:sz w:val="20"/>
                <w:szCs w:val="20"/>
                <w:color w:val="auto"/>
              </w:rPr>
            </w:pPr>
            <w:r>
              <w:rPr>
                <w:rFonts w:ascii="Arial" w:cs="Arial" w:eastAsia="Arial" w:hAnsi="Arial"/>
                <w:sz w:val="13"/>
                <w:szCs w:val="13"/>
                <w:color w:val="auto"/>
              </w:rPr>
              <w:t>Operating income</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71,092</w:t>
            </w:r>
          </w:p>
        </w:tc>
        <w:tc>
          <w:tcPr>
            <w:tcW w:w="120" w:type="dxa"/>
            <w:vAlign w:val="bottom"/>
          </w:tcPr>
          <w:p>
            <w:pPr>
              <w:spacing w:after="0"/>
              <w:rPr>
                <w:sz w:val="14"/>
                <w:szCs w:val="14"/>
                <w:color w:val="auto"/>
              </w:rPr>
            </w:pP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18,785</w:t>
            </w:r>
          </w:p>
        </w:tc>
        <w:tc>
          <w:tcPr>
            <w:tcW w:w="120" w:type="dxa"/>
            <w:vAlign w:val="bottom"/>
          </w:tcPr>
          <w:p>
            <w:pPr>
              <w:spacing w:after="0"/>
              <w:rPr>
                <w:sz w:val="14"/>
                <w:szCs w:val="14"/>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14,367</w:t>
            </w:r>
          </w:p>
        </w:tc>
        <w:tc>
          <w:tcPr>
            <w:tcW w:w="120" w:type="dxa"/>
            <w:vAlign w:val="bottom"/>
          </w:tcPr>
          <w:p>
            <w:pPr>
              <w:spacing w:after="0"/>
              <w:rPr>
                <w:sz w:val="14"/>
                <w:szCs w:val="1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(30,078)</w:t>
            </w:r>
          </w:p>
        </w:tc>
        <w:tc>
          <w:tcPr>
            <w:tcW w:w="100" w:type="dxa"/>
            <w:vAlign w:val="bottom"/>
          </w:tcPr>
          <w:p>
            <w:pPr>
              <w:spacing w:after="0"/>
              <w:rPr>
                <w:sz w:val="14"/>
                <w:szCs w:val="14"/>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74,166</w:t>
            </w:r>
          </w:p>
        </w:tc>
      </w:tr>
      <w:tr>
        <w:trPr>
          <w:trHeight w:val="216"/>
        </w:trPr>
        <w:tc>
          <w:tcPr>
            <w:tcW w:w="4720" w:type="dxa"/>
            <w:vAlign w:val="bottom"/>
            <w:gridSpan w:val="2"/>
          </w:tcPr>
          <w:p>
            <w:pPr>
              <w:ind w:left="14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90,469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19,239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10,057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393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120,158</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9"/>
        </w:trPr>
        <w:tc>
          <w:tcPr>
            <w:tcW w:w="4720" w:type="dxa"/>
            <w:vAlign w:val="bottom"/>
            <w:gridSpan w:val="2"/>
          </w:tcPr>
          <w:p>
            <w:pPr>
              <w:ind w:left="20"/>
              <w:spacing w:after="0"/>
              <w:rPr>
                <w:sz w:val="20"/>
                <w:szCs w:val="20"/>
                <w:color w:val="auto"/>
              </w:rPr>
            </w:pPr>
            <w:r>
              <w:rPr>
                <w:rFonts w:ascii="Arial" w:cs="Arial" w:eastAsia="Arial" w:hAnsi="Arial"/>
                <w:sz w:val="13"/>
                <w:szCs w:val="13"/>
                <w:color w:val="auto"/>
              </w:rPr>
              <w:t>OIBDA</w:t>
            </w:r>
          </w:p>
        </w:tc>
        <w:tc>
          <w:tcPr>
            <w:tcW w:w="240" w:type="dxa"/>
            <w:vAlign w:val="bottom"/>
          </w:tcPr>
          <w:p>
            <w:pPr>
              <w:spacing w:after="0"/>
              <w:rPr>
                <w:sz w:val="14"/>
                <w:szCs w:val="14"/>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161,561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38,024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24,424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(29,685)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194,324</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9"/>
        </w:trPr>
        <w:tc>
          <w:tcPr>
            <w:tcW w:w="4720" w:type="dxa"/>
            <w:vAlign w:val="bottom"/>
            <w:gridSpan w:val="2"/>
          </w:tcPr>
          <w:p>
            <w:pPr>
              <w:ind w:left="140"/>
              <w:spacing w:after="0"/>
              <w:rPr>
                <w:sz w:val="20"/>
                <w:szCs w:val="20"/>
                <w:color w:val="auto"/>
              </w:rPr>
            </w:pPr>
            <w:r>
              <w:rPr>
                <w:rFonts w:ascii="Arial" w:cs="Arial" w:eastAsia="Arial" w:hAnsi="Arial"/>
                <w:sz w:val="13"/>
                <w:szCs w:val="13"/>
                <w:color w:val="auto"/>
              </w:rPr>
              <w:t>Share-based compensation expense</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3,158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3,158</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8"/>
        </w:trPr>
        <w:tc>
          <w:tcPr>
            <w:tcW w:w="4720" w:type="dxa"/>
            <w:vAlign w:val="bottom"/>
            <w:gridSpan w:val="2"/>
          </w:tcPr>
          <w:p>
            <w:pPr>
              <w:ind w:left="20"/>
              <w:spacing w:after="0"/>
              <w:rPr>
                <w:sz w:val="20"/>
                <w:szCs w:val="20"/>
                <w:color w:val="auto"/>
              </w:rPr>
            </w:pPr>
            <w:r>
              <w:rPr>
                <w:rFonts w:ascii="Arial" w:cs="Arial" w:eastAsia="Arial" w:hAnsi="Arial"/>
                <w:sz w:val="13"/>
                <w:szCs w:val="13"/>
                <w:color w:val="auto"/>
              </w:rPr>
              <w:t>Adjusted OIBDA</w:t>
            </w: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161,561</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38,024</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24,424</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(26,527)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197,482</w:t>
            </w:r>
          </w:p>
        </w:tc>
      </w:tr>
      <w:tr>
        <w:trPr>
          <w:trHeight w:val="20"/>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Additionally, we realized cash savings of $29.0 million during the period from the waiver of Sprint's Management Fee, as discussed above.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20" w:type="dxa"/>
            <w:vAlign w:val="bottom"/>
            <w:gridSpan w:val="2"/>
          </w:tcPr>
          <w:p>
            <w:pPr>
              <w:ind w:left="20"/>
              <w:spacing w:after="0"/>
              <w:rPr>
                <w:sz w:val="20"/>
                <w:szCs w:val="20"/>
                <w:color w:val="auto"/>
              </w:rPr>
            </w:pPr>
            <w:r>
              <w:rPr>
                <w:rFonts w:ascii="Arial" w:cs="Arial" w:eastAsia="Arial" w:hAnsi="Arial"/>
                <w:sz w:val="13"/>
                <w:szCs w:val="13"/>
                <w:b w:val="1"/>
                <w:bCs w:val="1"/>
                <w:color w:val="auto"/>
              </w:rPr>
              <w:t>Nine Months Ended September 30, 2018</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Wireless</w:t>
            </w:r>
          </w:p>
        </w:tc>
        <w:tc>
          <w:tcPr>
            <w:tcW w:w="2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Cable</w:t>
            </w:r>
          </w:p>
        </w:tc>
        <w:tc>
          <w:tcPr>
            <w:tcW w:w="24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Wireline</w:t>
            </w: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3"/>
                <w:szCs w:val="13"/>
                <w:b w:val="1"/>
                <w:bCs w:val="1"/>
                <w:color w:val="auto"/>
                <w:w w:val="94"/>
              </w:rPr>
              <w:t>Consolidated</w:t>
            </w:r>
          </w:p>
        </w:tc>
        <w:tc>
          <w:tcPr>
            <w:tcW w:w="0" w:type="dxa"/>
            <w:vAlign w:val="bottom"/>
          </w:tcPr>
          <w:p>
            <w:pPr>
              <w:spacing w:after="0"/>
              <w:rPr>
                <w:sz w:val="1"/>
                <w:szCs w:val="1"/>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720" w:type="dxa"/>
            <w:vAlign w:val="bottom"/>
            <w:gridSpan w:val="2"/>
          </w:tcPr>
          <w:p>
            <w:pPr>
              <w:ind w:left="20"/>
              <w:spacing w:after="0"/>
              <w:rPr>
                <w:sz w:val="20"/>
                <w:szCs w:val="20"/>
                <w:color w:val="auto"/>
              </w:rPr>
            </w:pPr>
            <w:r>
              <w:rPr>
                <w:rFonts w:ascii="Arial" w:cs="Arial" w:eastAsia="Arial" w:hAnsi="Arial"/>
                <w:sz w:val="13"/>
                <w:szCs w:val="13"/>
                <w:color w:val="auto"/>
              </w:rPr>
              <w:t>Operating income</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66,870</w:t>
            </w:r>
          </w:p>
        </w:tc>
        <w:tc>
          <w:tcPr>
            <w:tcW w:w="120" w:type="dxa"/>
            <w:vAlign w:val="bottom"/>
          </w:tcPr>
          <w:p>
            <w:pPr>
              <w:spacing w:after="0"/>
              <w:rPr>
                <w:sz w:val="14"/>
                <w:szCs w:val="14"/>
                <w:color w:val="auto"/>
              </w:rPr>
            </w:pP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17,444</w:t>
            </w:r>
          </w:p>
        </w:tc>
        <w:tc>
          <w:tcPr>
            <w:tcW w:w="120" w:type="dxa"/>
            <w:vAlign w:val="bottom"/>
          </w:tcPr>
          <w:p>
            <w:pPr>
              <w:spacing w:after="0"/>
              <w:rPr>
                <w:sz w:val="14"/>
                <w:szCs w:val="14"/>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14,687</w:t>
            </w:r>
          </w:p>
        </w:tc>
        <w:tc>
          <w:tcPr>
            <w:tcW w:w="120" w:type="dxa"/>
            <w:vAlign w:val="bottom"/>
          </w:tcPr>
          <w:p>
            <w:pPr>
              <w:spacing w:after="0"/>
              <w:rPr>
                <w:sz w:val="14"/>
                <w:szCs w:val="1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(32,749)</w:t>
            </w:r>
          </w:p>
        </w:tc>
        <w:tc>
          <w:tcPr>
            <w:tcW w:w="100" w:type="dxa"/>
            <w:vAlign w:val="bottom"/>
          </w:tcPr>
          <w:p>
            <w:pPr>
              <w:spacing w:after="0"/>
              <w:rPr>
                <w:sz w:val="14"/>
                <w:szCs w:val="14"/>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66,252</w:t>
            </w:r>
          </w:p>
        </w:tc>
        <w:tc>
          <w:tcPr>
            <w:tcW w:w="0" w:type="dxa"/>
            <w:vAlign w:val="bottom"/>
          </w:tcPr>
          <w:p>
            <w:pPr>
              <w:spacing w:after="0"/>
              <w:rPr>
                <w:sz w:val="1"/>
                <w:szCs w:val="1"/>
                <w:color w:val="auto"/>
              </w:rPr>
            </w:pPr>
          </w:p>
        </w:tc>
      </w:tr>
      <w:tr>
        <w:trPr>
          <w:trHeight w:val="216"/>
        </w:trPr>
        <w:tc>
          <w:tcPr>
            <w:tcW w:w="4720" w:type="dxa"/>
            <w:vAlign w:val="bottom"/>
            <w:gridSpan w:val="2"/>
          </w:tcPr>
          <w:p>
            <w:pPr>
              <w:ind w:left="14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95,853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18,305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10,069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124,632</w:t>
            </w:r>
          </w:p>
        </w:tc>
        <w:tc>
          <w:tcPr>
            <w:tcW w:w="0" w:type="dxa"/>
            <w:vAlign w:val="bottom"/>
          </w:tcPr>
          <w:p>
            <w:pPr>
              <w:spacing w:after="0"/>
              <w:rPr>
                <w:sz w:val="1"/>
                <w:szCs w:val="1"/>
                <w:color w:val="auto"/>
              </w:rPr>
            </w:pPr>
          </w:p>
        </w:tc>
      </w:tr>
      <w:tr>
        <w:trPr>
          <w:trHeight w:val="27"/>
        </w:trPr>
        <w:tc>
          <w:tcPr>
            <w:tcW w:w="4720" w:type="dxa"/>
            <w:vAlign w:val="bottom"/>
            <w:gridSpan w:val="2"/>
            <w:vMerge w:val="restart"/>
          </w:tcPr>
          <w:p>
            <w:pPr>
              <w:ind w:left="20"/>
              <w:spacing w:after="0"/>
              <w:rPr>
                <w:sz w:val="20"/>
                <w:szCs w:val="20"/>
                <w:color w:val="auto"/>
              </w:rPr>
            </w:pPr>
            <w:r>
              <w:rPr>
                <w:rFonts w:ascii="Arial" w:cs="Arial" w:eastAsia="Arial" w:hAnsi="Arial"/>
                <w:sz w:val="13"/>
                <w:szCs w:val="13"/>
                <w:color w:val="auto"/>
              </w:rPr>
              <w:t>OIBDA</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162,723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35,749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24,756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(32,344)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190,884</w:t>
            </w:r>
          </w:p>
        </w:tc>
        <w:tc>
          <w:tcPr>
            <w:tcW w:w="0" w:type="dxa"/>
            <w:vAlign w:val="bottom"/>
          </w:tcPr>
          <w:p>
            <w:pPr>
              <w:spacing w:after="0"/>
              <w:rPr>
                <w:sz w:val="1"/>
                <w:szCs w:val="1"/>
                <w:color w:val="auto"/>
              </w:rPr>
            </w:pPr>
          </w:p>
        </w:tc>
      </w:tr>
      <w:tr>
        <w:trPr>
          <w:trHeight w:val="27"/>
        </w:trPr>
        <w:tc>
          <w:tcPr>
            <w:tcW w:w="4720" w:type="dxa"/>
            <w:vAlign w:val="bottom"/>
            <w:gridSpan w:val="2"/>
            <w:vMerge w:val="restart"/>
          </w:tcPr>
          <w:p>
            <w:pPr>
              <w:ind w:left="140"/>
              <w:spacing w:after="0"/>
              <w:rPr>
                <w:sz w:val="20"/>
                <w:szCs w:val="20"/>
                <w:color w:val="auto"/>
              </w:rPr>
            </w:pPr>
            <w:r>
              <w:rPr>
                <w:rFonts w:ascii="Arial" w:cs="Arial" w:eastAsia="Arial" w:hAnsi="Arial"/>
                <w:sz w:val="13"/>
                <w:szCs w:val="13"/>
                <w:color w:val="auto"/>
              </w:rPr>
              <w:t>Share-based compensation expense</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4,578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4,578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720" w:type="dxa"/>
            <w:vAlign w:val="bottom"/>
            <w:gridSpan w:val="2"/>
          </w:tcPr>
          <w:p>
            <w:pPr>
              <w:ind w:left="20"/>
              <w:spacing w:after="0"/>
              <w:rPr>
                <w:sz w:val="20"/>
                <w:szCs w:val="20"/>
                <w:color w:val="auto"/>
              </w:rPr>
            </w:pPr>
            <w:r>
              <w:rPr>
                <w:rFonts w:ascii="Arial" w:cs="Arial" w:eastAsia="Arial" w:hAnsi="Arial"/>
                <w:sz w:val="13"/>
                <w:szCs w:val="13"/>
                <w:color w:val="auto"/>
              </w:rPr>
              <w:t>Adjusted OIBDA</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162,723</w:t>
            </w:r>
          </w:p>
        </w:tc>
        <w:tc>
          <w:tcPr>
            <w:tcW w:w="120" w:type="dxa"/>
            <w:vAlign w:val="bottom"/>
          </w:tcPr>
          <w:p>
            <w:pPr>
              <w:spacing w:after="0"/>
              <w:rPr>
                <w:sz w:val="14"/>
                <w:szCs w:val="14"/>
                <w:color w:val="auto"/>
              </w:rPr>
            </w:pP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35,749</w:t>
            </w:r>
          </w:p>
        </w:tc>
        <w:tc>
          <w:tcPr>
            <w:tcW w:w="120" w:type="dxa"/>
            <w:vAlign w:val="bottom"/>
          </w:tcPr>
          <w:p>
            <w:pPr>
              <w:spacing w:after="0"/>
              <w:rPr>
                <w:sz w:val="14"/>
                <w:szCs w:val="14"/>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5"/>
              <w:spacing w:after="0"/>
              <w:rPr>
                <w:sz w:val="20"/>
                <w:szCs w:val="20"/>
                <w:color w:val="auto"/>
              </w:rPr>
            </w:pPr>
            <w:r>
              <w:rPr>
                <w:rFonts w:ascii="Arial" w:cs="Arial" w:eastAsia="Arial" w:hAnsi="Arial"/>
                <w:sz w:val="13"/>
                <w:szCs w:val="13"/>
                <w:color w:val="auto"/>
              </w:rPr>
              <w:t>24,756</w:t>
            </w:r>
          </w:p>
        </w:tc>
        <w:tc>
          <w:tcPr>
            <w:tcW w:w="120" w:type="dxa"/>
            <w:vAlign w:val="bottom"/>
          </w:tcPr>
          <w:p>
            <w:pPr>
              <w:spacing w:after="0"/>
              <w:rPr>
                <w:sz w:val="14"/>
                <w:szCs w:val="1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(27,766)</w:t>
            </w:r>
          </w:p>
        </w:tc>
        <w:tc>
          <w:tcPr>
            <w:tcW w:w="100" w:type="dxa"/>
            <w:vAlign w:val="bottom"/>
          </w:tcPr>
          <w:p>
            <w:pPr>
              <w:spacing w:after="0"/>
              <w:rPr>
                <w:sz w:val="14"/>
                <w:szCs w:val="14"/>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195,462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Additionally, we realized cash savings of $28.2 million during the period from the waiver of Sprint's Management Fee, as discussed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129" w:right="21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Sources and Uses of Cash</w:t>
      </w:r>
      <w:r>
        <w:rPr>
          <w:rFonts w:ascii="Arial" w:cs="Arial" w:eastAsia="Arial" w:hAnsi="Arial"/>
          <w:sz w:val="14"/>
          <w:szCs w:val="14"/>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Our principal sources of liquidity are our cash and cash equivalents, cash generated from operations, and proceeds available under our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As of September 30, 2019 our cash and cash equivalents totaled $97.4 million and the availability under our revolving line of credit was $75.0 million, for total available liquidity of $172.4 million.</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The Company generated approximately $193.5 million of net cash from operations in the first nine months of 2019, representing an increase of $4.7 million or 2.5%, compared with the first nine months of 2018, primarily driven by:</w:t>
      </w:r>
    </w:p>
    <w:p>
      <w:pPr>
        <w:ind w:left="540" w:hanging="254"/>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$9.7 million increase in net income, and was partially offset by</w:t>
      </w:r>
    </w:p>
    <w:p>
      <w:pPr>
        <w:spacing w:after="0" w:line="11" w:lineRule="exact"/>
        <w:rPr>
          <w:rFonts w:ascii="Arial" w:cs="Arial" w:eastAsia="Arial" w:hAnsi="Arial"/>
          <w:sz w:val="14"/>
          <w:szCs w:val="14"/>
          <w:color w:val="auto"/>
        </w:rPr>
      </w:pPr>
    </w:p>
    <w:p>
      <w:pPr>
        <w:ind w:left="540" w:hanging="254"/>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$4.8 million as the result of a change in working capital.</w:t>
      </w:r>
    </w:p>
    <w:p>
      <w:pPr>
        <w:spacing w:after="0" w:line="174"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Net cash used in investing activities decreased $10.1 million, or 7.1%, for the nine months ended September 30, 2019. Cash used in investing activities for the nine months ended September 30, 2019, was primarily for:</w:t>
      </w:r>
    </w:p>
    <w:p>
      <w:pPr>
        <w:ind w:left="540" w:right="200" w:hanging="254"/>
        <w:spacing w:after="0" w:line="257"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$14.7 million increase in capital expenditures primarily driven by $6.0 million of capacity upgrades and network expansion across our Wireless network and a $8.7 million increase in our Cable segment to support the launch of our FTTH initiative;</w:t>
      </w:r>
    </w:p>
    <w:p>
      <w:pPr>
        <w:ind w:left="540" w:hanging="254"/>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$16.7 million for the purchase of FCC spectrum licenses; and</w:t>
      </w:r>
    </w:p>
    <w:p>
      <w:pPr>
        <w:spacing w:after="0" w:line="11" w:lineRule="exact"/>
        <w:rPr>
          <w:rFonts w:ascii="Arial" w:cs="Arial" w:eastAsia="Arial" w:hAnsi="Arial"/>
          <w:sz w:val="14"/>
          <w:szCs w:val="14"/>
          <w:color w:val="auto"/>
        </w:rPr>
      </w:pPr>
    </w:p>
    <w:p>
      <w:pPr>
        <w:ind w:left="540" w:hanging="254"/>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2018, we acquired the Sprint Territory Expansion Area for $52.0 million and in 2019 we acquired Big Sandy for $10.0 million which was integrated into our Cable segment.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We expect our investments in our networks and infrastructure to expand in support of our continued growth.</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financing activities decreased $0.9 million, or 1.9%, for the nine months ended September 30, 2019 due to an increase in taxes paid for equity award issuances.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 xml:space="preserve">Borrowing Capacity. </w:t>
      </w:r>
      <w:r>
        <w:rPr>
          <w:rFonts w:ascii="Arial" w:cs="Arial" w:eastAsia="Arial" w:hAnsi="Arial"/>
          <w:sz w:val="14"/>
          <w:szCs w:val="14"/>
          <w:color w:val="auto"/>
        </w:rPr>
        <w:t>As of September 30, 2019, the Company’s outstanding debt, under the Credit Facility, totaled $740.6 million, with an estimated annualized effective interest rate of 3.63% after</w:t>
      </w:r>
      <w:r>
        <w:rPr>
          <w:rFonts w:ascii="Arial" w:cs="Arial" w:eastAsia="Arial" w:hAnsi="Arial"/>
          <w:sz w:val="14"/>
          <w:szCs w:val="14"/>
          <w:i w:val="1"/>
          <w:iCs w:val="1"/>
          <w:color w:val="auto"/>
        </w:rPr>
        <w:t xml:space="preserve"> </w:t>
      </w:r>
      <w:r>
        <w:rPr>
          <w:rFonts w:ascii="Arial" w:cs="Arial" w:eastAsia="Arial" w:hAnsi="Arial"/>
          <w:sz w:val="14"/>
          <w:szCs w:val="14"/>
          <w:color w:val="auto"/>
        </w:rPr>
        <w:t>considering the impact of the interest rate swap contracts and unamortized loan costs.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2019, the Company was in compliance with the financial covenants in its Credit Facility agreement.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on our long-term debt, meet our other cash requirements and maintain compliance with the terms of our financing agreements for at least the next twelve months. There can be no assurance that we will continue to generate cash flows at or above current levels or that we will be able to maintain our ability to borrow under our credit facilities. Thereafter, capital expenditures will likely be required to continue 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new market developments and expansion opportunities.</w:t>
      </w:r>
    </w:p>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our cable markets, is also critical to our ability to maintain a positive cash flow from operations. The foregoing events individually or collectively could affect our results.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60"/>
          </w:cols>
          <w:pgMar w:left="220" w:top="129" w:right="21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83"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Critical accounting policies are those policies that affect our more significant judgments and estimates used in the preparation of our unaudited condensed consolidated financial statements. For a more detailed discussion of our critical accounting policies, please refer to our 2018 Form 10-K.</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88"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Company’s market risks relate primarily to changes in interest rates. The Company’s interest rate risk generally involves two components. The first component is outstanding debt with variable rates. As of September 30, 2019, the Company had $740.6 million of gross variable rate debt outstanding, bearing interest at a weighted average rate of 3.63%. An increase in market interest rates of 1.00% would add approximately $7.3 million to annual interest expense, excluding the effect of the interest rate swap. The swaps cover notional principal equal to $292.6 million, or approximately 39.5% as of September 30, 2019. The Company is required to pay a combined fixed rate of approximately 1.16% and receive a variable rate based on one month LIBOR (2.11% for September 2019), to manage a portion of its interest rate risk. Changes in the net interest paid or received under the swaps would offset approximately 60.5% of the change in interest expense on the variable rate debt outstanding. The swap agreements currently reduce annual interest expense by approximately $1.4 million, based on the spread between the fixed rate and the variable rate currently in effect on our debt.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60"/>
          </w:cols>
          <w:pgMar w:left="220" w:top="129" w:right="21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Management, with the participation of our President and Chief Executive Officer, who is the Principal Executive Officer, and the Senior Vice President - Finance and Chief Financial Officer, who is the Principal Financial Officer, and the Vice President and Chief Accounting Officer, who is the Principal Accounting Officer, conducted an evaluation of our disclosure controls and procedures, (as defined by Rule 13a-15(e) under the Securities Exchange Act of 1934), as of the end of the period covered by this Quarterly report on Form 10-Q.</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disclosed in our Annual Report on Form 10-K for our fiscal year ended December 31, 2018,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and our Senior Vice President - Finance and Chief Financial Officer, and our Vice President - Chief Accounting Officer, have concluded that our disclosure controls and procedures continued to be ineffective as of September 30, 2019.</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2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There have been no changes in the Company’s internal control over financial reporting (as defined in Rules 13a-15(f) and 15d-15(f) of the Exchange Act) as of September 30, 2019, that have materially affected or are reasonably likely to materially affect, the Company’s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Remediation Efforts</w:t>
      </w:r>
    </w:p>
    <w:p>
      <w:pPr>
        <w:spacing w:after="0" w:line="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Management is continuing to implement the material weakness remediation plans as disclosed in our Annual Report on Form 10-K for our fiscal year ended December 31, 2018. We believe that these actions and the improvements we expect to achieve will effectively remediate the material weaknesses. However, these material weaknesses will not be considered remediated until the enhanced controls operate for a sufficient period of time and management has concluded that these controls are operating effectively.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129" w:right="21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PART II.</w:t>
        <w:tab/>
        <w:t>OTHER INFORMATION</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discuss in our Annual Report on Form 10-K various risks that may materially affect our business. We use this section to update this discussion to reflect material developments since our Form 10-K was filed. As of September 30, 2019, the Company has not identified any updates to the risk factors included in our most recent Form 10-K.</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Unregistered Sales of Equity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Proceeds from Registered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Purchases of Equity Securities by the Issuer or Affiliated Purchasers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repurchases of shares during the months of July, August and September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60"/>
          </w:cols>
          <w:pgMar w:left="220" w:top="129" w:right="21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88" w:lineRule="exact"/>
        <w:rPr>
          <w:sz w:val="20"/>
          <w:szCs w:val="20"/>
          <w:color w:val="auto"/>
        </w:rPr>
      </w:pPr>
    </w:p>
    <w:p>
      <w:pPr>
        <w:ind w:left="520" w:hanging="514"/>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following exhibits are filed with this Quarterly Report on Form 10-Q:</w:t>
      </w:r>
    </w:p>
    <w:p>
      <w:pPr>
        <w:spacing w:after="0" w:line="141" w:lineRule="exact"/>
        <w:rPr>
          <w:sz w:val="20"/>
          <w:szCs w:val="20"/>
          <w:color w:val="auto"/>
        </w:rPr>
      </w:pPr>
    </w:p>
    <w:p>
      <w:pPr>
        <w:ind w:left="380"/>
        <w:spacing w:after="0"/>
        <w:tabs>
          <w:tab w:leader="none" w:pos="9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2"/>
          <w:szCs w:val="12"/>
          <w:color w:val="auto"/>
        </w:rPr>
        <w:t>Amended and Restated Bylaws of Shenandoah Telecommunications Company, as amended effective April 16, 2019</w:t>
      </w:r>
    </w:p>
    <w:p>
      <w:pPr>
        <w:spacing w:after="0" w:line="335" w:lineRule="exact"/>
        <w:rPr>
          <w:sz w:val="20"/>
          <w:szCs w:val="20"/>
          <w:color w:val="auto"/>
        </w:rPr>
      </w:pPr>
    </w:p>
    <w:p>
      <w:pPr>
        <w:ind w:left="380"/>
        <w:spacing w:after="0"/>
        <w:tabs>
          <w:tab w:leader="none" w:pos="9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Amended and Restated Articles of Incorporation, as amended effective August 31, 2019</w:t>
      </w:r>
    </w:p>
    <w:p>
      <w:pPr>
        <w:spacing w:after="0" w:line="335" w:lineRule="exact"/>
        <w:rPr>
          <w:sz w:val="20"/>
          <w:szCs w:val="20"/>
          <w:color w:val="auto"/>
        </w:rPr>
      </w:pPr>
    </w:p>
    <w:p>
      <w:pPr>
        <w:ind w:left="380"/>
        <w:spacing w:after="0"/>
        <w:tabs>
          <w:tab w:leader="none" w:pos="9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2"/>
          <w:szCs w:val="12"/>
          <w:color w:val="auto"/>
        </w:rPr>
        <w:t>Amended and Restated Bylaws of Shenandoah Telecommunications Company, as amended effective October 29, 2019</w:t>
      </w:r>
    </w:p>
    <w:p>
      <w:pPr>
        <w:spacing w:after="0" w:line="335"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3"/>
          <w:szCs w:val="13"/>
          <w:color w:val="auto"/>
        </w:rPr>
        <w:t>Certification of Chief Executive Officer pursuant to Rule 13a-14(a) under the Securities Exchange Act of 1934.</w:t>
      </w:r>
    </w:p>
    <w:p>
      <w:pPr>
        <w:spacing w:after="0" w:line="270"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3"/>
          <w:szCs w:val="13"/>
          <w:color w:val="auto"/>
        </w:rPr>
        <w:t>Certification of Principal Financial Officer pursuant to Rule 13a-14(a) under the Securities Exchange Act of 1934.</w:t>
      </w:r>
    </w:p>
    <w:p>
      <w:pPr>
        <w:spacing w:after="0" w:line="270"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4"/>
          <w:szCs w:val="14"/>
          <w:color w:val="auto"/>
        </w:rPr>
        <w:t>31.3*</w:t>
      </w:r>
      <w:r>
        <w:rPr>
          <w:sz w:val="20"/>
          <w:szCs w:val="20"/>
          <w:color w:val="auto"/>
        </w:rPr>
        <w:tab/>
      </w:r>
      <w:r>
        <w:rPr>
          <w:rFonts w:ascii="Arial" w:cs="Arial" w:eastAsia="Arial" w:hAnsi="Arial"/>
          <w:sz w:val="13"/>
          <w:szCs w:val="13"/>
          <w:color w:val="auto"/>
        </w:rPr>
        <w:t>Certification of Principal Accounting Officer pursuant to Rule 13a-14(a) under the Securities Exchange Act of 1934.</w:t>
      </w:r>
    </w:p>
    <w:p>
      <w:pPr>
        <w:spacing w:after="0" w:line="31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Certifications pursuant to Rule 13a-14(b) under the Securities Exchange Act of 1934 and 18 U.S.C. § 1350.</w:t>
      </w:r>
    </w:p>
    <w:p>
      <w:pPr>
        <w:spacing w:after="0" w:line="313" w:lineRule="exact"/>
        <w:rPr>
          <w:sz w:val="20"/>
          <w:szCs w:val="20"/>
          <w:color w:val="auto"/>
        </w:rPr>
      </w:pPr>
    </w:p>
    <w:p>
      <w:pPr>
        <w:ind w:left="940" w:hanging="631"/>
        <w:spacing w:after="0"/>
        <w:tabs>
          <w:tab w:leader="none" w:pos="9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Formatted in XBRL (Extensible Business Reporting Language)</w:t>
      </w:r>
    </w:p>
    <w:p>
      <w:pPr>
        <w:spacing w:after="0" w:line="270" w:lineRule="exact"/>
        <w:rPr>
          <w:sz w:val="20"/>
          <w:szCs w:val="20"/>
          <w:color w:val="auto"/>
        </w:rPr>
      </w:pPr>
    </w:p>
    <w:tbl>
      <w:tblPr>
        <w:tblLayout w:type="fixed"/>
        <w:tblInd w:w="940" w:type="dxa"/>
        <w:tblCellMar>
          <w:top w:w="0" w:type="dxa"/>
          <w:left w:w="0" w:type="dxa"/>
          <w:bottom w:w="0" w:type="dxa"/>
          <w:right w:w="0" w:type="dxa"/>
        </w:tblCellMar>
      </w:tblPr>
      <w:tr>
        <w:trPr>
          <w:trHeight w:val="172"/>
        </w:trPr>
        <w:tc>
          <w:tcPr>
            <w:tcW w:w="960" w:type="dxa"/>
            <w:vAlign w:val="bottom"/>
          </w:tcPr>
          <w:p>
            <w:pPr>
              <w:spacing w:after="0"/>
              <w:rPr>
                <w:sz w:val="20"/>
                <w:szCs w:val="20"/>
                <w:color w:val="auto"/>
              </w:rPr>
            </w:pPr>
            <w:r>
              <w:rPr>
                <w:rFonts w:ascii="Arial" w:cs="Arial" w:eastAsia="Arial" w:hAnsi="Arial"/>
                <w:sz w:val="14"/>
                <w:szCs w:val="14"/>
                <w:color w:val="auto"/>
              </w:rPr>
              <w:t>101.INS</w:t>
            </w:r>
          </w:p>
        </w:tc>
        <w:tc>
          <w:tcPr>
            <w:tcW w:w="9380" w:type="dxa"/>
            <w:vAlign w:val="bottom"/>
          </w:tcPr>
          <w:p>
            <w:pPr>
              <w:ind w:left="420"/>
              <w:spacing w:after="0"/>
              <w:rPr>
                <w:sz w:val="20"/>
                <w:szCs w:val="20"/>
                <w:color w:val="auto"/>
              </w:rPr>
            </w:pPr>
            <w:r>
              <w:rPr>
                <w:rFonts w:ascii="Arial" w:cs="Arial" w:eastAsia="Arial" w:hAnsi="Arial"/>
                <w:sz w:val="14"/>
                <w:szCs w:val="14"/>
                <w:color w:val="auto"/>
                <w:w w:val="93"/>
              </w:rPr>
              <w:t>XBRL Instance Document - the instance document does not appear in the interactive data file because its XBRL tags are embedded within the Inline XBRL</w:t>
            </w:r>
          </w:p>
        </w:tc>
      </w:tr>
      <w:tr>
        <w:trPr>
          <w:trHeight w:val="182"/>
        </w:trPr>
        <w:tc>
          <w:tcPr>
            <w:tcW w:w="960" w:type="dxa"/>
            <w:vAlign w:val="bottom"/>
          </w:tcPr>
          <w:p>
            <w:pPr>
              <w:spacing w:after="0"/>
              <w:rPr>
                <w:sz w:val="15"/>
                <w:szCs w:val="15"/>
                <w:color w:val="auto"/>
              </w:rPr>
            </w:pPr>
          </w:p>
        </w:tc>
        <w:tc>
          <w:tcPr>
            <w:tcW w:w="9380" w:type="dxa"/>
            <w:vAlign w:val="bottom"/>
          </w:tcPr>
          <w:p>
            <w:pPr>
              <w:ind w:left="420"/>
              <w:spacing w:after="0"/>
              <w:rPr>
                <w:sz w:val="20"/>
                <w:szCs w:val="20"/>
                <w:color w:val="auto"/>
              </w:rPr>
            </w:pPr>
            <w:r>
              <w:rPr>
                <w:rFonts w:ascii="Arial" w:cs="Arial" w:eastAsia="Arial" w:hAnsi="Arial"/>
                <w:sz w:val="14"/>
                <w:szCs w:val="14"/>
                <w:color w:val="auto"/>
              </w:rPr>
              <w:t>document</w:t>
            </w:r>
          </w:p>
        </w:tc>
      </w:tr>
      <w:tr>
        <w:trPr>
          <w:trHeight w:val="431"/>
        </w:trPr>
        <w:tc>
          <w:tcPr>
            <w:tcW w:w="960" w:type="dxa"/>
            <w:vAlign w:val="bottom"/>
          </w:tcPr>
          <w:p>
            <w:pPr>
              <w:spacing w:after="0"/>
              <w:rPr>
                <w:sz w:val="20"/>
                <w:szCs w:val="20"/>
                <w:color w:val="auto"/>
              </w:rPr>
            </w:pPr>
            <w:r>
              <w:rPr>
                <w:rFonts w:ascii="Arial" w:cs="Arial" w:eastAsia="Arial" w:hAnsi="Arial"/>
                <w:sz w:val="14"/>
                <w:szCs w:val="14"/>
                <w:color w:val="auto"/>
              </w:rPr>
              <w:t>101.SCH</w:t>
            </w:r>
          </w:p>
        </w:tc>
        <w:tc>
          <w:tcPr>
            <w:tcW w:w="9380" w:type="dxa"/>
            <w:vAlign w:val="bottom"/>
          </w:tcPr>
          <w:p>
            <w:pPr>
              <w:ind w:left="420"/>
              <w:spacing w:after="0"/>
              <w:rPr>
                <w:sz w:val="20"/>
                <w:szCs w:val="20"/>
                <w:color w:val="auto"/>
              </w:rPr>
            </w:pPr>
            <w:r>
              <w:rPr>
                <w:rFonts w:ascii="Arial" w:cs="Arial" w:eastAsia="Arial" w:hAnsi="Arial"/>
                <w:sz w:val="14"/>
                <w:szCs w:val="14"/>
                <w:color w:val="auto"/>
              </w:rPr>
              <w:t>XBRL Taxonomy Extension Schema Document</w:t>
            </w:r>
          </w:p>
        </w:tc>
      </w:tr>
      <w:tr>
        <w:trPr>
          <w:trHeight w:val="431"/>
        </w:trPr>
        <w:tc>
          <w:tcPr>
            <w:tcW w:w="960" w:type="dxa"/>
            <w:vAlign w:val="bottom"/>
          </w:tcPr>
          <w:p>
            <w:pPr>
              <w:spacing w:after="0"/>
              <w:rPr>
                <w:sz w:val="20"/>
                <w:szCs w:val="20"/>
                <w:color w:val="auto"/>
              </w:rPr>
            </w:pPr>
            <w:r>
              <w:rPr>
                <w:rFonts w:ascii="Arial" w:cs="Arial" w:eastAsia="Arial" w:hAnsi="Arial"/>
                <w:sz w:val="14"/>
                <w:szCs w:val="14"/>
                <w:color w:val="auto"/>
              </w:rPr>
              <w:t>101.CAL</w:t>
            </w:r>
          </w:p>
        </w:tc>
        <w:tc>
          <w:tcPr>
            <w:tcW w:w="9380" w:type="dxa"/>
            <w:vAlign w:val="bottom"/>
          </w:tcPr>
          <w:p>
            <w:pPr>
              <w:ind w:left="4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431"/>
        </w:trPr>
        <w:tc>
          <w:tcPr>
            <w:tcW w:w="960" w:type="dxa"/>
            <w:vAlign w:val="bottom"/>
          </w:tcPr>
          <w:p>
            <w:pPr>
              <w:spacing w:after="0"/>
              <w:rPr>
                <w:sz w:val="20"/>
                <w:szCs w:val="20"/>
                <w:color w:val="auto"/>
              </w:rPr>
            </w:pPr>
            <w:r>
              <w:rPr>
                <w:rFonts w:ascii="Arial" w:cs="Arial" w:eastAsia="Arial" w:hAnsi="Arial"/>
                <w:sz w:val="14"/>
                <w:szCs w:val="14"/>
                <w:color w:val="auto"/>
              </w:rPr>
              <w:t>101.DEF</w:t>
            </w:r>
          </w:p>
        </w:tc>
        <w:tc>
          <w:tcPr>
            <w:tcW w:w="9380" w:type="dxa"/>
            <w:vAlign w:val="bottom"/>
          </w:tcPr>
          <w:p>
            <w:pPr>
              <w:ind w:left="420"/>
              <w:spacing w:after="0"/>
              <w:rPr>
                <w:sz w:val="20"/>
                <w:szCs w:val="20"/>
                <w:color w:val="auto"/>
              </w:rPr>
            </w:pPr>
            <w:r>
              <w:rPr>
                <w:rFonts w:ascii="Arial" w:cs="Arial" w:eastAsia="Arial" w:hAnsi="Arial"/>
                <w:sz w:val="14"/>
                <w:szCs w:val="14"/>
                <w:color w:val="auto"/>
              </w:rPr>
              <w:t>XBRL Taxonomy Extension Definition Linkbase Document</w:t>
            </w:r>
          </w:p>
        </w:tc>
      </w:tr>
      <w:tr>
        <w:trPr>
          <w:trHeight w:val="431"/>
        </w:trPr>
        <w:tc>
          <w:tcPr>
            <w:tcW w:w="960" w:type="dxa"/>
            <w:vAlign w:val="bottom"/>
          </w:tcPr>
          <w:p>
            <w:pPr>
              <w:spacing w:after="0"/>
              <w:rPr>
                <w:sz w:val="20"/>
                <w:szCs w:val="20"/>
                <w:color w:val="auto"/>
              </w:rPr>
            </w:pPr>
            <w:r>
              <w:rPr>
                <w:rFonts w:ascii="Arial" w:cs="Arial" w:eastAsia="Arial" w:hAnsi="Arial"/>
                <w:sz w:val="14"/>
                <w:szCs w:val="14"/>
                <w:color w:val="auto"/>
              </w:rPr>
              <w:t>101.LAB</w:t>
            </w:r>
          </w:p>
        </w:tc>
        <w:tc>
          <w:tcPr>
            <w:tcW w:w="9380" w:type="dxa"/>
            <w:vAlign w:val="bottom"/>
          </w:tcPr>
          <w:p>
            <w:pPr>
              <w:ind w:left="420"/>
              <w:spacing w:after="0"/>
              <w:rPr>
                <w:sz w:val="20"/>
                <w:szCs w:val="20"/>
                <w:color w:val="auto"/>
              </w:rPr>
            </w:pPr>
            <w:r>
              <w:rPr>
                <w:rFonts w:ascii="Arial" w:cs="Arial" w:eastAsia="Arial" w:hAnsi="Arial"/>
                <w:sz w:val="14"/>
                <w:szCs w:val="14"/>
                <w:color w:val="auto"/>
              </w:rPr>
              <w:t>XBRL Taxonomy Extension Label Linkbase Document</w:t>
            </w:r>
          </w:p>
        </w:tc>
      </w:tr>
      <w:tr>
        <w:trPr>
          <w:trHeight w:val="431"/>
        </w:trPr>
        <w:tc>
          <w:tcPr>
            <w:tcW w:w="960" w:type="dxa"/>
            <w:vAlign w:val="bottom"/>
          </w:tcPr>
          <w:p>
            <w:pPr>
              <w:spacing w:after="0"/>
              <w:rPr>
                <w:sz w:val="20"/>
                <w:szCs w:val="20"/>
                <w:color w:val="auto"/>
              </w:rPr>
            </w:pPr>
            <w:r>
              <w:rPr>
                <w:rFonts w:ascii="Arial" w:cs="Arial" w:eastAsia="Arial" w:hAnsi="Arial"/>
                <w:sz w:val="14"/>
                <w:szCs w:val="14"/>
                <w:color w:val="auto"/>
              </w:rPr>
              <w:t>101.PRE</w:t>
            </w:r>
          </w:p>
        </w:tc>
        <w:tc>
          <w:tcPr>
            <w:tcW w:w="9380" w:type="dxa"/>
            <w:vAlign w:val="bottom"/>
          </w:tcPr>
          <w:p>
            <w:pPr>
              <w:ind w:left="420"/>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12"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pacing w:after="0" w:line="21" w:lineRule="exact"/>
        <w:rPr>
          <w:sz w:val="20"/>
          <w:szCs w:val="20"/>
          <w:color w:val="auto"/>
        </w:rPr>
      </w:pPr>
    </w:p>
    <w:p>
      <w:pPr>
        <w:ind w:left="520" w:hanging="514"/>
        <w:spacing w:after="0" w:line="274"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360"/>
          </w:cols>
          <w:pgMar w:left="220" w:top="129"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1180" w:type="dxa"/>
            <w:vAlign w:val="bottom"/>
            <w:gridSpan w:val="6"/>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
        </w:trPr>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78"/>
        </w:trPr>
        <w:tc>
          <w:tcPr>
            <w:tcW w:w="1180" w:type="dxa"/>
            <w:vAlign w:val="bottom"/>
            <w:gridSpan w:val="6"/>
          </w:tcPr>
          <w:p>
            <w:pPr>
              <w:spacing w:after="0"/>
              <w:rPr>
                <w:sz w:val="20"/>
                <w:szCs w:val="20"/>
                <w:color w:val="auto"/>
              </w:rPr>
            </w:pPr>
            <w:r>
              <w:rPr>
                <w:rFonts w:ascii="Arial" w:cs="Arial" w:eastAsia="Arial" w:hAnsi="Arial"/>
                <w:sz w:val="14"/>
                <w:szCs w:val="14"/>
                <w:color w:val="auto"/>
              </w:rPr>
              <w:t>EXHIBIT INDEX</w:t>
            </w:r>
          </w:p>
        </w:tc>
        <w:tc>
          <w:tcPr>
            <w:tcW w:w="4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3"/>
        </w:trPr>
        <w:tc>
          <w:tcPr>
            <w:tcW w:w="320" w:type="dxa"/>
            <w:vAlign w:val="bottom"/>
          </w:tcPr>
          <w:p>
            <w:pPr>
              <w:spacing w:after="0"/>
              <w:rPr>
                <w:sz w:val="24"/>
                <w:szCs w:val="24"/>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Exhibit No.</w:t>
            </w:r>
          </w:p>
        </w:tc>
        <w:tc>
          <w:tcPr>
            <w:tcW w:w="496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76"/>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0000FF"/>
            </w:tcBorders>
            <w:gridSpan w:val="2"/>
          </w:tcPr>
          <w:p>
            <w:pPr>
              <w:jc w:val="center"/>
              <w:spacing w:after="0"/>
              <w:rPr>
                <w:rFonts w:ascii="Arial" w:cs="Arial" w:eastAsia="Arial" w:hAnsi="Arial"/>
                <w:sz w:val="14"/>
                <w:szCs w:val="14"/>
                <w:color w:val="0000FF"/>
                <w:w w:val="92"/>
              </w:rPr>
            </w:pPr>
            <w:hyperlink r:id="rId16">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hyperlink>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40" w:type="dxa"/>
            <w:vAlign w:val="bottom"/>
            <w:gridSpan w:val="3"/>
          </w:tcPr>
          <w:p>
            <w:pPr>
              <w:ind w:left="100"/>
              <w:spacing w:after="0"/>
              <w:rPr>
                <w:sz w:val="20"/>
                <w:szCs w:val="20"/>
                <w:color w:val="auto"/>
              </w:rPr>
            </w:pPr>
            <w:r>
              <w:rPr>
                <w:rFonts w:ascii="Arial" w:cs="Arial" w:eastAsia="Arial" w:hAnsi="Arial"/>
                <w:sz w:val="14"/>
                <w:szCs w:val="14"/>
                <w:color w:val="auto"/>
                <w:w w:val="94"/>
              </w:rPr>
              <w:t>Amended and Restated Bylaws of Shenandoah Telecommunications Company, as amended effective April 16, 2019</w:t>
            </w:r>
          </w:p>
        </w:tc>
      </w:tr>
      <w:tr>
        <w:trPr>
          <w:trHeight w:val="476"/>
        </w:trPr>
        <w:tc>
          <w:tcPr>
            <w:tcW w:w="5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center"/>
              <w:spacing w:after="0"/>
              <w:rPr>
                <w:rFonts w:ascii="Arial" w:cs="Arial" w:eastAsia="Arial" w:hAnsi="Arial"/>
                <w:sz w:val="14"/>
                <w:szCs w:val="14"/>
                <w:color w:val="0000FF"/>
                <w:w w:val="92"/>
              </w:rPr>
            </w:pPr>
            <w:hyperlink w:anchor="page41">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hyperlink>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40" w:type="dxa"/>
            <w:vAlign w:val="bottom"/>
            <w:gridSpan w:val="3"/>
          </w:tcPr>
          <w:p>
            <w:pPr>
              <w:ind w:left="100"/>
              <w:spacing w:after="0"/>
              <w:rPr>
                <w:sz w:val="20"/>
                <w:szCs w:val="20"/>
                <w:color w:val="auto"/>
              </w:rPr>
            </w:pPr>
            <w:r>
              <w:rPr>
                <w:rFonts w:ascii="Arial" w:cs="Arial" w:eastAsia="Arial" w:hAnsi="Arial"/>
                <w:sz w:val="14"/>
                <w:szCs w:val="14"/>
                <w:color w:val="auto"/>
              </w:rPr>
              <w:t>Amended and Restated Articles of Incorporation, as amended effective August 31, 2019</w:t>
            </w:r>
          </w:p>
        </w:tc>
      </w:tr>
      <w:tr>
        <w:trPr>
          <w:trHeight w:val="476"/>
        </w:trPr>
        <w:tc>
          <w:tcPr>
            <w:tcW w:w="5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center"/>
              <w:spacing w:after="0"/>
              <w:rPr>
                <w:rFonts w:ascii="Arial" w:cs="Arial" w:eastAsia="Arial" w:hAnsi="Arial"/>
                <w:sz w:val="14"/>
                <w:szCs w:val="14"/>
                <w:color w:val="0000FF"/>
                <w:w w:val="92"/>
              </w:rPr>
            </w:pPr>
            <w:hyperlink r:id="rId17">
              <w:r>
                <w:rPr>
                  <w:rFonts w:ascii="Arial" w:cs="Arial" w:eastAsia="Arial" w:hAnsi="Arial"/>
                  <w:sz w:val="14"/>
                  <w:szCs w:val="14"/>
                  <w:color w:val="0000FF"/>
                  <w:w w:val="92"/>
                </w:rPr>
                <w:t>3.</w:t>
              </w:r>
              <w:r>
                <w:rPr>
                  <w:rFonts w:ascii="Arial" w:cs="Arial" w:eastAsia="Arial" w:hAnsi="Arial"/>
                  <w:sz w:val="14"/>
                  <w:szCs w:val="14"/>
                  <w:u w:val="single" w:color="auto"/>
                  <w:color w:val="0000FF"/>
                  <w:w w:val="92"/>
                </w:rPr>
                <w:t>3</w:t>
              </w:r>
            </w:hyperlink>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40" w:type="dxa"/>
            <w:vAlign w:val="bottom"/>
            <w:gridSpan w:val="3"/>
          </w:tcPr>
          <w:p>
            <w:pPr>
              <w:ind w:left="100"/>
              <w:spacing w:after="0"/>
              <w:rPr>
                <w:sz w:val="20"/>
                <w:szCs w:val="20"/>
                <w:color w:val="auto"/>
              </w:rPr>
            </w:pPr>
            <w:r>
              <w:rPr>
                <w:rFonts w:ascii="Arial" w:cs="Arial" w:eastAsia="Arial" w:hAnsi="Arial"/>
                <w:sz w:val="14"/>
                <w:szCs w:val="14"/>
                <w:color w:val="auto"/>
                <w:w w:val="91"/>
              </w:rPr>
              <w:t>Amended and Restated Bylaws of Shenandoah Telecommunications Company, as amended effective October 29, 2019</w:t>
            </w:r>
          </w:p>
        </w:tc>
      </w:tr>
      <w:tr>
        <w:trPr>
          <w:trHeight w:val="476"/>
        </w:trPr>
        <w:tc>
          <w:tcPr>
            <w:tcW w:w="980" w:type="dxa"/>
            <w:vAlign w:val="bottom"/>
            <w:gridSpan w:val="5"/>
          </w:tcPr>
          <w:p>
            <w:pPr>
              <w:jc w:val="center"/>
              <w:ind w:left="228"/>
              <w:spacing w:after="0"/>
              <w:rPr>
                <w:rFonts w:ascii="Arial" w:cs="Arial" w:eastAsia="Arial" w:hAnsi="Arial"/>
                <w:sz w:val="14"/>
                <w:szCs w:val="14"/>
                <w:color w:val="0000FF"/>
                <w:w w:val="97"/>
              </w:rPr>
            </w:pPr>
            <w:hyperlink w:anchor="page48">
              <w:r>
                <w:rPr>
                  <w:rFonts w:ascii="Arial" w:cs="Arial" w:eastAsia="Arial" w:hAnsi="Arial"/>
                  <w:sz w:val="14"/>
                  <w:szCs w:val="14"/>
                  <w:color w:val="0000FF"/>
                  <w:w w:val="97"/>
                </w:rPr>
                <w:t>31.</w:t>
              </w:r>
              <w:r>
                <w:rPr>
                  <w:rFonts w:ascii="Arial" w:cs="Arial" w:eastAsia="Arial" w:hAnsi="Arial"/>
                  <w:sz w:val="14"/>
                  <w:szCs w:val="14"/>
                  <w:u w:val="single" w:color="auto"/>
                  <w:color w:val="0000FF"/>
                  <w:w w:val="97"/>
                </w:rPr>
                <w:t>1</w:t>
              </w:r>
            </w:hyperlink>
            <w:r>
              <w:rPr>
                <w:rFonts w:ascii="Arial" w:cs="Arial" w:eastAsia="Arial" w:hAnsi="Arial"/>
                <w:sz w:val="14"/>
                <w:szCs w:val="14"/>
                <w:color w:val="000000"/>
                <w:w w:val="97"/>
              </w:rPr>
              <w:t>*</w:t>
            </w:r>
          </w:p>
        </w:tc>
        <w:tc>
          <w:tcPr>
            <w:tcW w:w="200" w:type="dxa"/>
            <w:vAlign w:val="bottom"/>
          </w:tcPr>
          <w:p>
            <w:pPr>
              <w:spacing w:after="0"/>
              <w:rPr>
                <w:sz w:val="24"/>
                <w:szCs w:val="24"/>
                <w:color w:val="auto"/>
              </w:rPr>
            </w:pPr>
          </w:p>
        </w:tc>
        <w:tc>
          <w:tcPr>
            <w:tcW w:w="6940" w:type="dxa"/>
            <w:vAlign w:val="bottom"/>
            <w:gridSpan w:val="3"/>
          </w:tcPr>
          <w:p>
            <w:pPr>
              <w:ind w:left="100"/>
              <w:spacing w:after="0"/>
              <w:rPr>
                <w:sz w:val="20"/>
                <w:szCs w:val="20"/>
                <w:color w:val="auto"/>
              </w:rPr>
            </w:pPr>
            <w:r>
              <w:rPr>
                <w:rFonts w:ascii="Arial" w:cs="Arial" w:eastAsia="Arial" w:hAnsi="Arial"/>
                <w:sz w:val="14"/>
                <w:szCs w:val="14"/>
                <w:color w:val="auto"/>
              </w:rPr>
              <w:t>Certification of Chief Executive Officer pursuant to Rule 13a-14(a) under the Securities Exchange Act of 1934.</w:t>
            </w:r>
          </w:p>
        </w:tc>
      </w:tr>
      <w:tr>
        <w:trPr>
          <w:trHeight w:val="20"/>
        </w:trPr>
        <w:tc>
          <w:tcPr>
            <w:tcW w:w="5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r>
      <w:tr>
        <w:trPr>
          <w:trHeight w:val="411"/>
        </w:trPr>
        <w:tc>
          <w:tcPr>
            <w:tcW w:w="980" w:type="dxa"/>
            <w:vAlign w:val="bottom"/>
            <w:gridSpan w:val="5"/>
          </w:tcPr>
          <w:p>
            <w:pPr>
              <w:jc w:val="center"/>
              <w:ind w:left="228"/>
              <w:spacing w:after="0"/>
              <w:rPr>
                <w:rFonts w:ascii="Arial" w:cs="Arial" w:eastAsia="Arial" w:hAnsi="Arial"/>
                <w:sz w:val="14"/>
                <w:szCs w:val="14"/>
                <w:color w:val="0000FF"/>
                <w:w w:val="97"/>
              </w:rPr>
            </w:pPr>
            <w:hyperlink w:anchor="page49">
              <w:r>
                <w:rPr>
                  <w:rFonts w:ascii="Arial" w:cs="Arial" w:eastAsia="Arial" w:hAnsi="Arial"/>
                  <w:sz w:val="14"/>
                  <w:szCs w:val="14"/>
                  <w:color w:val="0000FF"/>
                  <w:w w:val="97"/>
                </w:rPr>
                <w:t>31.</w:t>
              </w:r>
              <w:r>
                <w:rPr>
                  <w:rFonts w:ascii="Arial" w:cs="Arial" w:eastAsia="Arial" w:hAnsi="Arial"/>
                  <w:sz w:val="14"/>
                  <w:szCs w:val="14"/>
                  <w:u w:val="single" w:color="auto"/>
                  <w:color w:val="0000FF"/>
                  <w:w w:val="97"/>
                </w:rPr>
                <w:t>2</w:t>
              </w:r>
            </w:hyperlink>
            <w:r>
              <w:rPr>
                <w:rFonts w:ascii="Arial" w:cs="Arial" w:eastAsia="Arial" w:hAnsi="Arial"/>
                <w:sz w:val="14"/>
                <w:szCs w:val="14"/>
                <w:color w:val="000000"/>
                <w:w w:val="97"/>
              </w:rPr>
              <w:t>*</w:t>
            </w:r>
          </w:p>
        </w:tc>
        <w:tc>
          <w:tcPr>
            <w:tcW w:w="200" w:type="dxa"/>
            <w:vAlign w:val="bottom"/>
          </w:tcPr>
          <w:p>
            <w:pPr>
              <w:spacing w:after="0"/>
              <w:rPr>
                <w:sz w:val="24"/>
                <w:szCs w:val="24"/>
                <w:color w:val="auto"/>
              </w:rPr>
            </w:pPr>
          </w:p>
        </w:tc>
        <w:tc>
          <w:tcPr>
            <w:tcW w:w="6940" w:type="dxa"/>
            <w:vAlign w:val="bottom"/>
            <w:gridSpan w:val="3"/>
          </w:tcPr>
          <w:p>
            <w:pPr>
              <w:ind w:left="100"/>
              <w:spacing w:after="0"/>
              <w:rPr>
                <w:sz w:val="20"/>
                <w:szCs w:val="20"/>
                <w:color w:val="auto"/>
              </w:rPr>
            </w:pPr>
            <w:r>
              <w:rPr>
                <w:rFonts w:ascii="Arial" w:cs="Arial" w:eastAsia="Arial" w:hAnsi="Arial"/>
                <w:sz w:val="14"/>
                <w:szCs w:val="14"/>
                <w:color w:val="auto"/>
                <w:w w:val="97"/>
              </w:rPr>
              <w:t>Certification of Principal Financial Officer pursuant to Rule 13a-14(a) under the Securities Exchange Act of 1934.</w:t>
            </w:r>
          </w:p>
        </w:tc>
      </w:tr>
      <w:tr>
        <w:trPr>
          <w:trHeight w:val="20"/>
        </w:trPr>
        <w:tc>
          <w:tcPr>
            <w:tcW w:w="5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r>
      <w:tr>
        <w:trPr>
          <w:trHeight w:val="454"/>
        </w:trPr>
        <w:tc>
          <w:tcPr>
            <w:tcW w:w="980" w:type="dxa"/>
            <w:vAlign w:val="bottom"/>
            <w:gridSpan w:val="5"/>
          </w:tcPr>
          <w:p>
            <w:pPr>
              <w:jc w:val="center"/>
              <w:ind w:left="228"/>
              <w:spacing w:after="0"/>
              <w:rPr>
                <w:rFonts w:ascii="Arial" w:cs="Arial" w:eastAsia="Arial" w:hAnsi="Arial"/>
                <w:sz w:val="14"/>
                <w:szCs w:val="14"/>
                <w:color w:val="0000FF"/>
                <w:w w:val="97"/>
              </w:rPr>
            </w:pPr>
            <w:hyperlink w:anchor="page50">
              <w:r>
                <w:rPr>
                  <w:rFonts w:ascii="Arial" w:cs="Arial" w:eastAsia="Arial" w:hAnsi="Arial"/>
                  <w:sz w:val="14"/>
                  <w:szCs w:val="14"/>
                  <w:color w:val="0000FF"/>
                  <w:w w:val="97"/>
                </w:rPr>
                <w:t>31.</w:t>
              </w:r>
              <w:r>
                <w:rPr>
                  <w:rFonts w:ascii="Arial" w:cs="Arial" w:eastAsia="Arial" w:hAnsi="Arial"/>
                  <w:sz w:val="14"/>
                  <w:szCs w:val="14"/>
                  <w:u w:val="single" w:color="auto"/>
                  <w:color w:val="0000FF"/>
                  <w:w w:val="97"/>
                </w:rPr>
                <w:t>3</w:t>
              </w:r>
            </w:hyperlink>
            <w:r>
              <w:rPr>
                <w:rFonts w:ascii="Arial" w:cs="Arial" w:eastAsia="Arial" w:hAnsi="Arial"/>
                <w:sz w:val="14"/>
                <w:szCs w:val="14"/>
                <w:color w:val="000000"/>
                <w:w w:val="97"/>
              </w:rPr>
              <w:t>*</w:t>
            </w:r>
          </w:p>
        </w:tc>
        <w:tc>
          <w:tcPr>
            <w:tcW w:w="200" w:type="dxa"/>
            <w:vAlign w:val="bottom"/>
          </w:tcPr>
          <w:p>
            <w:pPr>
              <w:spacing w:after="0"/>
              <w:rPr>
                <w:sz w:val="24"/>
                <w:szCs w:val="24"/>
                <w:color w:val="auto"/>
              </w:rPr>
            </w:pPr>
          </w:p>
        </w:tc>
        <w:tc>
          <w:tcPr>
            <w:tcW w:w="6940" w:type="dxa"/>
            <w:vAlign w:val="bottom"/>
            <w:gridSpan w:val="3"/>
          </w:tcPr>
          <w:p>
            <w:pPr>
              <w:ind w:left="100"/>
              <w:spacing w:after="0"/>
              <w:rPr>
                <w:sz w:val="20"/>
                <w:szCs w:val="20"/>
                <w:color w:val="auto"/>
              </w:rPr>
            </w:pPr>
            <w:r>
              <w:rPr>
                <w:rFonts w:ascii="Arial" w:cs="Arial" w:eastAsia="Arial" w:hAnsi="Arial"/>
                <w:sz w:val="14"/>
                <w:szCs w:val="14"/>
                <w:color w:val="auto"/>
                <w:w w:val="96"/>
              </w:rPr>
              <w:t>Certification of Principal Accounting Officer pursuant to Rule 13a-14(a) under the Securities Exchange Act of 1934.</w:t>
            </w:r>
          </w:p>
        </w:tc>
      </w:tr>
      <w:tr>
        <w:trPr>
          <w:trHeight w:val="20"/>
        </w:trPr>
        <w:tc>
          <w:tcPr>
            <w:tcW w:w="54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r>
      <w:tr>
        <w:trPr>
          <w:trHeight w:val="476"/>
        </w:trPr>
        <w:tc>
          <w:tcPr>
            <w:tcW w:w="540" w:type="dxa"/>
            <w:vAlign w:val="bottom"/>
            <w:gridSpan w:val="2"/>
          </w:tcPr>
          <w:p>
            <w:pPr>
              <w:spacing w:after="0"/>
              <w:rPr>
                <w:sz w:val="24"/>
                <w:szCs w:val="24"/>
                <w:color w:val="auto"/>
              </w:rPr>
            </w:pPr>
          </w:p>
        </w:tc>
        <w:tc>
          <w:tcPr>
            <w:tcW w:w="440" w:type="dxa"/>
            <w:vAlign w:val="bottom"/>
            <w:gridSpan w:val="3"/>
          </w:tcPr>
          <w:p>
            <w:pPr>
              <w:jc w:val="center"/>
              <w:ind w:right="200"/>
              <w:spacing w:after="0"/>
              <w:rPr>
                <w:rFonts w:ascii="Arial" w:cs="Arial" w:eastAsia="Arial" w:hAnsi="Arial"/>
                <w:sz w:val="14"/>
                <w:szCs w:val="14"/>
                <w:color w:val="0000FF"/>
                <w:w w:val="90"/>
              </w:rPr>
            </w:pPr>
            <w:hyperlink w:anchor="page51">
              <w:r>
                <w:rPr>
                  <w:rFonts w:ascii="Arial" w:cs="Arial" w:eastAsia="Arial" w:hAnsi="Arial"/>
                  <w:sz w:val="14"/>
                  <w:szCs w:val="14"/>
                  <w:color w:val="0000FF"/>
                  <w:w w:val="90"/>
                </w:rPr>
                <w:t>32</w:t>
              </w:r>
            </w:hyperlink>
            <w:r>
              <w:rPr>
                <w:rFonts w:ascii="Arial" w:cs="Arial" w:eastAsia="Arial" w:hAnsi="Arial"/>
                <w:sz w:val="14"/>
                <w:szCs w:val="14"/>
                <w:color w:val="000000"/>
                <w:w w:val="90"/>
              </w:rPr>
              <w:t>**</w:t>
            </w:r>
          </w:p>
        </w:tc>
        <w:tc>
          <w:tcPr>
            <w:tcW w:w="200" w:type="dxa"/>
            <w:vAlign w:val="bottom"/>
          </w:tcPr>
          <w:p>
            <w:pPr>
              <w:spacing w:after="0"/>
              <w:rPr>
                <w:sz w:val="24"/>
                <w:szCs w:val="24"/>
                <w:color w:val="auto"/>
              </w:rPr>
            </w:pPr>
          </w:p>
        </w:tc>
        <w:tc>
          <w:tcPr>
            <w:tcW w:w="6940" w:type="dxa"/>
            <w:vAlign w:val="bottom"/>
            <w:gridSpan w:val="3"/>
          </w:tcPr>
          <w:p>
            <w:pPr>
              <w:ind w:left="100"/>
              <w:spacing w:after="0"/>
              <w:rPr>
                <w:sz w:val="20"/>
                <w:szCs w:val="20"/>
                <w:color w:val="auto"/>
              </w:rPr>
            </w:pPr>
            <w:r>
              <w:rPr>
                <w:rFonts w:ascii="Arial" w:cs="Arial" w:eastAsia="Arial" w:hAnsi="Arial"/>
                <w:sz w:val="14"/>
                <w:szCs w:val="14"/>
                <w:color w:val="auto"/>
              </w:rPr>
              <w:t>Certifications pursuant to Rule 13a-14(b) under the Securities Exchange Act of 1934 and 18 U.S.C. § 1350.</w:t>
            </w:r>
          </w:p>
        </w:tc>
      </w:tr>
      <w:tr>
        <w:trPr>
          <w:trHeight w:val="20"/>
        </w:trPr>
        <w:tc>
          <w:tcPr>
            <w:tcW w:w="3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70" w:lineRule="exact"/>
        <w:rPr>
          <w:sz w:val="20"/>
          <w:szCs w:val="20"/>
          <w:color w:val="auto"/>
        </w:rPr>
      </w:pPr>
    </w:p>
    <w:p>
      <w:pPr>
        <w:ind w:left="1280" w:hanging="799"/>
        <w:spacing w:after="0"/>
        <w:tabs>
          <w:tab w:leader="none" w:pos="1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Formatted in XBRL (Extensible Business Reporting Language)</w:t>
      </w:r>
    </w:p>
    <w:p>
      <w:pPr>
        <w:spacing w:after="0" w:line="270" w:lineRule="exact"/>
        <w:rPr>
          <w:sz w:val="20"/>
          <w:szCs w:val="20"/>
          <w:color w:val="auto"/>
        </w:rPr>
      </w:pPr>
    </w:p>
    <w:tbl>
      <w:tblPr>
        <w:tblLayout w:type="fixed"/>
        <w:tblInd w:w="1280" w:type="dxa"/>
        <w:tblCellMar>
          <w:top w:w="0" w:type="dxa"/>
          <w:left w:w="0" w:type="dxa"/>
          <w:bottom w:w="0" w:type="dxa"/>
          <w:right w:w="0" w:type="dxa"/>
        </w:tblCellMar>
      </w:tblPr>
      <w:tr>
        <w:trPr>
          <w:trHeight w:val="172"/>
        </w:trPr>
        <w:tc>
          <w:tcPr>
            <w:tcW w:w="960" w:type="dxa"/>
            <w:vAlign w:val="bottom"/>
          </w:tcPr>
          <w:p>
            <w:pPr>
              <w:spacing w:after="0"/>
              <w:rPr>
                <w:sz w:val="20"/>
                <w:szCs w:val="20"/>
                <w:color w:val="auto"/>
              </w:rPr>
            </w:pPr>
            <w:r>
              <w:rPr>
                <w:rFonts w:ascii="Arial" w:cs="Arial" w:eastAsia="Arial" w:hAnsi="Arial"/>
                <w:sz w:val="14"/>
                <w:szCs w:val="14"/>
                <w:color w:val="auto"/>
              </w:rPr>
              <w:t>101.INS</w:t>
            </w:r>
          </w:p>
        </w:tc>
        <w:tc>
          <w:tcPr>
            <w:tcW w:w="8980" w:type="dxa"/>
            <w:vAlign w:val="bottom"/>
          </w:tcPr>
          <w:p>
            <w:pPr>
              <w:ind w:left="420"/>
              <w:spacing w:after="0"/>
              <w:rPr>
                <w:sz w:val="20"/>
                <w:szCs w:val="20"/>
                <w:color w:val="auto"/>
              </w:rPr>
            </w:pPr>
            <w:r>
              <w:rPr>
                <w:rFonts w:ascii="Arial" w:cs="Arial" w:eastAsia="Arial" w:hAnsi="Arial"/>
                <w:sz w:val="14"/>
                <w:szCs w:val="14"/>
                <w:color w:val="auto"/>
                <w:w w:val="93"/>
              </w:rPr>
              <w:t>XBRL Instance Document - the instance document does not appear in the interactive data file because its XBRL tags are embedded within the Inline</w:t>
            </w:r>
          </w:p>
        </w:tc>
      </w:tr>
      <w:tr>
        <w:trPr>
          <w:trHeight w:val="182"/>
        </w:trPr>
        <w:tc>
          <w:tcPr>
            <w:tcW w:w="960" w:type="dxa"/>
            <w:vAlign w:val="bottom"/>
          </w:tcPr>
          <w:p>
            <w:pPr>
              <w:spacing w:after="0"/>
              <w:rPr>
                <w:sz w:val="15"/>
                <w:szCs w:val="15"/>
                <w:color w:val="auto"/>
              </w:rPr>
            </w:pPr>
          </w:p>
        </w:tc>
        <w:tc>
          <w:tcPr>
            <w:tcW w:w="8980" w:type="dxa"/>
            <w:vAlign w:val="bottom"/>
          </w:tcPr>
          <w:p>
            <w:pPr>
              <w:ind w:left="420"/>
              <w:spacing w:after="0"/>
              <w:rPr>
                <w:sz w:val="20"/>
                <w:szCs w:val="20"/>
                <w:color w:val="auto"/>
              </w:rPr>
            </w:pPr>
            <w:r>
              <w:rPr>
                <w:rFonts w:ascii="Arial" w:cs="Arial" w:eastAsia="Arial" w:hAnsi="Arial"/>
                <w:sz w:val="14"/>
                <w:szCs w:val="14"/>
                <w:color w:val="auto"/>
              </w:rPr>
              <w:t>XBRL document</w:t>
            </w:r>
          </w:p>
        </w:tc>
      </w:tr>
      <w:tr>
        <w:trPr>
          <w:trHeight w:val="431"/>
        </w:trPr>
        <w:tc>
          <w:tcPr>
            <w:tcW w:w="960" w:type="dxa"/>
            <w:vAlign w:val="bottom"/>
          </w:tcPr>
          <w:p>
            <w:pPr>
              <w:spacing w:after="0"/>
              <w:rPr>
                <w:sz w:val="20"/>
                <w:szCs w:val="20"/>
                <w:color w:val="auto"/>
              </w:rPr>
            </w:pPr>
            <w:r>
              <w:rPr>
                <w:rFonts w:ascii="Arial" w:cs="Arial" w:eastAsia="Arial" w:hAnsi="Arial"/>
                <w:sz w:val="14"/>
                <w:szCs w:val="14"/>
                <w:color w:val="auto"/>
              </w:rPr>
              <w:t>101.SCH</w:t>
            </w:r>
          </w:p>
        </w:tc>
        <w:tc>
          <w:tcPr>
            <w:tcW w:w="8980" w:type="dxa"/>
            <w:vAlign w:val="bottom"/>
          </w:tcPr>
          <w:p>
            <w:pPr>
              <w:ind w:left="420"/>
              <w:spacing w:after="0"/>
              <w:rPr>
                <w:sz w:val="20"/>
                <w:szCs w:val="20"/>
                <w:color w:val="auto"/>
              </w:rPr>
            </w:pPr>
            <w:r>
              <w:rPr>
                <w:rFonts w:ascii="Arial" w:cs="Arial" w:eastAsia="Arial" w:hAnsi="Arial"/>
                <w:sz w:val="14"/>
                <w:szCs w:val="14"/>
                <w:color w:val="auto"/>
              </w:rPr>
              <w:t>XBRL Taxonomy Extension Schema Document</w:t>
            </w:r>
          </w:p>
        </w:tc>
      </w:tr>
      <w:tr>
        <w:trPr>
          <w:trHeight w:val="431"/>
        </w:trPr>
        <w:tc>
          <w:tcPr>
            <w:tcW w:w="960" w:type="dxa"/>
            <w:vAlign w:val="bottom"/>
          </w:tcPr>
          <w:p>
            <w:pPr>
              <w:spacing w:after="0"/>
              <w:rPr>
                <w:sz w:val="20"/>
                <w:szCs w:val="20"/>
                <w:color w:val="auto"/>
              </w:rPr>
            </w:pPr>
            <w:r>
              <w:rPr>
                <w:rFonts w:ascii="Arial" w:cs="Arial" w:eastAsia="Arial" w:hAnsi="Arial"/>
                <w:sz w:val="14"/>
                <w:szCs w:val="14"/>
                <w:color w:val="auto"/>
              </w:rPr>
              <w:t>101.CAL</w:t>
            </w:r>
          </w:p>
        </w:tc>
        <w:tc>
          <w:tcPr>
            <w:tcW w:w="8980" w:type="dxa"/>
            <w:vAlign w:val="bottom"/>
          </w:tcPr>
          <w:p>
            <w:pPr>
              <w:ind w:left="4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431"/>
        </w:trPr>
        <w:tc>
          <w:tcPr>
            <w:tcW w:w="960" w:type="dxa"/>
            <w:vAlign w:val="bottom"/>
          </w:tcPr>
          <w:p>
            <w:pPr>
              <w:spacing w:after="0"/>
              <w:rPr>
                <w:sz w:val="20"/>
                <w:szCs w:val="20"/>
                <w:color w:val="auto"/>
              </w:rPr>
            </w:pPr>
            <w:r>
              <w:rPr>
                <w:rFonts w:ascii="Arial" w:cs="Arial" w:eastAsia="Arial" w:hAnsi="Arial"/>
                <w:sz w:val="14"/>
                <w:szCs w:val="14"/>
                <w:color w:val="auto"/>
              </w:rPr>
              <w:t>101.DEF</w:t>
            </w:r>
          </w:p>
        </w:tc>
        <w:tc>
          <w:tcPr>
            <w:tcW w:w="8980" w:type="dxa"/>
            <w:vAlign w:val="bottom"/>
          </w:tcPr>
          <w:p>
            <w:pPr>
              <w:ind w:left="420"/>
              <w:spacing w:after="0"/>
              <w:rPr>
                <w:sz w:val="20"/>
                <w:szCs w:val="20"/>
                <w:color w:val="auto"/>
              </w:rPr>
            </w:pPr>
            <w:r>
              <w:rPr>
                <w:rFonts w:ascii="Arial" w:cs="Arial" w:eastAsia="Arial" w:hAnsi="Arial"/>
                <w:sz w:val="14"/>
                <w:szCs w:val="14"/>
                <w:color w:val="auto"/>
              </w:rPr>
              <w:t>XBRL Taxonomy Extension Definition Linkbase Document</w:t>
            </w:r>
          </w:p>
        </w:tc>
      </w:tr>
      <w:tr>
        <w:trPr>
          <w:trHeight w:val="431"/>
        </w:trPr>
        <w:tc>
          <w:tcPr>
            <w:tcW w:w="960" w:type="dxa"/>
            <w:vAlign w:val="bottom"/>
          </w:tcPr>
          <w:p>
            <w:pPr>
              <w:spacing w:after="0"/>
              <w:rPr>
                <w:sz w:val="20"/>
                <w:szCs w:val="20"/>
                <w:color w:val="auto"/>
              </w:rPr>
            </w:pPr>
            <w:r>
              <w:rPr>
                <w:rFonts w:ascii="Arial" w:cs="Arial" w:eastAsia="Arial" w:hAnsi="Arial"/>
                <w:sz w:val="14"/>
                <w:szCs w:val="14"/>
                <w:color w:val="auto"/>
              </w:rPr>
              <w:t>101.LAB</w:t>
            </w:r>
          </w:p>
        </w:tc>
        <w:tc>
          <w:tcPr>
            <w:tcW w:w="8980" w:type="dxa"/>
            <w:vAlign w:val="bottom"/>
          </w:tcPr>
          <w:p>
            <w:pPr>
              <w:ind w:left="420"/>
              <w:spacing w:after="0"/>
              <w:rPr>
                <w:sz w:val="20"/>
                <w:szCs w:val="20"/>
                <w:color w:val="auto"/>
              </w:rPr>
            </w:pPr>
            <w:r>
              <w:rPr>
                <w:rFonts w:ascii="Arial" w:cs="Arial" w:eastAsia="Arial" w:hAnsi="Arial"/>
                <w:sz w:val="14"/>
                <w:szCs w:val="14"/>
                <w:color w:val="auto"/>
              </w:rPr>
              <w:t>XBRL Taxonomy Extension Label Linkbase Document</w:t>
            </w:r>
          </w:p>
        </w:tc>
      </w:tr>
      <w:tr>
        <w:trPr>
          <w:trHeight w:val="431"/>
        </w:trPr>
        <w:tc>
          <w:tcPr>
            <w:tcW w:w="960" w:type="dxa"/>
            <w:vAlign w:val="bottom"/>
          </w:tcPr>
          <w:p>
            <w:pPr>
              <w:spacing w:after="0"/>
              <w:rPr>
                <w:sz w:val="20"/>
                <w:szCs w:val="20"/>
                <w:color w:val="auto"/>
              </w:rPr>
            </w:pPr>
            <w:r>
              <w:rPr>
                <w:rFonts w:ascii="Arial" w:cs="Arial" w:eastAsia="Arial" w:hAnsi="Arial"/>
                <w:sz w:val="14"/>
                <w:szCs w:val="14"/>
                <w:color w:val="auto"/>
              </w:rPr>
              <w:t>101.PRE</w:t>
            </w:r>
          </w:p>
        </w:tc>
        <w:tc>
          <w:tcPr>
            <w:tcW w:w="8980" w:type="dxa"/>
            <w:vAlign w:val="bottom"/>
          </w:tcPr>
          <w:p>
            <w:pPr>
              <w:ind w:left="420"/>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152"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pacing w:after="0" w:line="292" w:lineRule="exact"/>
        <w:rPr>
          <w:sz w:val="20"/>
          <w:szCs w:val="20"/>
          <w:color w:val="auto"/>
        </w:rPr>
      </w:pPr>
    </w:p>
    <w:p>
      <w:pPr>
        <w:ind w:left="520" w:hanging="514"/>
        <w:spacing w:after="0" w:line="288"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119" w:right="21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5" w:lineRule="exact"/>
        <w:rPr>
          <w:sz w:val="20"/>
          <w:szCs w:val="20"/>
          <w:color w:val="auto"/>
        </w:rPr>
      </w:pPr>
    </w:p>
    <w:p>
      <w:pPr>
        <w:jc w:val="center"/>
        <w:ind w:right="-719"/>
        <w:spacing w:after="0"/>
        <w:rPr>
          <w:sz w:val="20"/>
          <w:szCs w:val="20"/>
          <w:color w:val="auto"/>
        </w:rPr>
      </w:pPr>
      <w:r>
        <w:rPr>
          <w:rFonts w:ascii="Arial" w:cs="Arial" w:eastAsia="Arial" w:hAnsi="Arial"/>
          <w:sz w:val="14"/>
          <w:szCs w:val="14"/>
          <w:color w:val="auto"/>
        </w:rPr>
        <w:t>SIGNATURES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SHENANDOAH TELECOMMUNICATIONS COMPANY</w:t>
      </w:r>
    </w:p>
    <w:p>
      <w:pPr>
        <w:spacing w:after="0" w:line="200" w:lineRule="exact"/>
        <w:rPr>
          <w:sz w:val="20"/>
          <w:szCs w:val="20"/>
          <w:color w:val="auto"/>
        </w:rPr>
      </w:pPr>
    </w:p>
    <w:p>
      <w:pPr>
        <w:spacing w:after="0" w:line="350" w:lineRule="exact"/>
        <w:rPr>
          <w:sz w:val="20"/>
          <w:szCs w:val="20"/>
          <w:color w:val="auto"/>
        </w:rPr>
      </w:pPr>
    </w:p>
    <w:p>
      <w:pPr>
        <w:ind w:left="1280"/>
        <w:spacing w:after="0"/>
        <w:rPr>
          <w:sz w:val="20"/>
          <w:szCs w:val="20"/>
          <w:color w:val="auto"/>
        </w:rPr>
      </w:pPr>
      <w:r>
        <w:rPr>
          <w:rFonts w:ascii="Arial" w:cs="Arial" w:eastAsia="Arial" w:hAnsi="Arial"/>
          <w:sz w:val="14"/>
          <w:szCs w:val="14"/>
          <w:u w:val="single" w:color="auto"/>
          <w:color w:val="auto"/>
        </w:rPr>
        <w:t>/s/James J. Volk</w:t>
      </w:r>
    </w:p>
    <w:p>
      <w:pPr>
        <w:spacing w:after="0" w:line="5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James J. Volk</w:t>
      </w:r>
    </w:p>
    <w:p>
      <w:pPr>
        <w:spacing w:after="0" w:line="5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Senior Vice President - Chief Financial Officer</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4"/>
          <w:szCs w:val="14"/>
          <w:i w:val="1"/>
          <w:iCs w:val="1"/>
          <w:color w:val="auto"/>
        </w:rPr>
        <w:t>(Principal Financial Officer)</w:t>
      </w:r>
    </w:p>
    <w:p>
      <w:pPr>
        <w:spacing w:after="0" w:line="4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Date: October 31, 2019</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760"/>
          </w:cols>
          <w:pgMar w:left="220" w:top="129" w:right="919" w:bottom="1440"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143510</wp:posOffset>
            </wp:positionH>
            <wp:positionV relativeFrom="page">
              <wp:posOffset>389890</wp:posOffset>
            </wp:positionV>
            <wp:extent cx="72745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74560" cy="13970"/>
                    </a:xfrm>
                    <a:prstGeom prst="rect">
                      <a:avLst/>
                    </a:prstGeom>
                    <a:noFill/>
                  </pic:spPr>
                </pic:pic>
              </a:graphicData>
            </a:graphic>
          </wp:anchor>
        </w:drawing>
        <w:t>EXHIBIT 31.1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 Christopher E. French, certify that:</w:t>
      </w:r>
    </w:p>
    <w:p>
      <w:pPr>
        <w:spacing w:after="0" w:line="184" w:lineRule="exact"/>
        <w:rPr>
          <w:sz w:val="20"/>
          <w:szCs w:val="20"/>
          <w:color w:val="auto"/>
        </w:rPr>
      </w:pPr>
    </w:p>
    <w:p>
      <w:pPr>
        <w:ind w:left="520" w:hanging="514"/>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Shenandoah Telecommunications Company;</w:t>
      </w:r>
    </w:p>
    <w:p>
      <w:pPr>
        <w:spacing w:after="0" w:line="140" w:lineRule="exact"/>
        <w:rPr>
          <w:rFonts w:ascii="Arial" w:cs="Arial" w:eastAsia="Arial" w:hAnsi="Arial"/>
          <w:sz w:val="14"/>
          <w:szCs w:val="14"/>
          <w:color w:val="auto"/>
        </w:rPr>
      </w:pPr>
    </w:p>
    <w:p>
      <w:pPr>
        <w:ind w:left="520" w:right="740" w:hanging="514"/>
        <w:spacing w:after="0" w:line="288"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left="520" w:right="200" w:hanging="514"/>
        <w:spacing w:after="0" w:line="288"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4"/>
          <w:szCs w:val="14"/>
          <w:color w:val="auto"/>
        </w:rPr>
      </w:pPr>
    </w:p>
    <w:p>
      <w:pPr>
        <w:ind w:left="520" w:right="240" w:hanging="514"/>
        <w:spacing w:after="0" w:line="178" w:lineRule="exact"/>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r>
        <w:rPr>
          <w:rFonts w:ascii="MS PGothic" w:cs="MS PGothic" w:eastAsia="MS PGothic" w:hAnsi="MS PGothic"/>
          <w:sz w:val="14"/>
          <w:szCs w:val="14"/>
          <w:color w:val="auto"/>
        </w:rPr>
        <w:t>‑</w:t>
      </w:r>
      <w:r>
        <w:rPr>
          <w:rFonts w:ascii="Arial" w:cs="Arial" w:eastAsia="Arial" w:hAnsi="Arial"/>
          <w:sz w:val="14"/>
          <w:szCs w:val="14"/>
          <w:color w:val="auto"/>
        </w:rPr>
        <w:t>15(f)) for the registrant and have:</w:t>
      </w:r>
    </w:p>
    <w:p>
      <w:pPr>
        <w:spacing w:after="0" w:line="163" w:lineRule="exact"/>
        <w:rPr>
          <w:rFonts w:ascii="Arial" w:cs="Arial" w:eastAsia="Arial" w:hAnsi="Arial"/>
          <w:sz w:val="14"/>
          <w:szCs w:val="14"/>
          <w:color w:val="auto"/>
        </w:rPr>
      </w:pPr>
    </w:p>
    <w:p>
      <w:pPr>
        <w:ind w:left="780" w:right="20" w:hanging="257"/>
        <w:spacing w:after="0" w:line="328" w:lineRule="auto"/>
        <w:tabs>
          <w:tab w:leader="none" w:pos="7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3"/>
          <w:szCs w:val="13"/>
          <w:color w:val="auto"/>
        </w:rPr>
      </w:pPr>
    </w:p>
    <w:p>
      <w:pPr>
        <w:ind w:left="780" w:right="240" w:hanging="257"/>
        <w:spacing w:after="0" w:line="328" w:lineRule="auto"/>
        <w:tabs>
          <w:tab w:leader="none" w:pos="7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3"/>
          <w:szCs w:val="13"/>
          <w:color w:val="auto"/>
        </w:rPr>
      </w:pPr>
    </w:p>
    <w:p>
      <w:pPr>
        <w:ind w:left="780" w:right="420" w:hanging="257"/>
        <w:spacing w:after="0" w:line="288" w:lineRule="auto"/>
        <w:tabs>
          <w:tab w:leader="none" w:pos="780" w:val="left"/>
        </w:tabs>
        <w:numPr>
          <w:ilvl w:val="1"/>
          <w:numId w:val="1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780" w:right="60" w:hanging="257"/>
        <w:spacing w:after="0" w:line="328" w:lineRule="auto"/>
        <w:tabs>
          <w:tab w:leader="none" w:pos="7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3"/>
          <w:szCs w:val="13"/>
          <w:color w:val="auto"/>
        </w:rPr>
      </w:pPr>
    </w:p>
    <w:p>
      <w:pPr>
        <w:ind w:left="520" w:right="380" w:hanging="514"/>
        <w:spacing w:after="0" w:line="288"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4"/>
          <w:szCs w:val="14"/>
          <w:color w:val="auto"/>
        </w:rPr>
      </w:pPr>
    </w:p>
    <w:p>
      <w:pPr>
        <w:ind w:left="780" w:right="100" w:hanging="257"/>
        <w:spacing w:after="0" w:line="288" w:lineRule="auto"/>
        <w:tabs>
          <w:tab w:leader="none" w:pos="780" w:val="left"/>
        </w:tabs>
        <w:numPr>
          <w:ilvl w:val="1"/>
          <w:numId w:val="1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4"/>
          <w:szCs w:val="14"/>
          <w:color w:val="auto"/>
        </w:rPr>
      </w:pPr>
    </w:p>
    <w:p>
      <w:pPr>
        <w:ind w:left="780" w:hanging="257"/>
        <w:spacing w:after="0"/>
        <w:tabs>
          <w:tab w:leader="none" w:pos="780" w:val="left"/>
        </w:tabs>
        <w:numPr>
          <w:ilvl w:val="1"/>
          <w:numId w:val="1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/S/ CHRISTOPHER E. FRENCH</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Christopher E. French, President and Chief Executive Officer</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Date: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2745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74560" cy="13970"/>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143510</wp:posOffset>
            </wp:positionH>
            <wp:positionV relativeFrom="page">
              <wp:posOffset>389890</wp:posOffset>
            </wp:positionV>
            <wp:extent cx="72745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74560" cy="13970"/>
                    </a:xfrm>
                    <a:prstGeom prst="rect">
                      <a:avLst/>
                    </a:prstGeom>
                    <a:noFill/>
                  </pic:spPr>
                </pic:pic>
              </a:graphicData>
            </a:graphic>
          </wp:anchor>
        </w:drawing>
        <w:t>EXHIBIT 31.2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 James J. Volk, certify that:</w:t>
      </w:r>
    </w:p>
    <w:p>
      <w:pPr>
        <w:spacing w:after="0" w:line="184" w:lineRule="exact"/>
        <w:rPr>
          <w:sz w:val="20"/>
          <w:szCs w:val="20"/>
          <w:color w:val="auto"/>
        </w:rPr>
      </w:pPr>
    </w:p>
    <w:p>
      <w:pPr>
        <w:ind w:left="520" w:hanging="514"/>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Shenandoah Telecommunications Company;</w:t>
      </w:r>
    </w:p>
    <w:p>
      <w:pPr>
        <w:spacing w:after="0" w:line="140" w:lineRule="exact"/>
        <w:rPr>
          <w:rFonts w:ascii="Arial" w:cs="Arial" w:eastAsia="Arial" w:hAnsi="Arial"/>
          <w:sz w:val="14"/>
          <w:szCs w:val="14"/>
          <w:color w:val="auto"/>
        </w:rPr>
      </w:pPr>
    </w:p>
    <w:p>
      <w:pPr>
        <w:ind w:left="520" w:right="740" w:hanging="514"/>
        <w:spacing w:after="0" w:line="288"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left="520" w:right="200" w:hanging="514"/>
        <w:spacing w:after="0" w:line="288"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4"/>
          <w:szCs w:val="14"/>
          <w:color w:val="auto"/>
        </w:rPr>
      </w:pPr>
    </w:p>
    <w:p>
      <w:pPr>
        <w:ind w:left="520" w:right="240" w:hanging="514"/>
        <w:spacing w:after="0" w:line="178" w:lineRule="exact"/>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r>
        <w:rPr>
          <w:rFonts w:ascii="MS PGothic" w:cs="MS PGothic" w:eastAsia="MS PGothic" w:hAnsi="MS PGothic"/>
          <w:sz w:val="14"/>
          <w:szCs w:val="14"/>
          <w:color w:val="auto"/>
        </w:rPr>
        <w:t>‑</w:t>
      </w:r>
      <w:r>
        <w:rPr>
          <w:rFonts w:ascii="Arial" w:cs="Arial" w:eastAsia="Arial" w:hAnsi="Arial"/>
          <w:sz w:val="14"/>
          <w:szCs w:val="14"/>
          <w:color w:val="auto"/>
        </w:rPr>
        <w:t>15(f)) for the registrant and have:</w:t>
      </w:r>
    </w:p>
    <w:p>
      <w:pPr>
        <w:spacing w:after="0" w:line="163" w:lineRule="exact"/>
        <w:rPr>
          <w:rFonts w:ascii="Arial" w:cs="Arial" w:eastAsia="Arial" w:hAnsi="Arial"/>
          <w:sz w:val="14"/>
          <w:szCs w:val="14"/>
          <w:color w:val="auto"/>
        </w:rPr>
      </w:pPr>
    </w:p>
    <w:p>
      <w:pPr>
        <w:ind w:left="780" w:right="20" w:hanging="257"/>
        <w:spacing w:after="0" w:line="328" w:lineRule="auto"/>
        <w:tabs>
          <w:tab w:leader="none" w:pos="780" w:val="left"/>
        </w:tabs>
        <w:numPr>
          <w:ilvl w:val="2"/>
          <w:numId w:val="1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3"/>
          <w:szCs w:val="13"/>
          <w:color w:val="auto"/>
        </w:rPr>
      </w:pPr>
    </w:p>
    <w:p>
      <w:pPr>
        <w:ind w:left="780" w:right="240" w:hanging="257"/>
        <w:spacing w:after="0" w:line="328" w:lineRule="auto"/>
        <w:tabs>
          <w:tab w:leader="none" w:pos="780" w:val="left"/>
        </w:tabs>
        <w:numPr>
          <w:ilvl w:val="2"/>
          <w:numId w:val="1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3"/>
          <w:szCs w:val="13"/>
          <w:color w:val="auto"/>
        </w:rPr>
      </w:pPr>
    </w:p>
    <w:p>
      <w:pPr>
        <w:ind w:left="780" w:right="420" w:hanging="257"/>
        <w:spacing w:after="0" w:line="288" w:lineRule="auto"/>
        <w:tabs>
          <w:tab w:leader="none" w:pos="780" w:val="left"/>
        </w:tabs>
        <w:numPr>
          <w:ilvl w:val="2"/>
          <w:numId w:val="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780" w:right="60" w:hanging="257"/>
        <w:spacing w:after="0" w:line="328" w:lineRule="auto"/>
        <w:tabs>
          <w:tab w:leader="none" w:pos="780" w:val="left"/>
        </w:tabs>
        <w:numPr>
          <w:ilvl w:val="2"/>
          <w:numId w:val="1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3"/>
          <w:szCs w:val="13"/>
          <w:color w:val="auto"/>
        </w:rPr>
      </w:pPr>
    </w:p>
    <w:p>
      <w:pPr>
        <w:ind w:left="520" w:right="380" w:hanging="449"/>
        <w:spacing w:after="0" w:line="288" w:lineRule="auto"/>
        <w:tabs>
          <w:tab w:leader="none" w:pos="5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4"/>
          <w:szCs w:val="14"/>
          <w:color w:val="auto"/>
        </w:rPr>
      </w:pPr>
    </w:p>
    <w:p>
      <w:pPr>
        <w:ind w:left="780" w:right="100" w:hanging="257"/>
        <w:spacing w:after="0" w:line="288" w:lineRule="auto"/>
        <w:tabs>
          <w:tab w:leader="none" w:pos="780" w:val="left"/>
        </w:tabs>
        <w:numPr>
          <w:ilvl w:val="2"/>
          <w:numId w:val="1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4"/>
          <w:szCs w:val="14"/>
          <w:color w:val="auto"/>
        </w:rPr>
      </w:pPr>
    </w:p>
    <w:p>
      <w:pPr>
        <w:ind w:left="780" w:hanging="257"/>
        <w:spacing w:after="0"/>
        <w:tabs>
          <w:tab w:leader="none" w:pos="780" w:val="left"/>
        </w:tabs>
        <w:numPr>
          <w:ilvl w:val="2"/>
          <w:numId w:val="1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/s/JAMES J. VOLK</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James J. Volk, Senior Vice President - Chief Financial Officer</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(Principal Financial Officer)</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Date: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274560"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74560" cy="1397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143510</wp:posOffset>
            </wp:positionH>
            <wp:positionV relativeFrom="page">
              <wp:posOffset>389890</wp:posOffset>
            </wp:positionV>
            <wp:extent cx="7274560"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74560" cy="13970"/>
                    </a:xfrm>
                    <a:prstGeom prst="rect">
                      <a:avLst/>
                    </a:prstGeom>
                    <a:noFill/>
                  </pic:spPr>
                </pic:pic>
              </a:graphicData>
            </a:graphic>
          </wp:anchor>
        </w:drawing>
        <w:t>EXHIBIT 31.3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 Chase Stobbe, certify that:</w:t>
      </w:r>
    </w:p>
    <w:p>
      <w:pPr>
        <w:spacing w:after="0" w:line="184" w:lineRule="exact"/>
        <w:rPr>
          <w:sz w:val="20"/>
          <w:szCs w:val="20"/>
          <w:color w:val="auto"/>
        </w:rPr>
      </w:pPr>
    </w:p>
    <w:p>
      <w:pPr>
        <w:ind w:left="520" w:hanging="514"/>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Shenandoah Telecommunications Company;</w:t>
      </w:r>
    </w:p>
    <w:p>
      <w:pPr>
        <w:spacing w:after="0" w:line="140" w:lineRule="exact"/>
        <w:rPr>
          <w:rFonts w:ascii="Arial" w:cs="Arial" w:eastAsia="Arial" w:hAnsi="Arial"/>
          <w:sz w:val="14"/>
          <w:szCs w:val="14"/>
          <w:color w:val="auto"/>
        </w:rPr>
      </w:pPr>
    </w:p>
    <w:p>
      <w:pPr>
        <w:ind w:left="520" w:right="740" w:hanging="514"/>
        <w:spacing w:after="0" w:line="288"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left="520" w:right="200" w:hanging="514"/>
        <w:spacing w:after="0" w:line="288"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4"/>
          <w:szCs w:val="14"/>
          <w:color w:val="auto"/>
        </w:rPr>
      </w:pPr>
    </w:p>
    <w:p>
      <w:pPr>
        <w:ind w:left="520" w:right="240" w:hanging="514"/>
        <w:spacing w:after="0" w:line="178" w:lineRule="exact"/>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r>
        <w:rPr>
          <w:rFonts w:ascii="MS PGothic" w:cs="MS PGothic" w:eastAsia="MS PGothic" w:hAnsi="MS PGothic"/>
          <w:sz w:val="14"/>
          <w:szCs w:val="14"/>
          <w:color w:val="auto"/>
        </w:rPr>
        <w:t>‑</w:t>
      </w:r>
      <w:r>
        <w:rPr>
          <w:rFonts w:ascii="Arial" w:cs="Arial" w:eastAsia="Arial" w:hAnsi="Arial"/>
          <w:sz w:val="14"/>
          <w:szCs w:val="14"/>
          <w:color w:val="auto"/>
        </w:rPr>
        <w:t>15(f)) for the registrant and have:</w:t>
      </w:r>
    </w:p>
    <w:p>
      <w:pPr>
        <w:spacing w:after="0" w:line="163" w:lineRule="exact"/>
        <w:rPr>
          <w:rFonts w:ascii="Arial" w:cs="Arial" w:eastAsia="Arial" w:hAnsi="Arial"/>
          <w:sz w:val="14"/>
          <w:szCs w:val="14"/>
          <w:color w:val="auto"/>
        </w:rPr>
      </w:pPr>
    </w:p>
    <w:p>
      <w:pPr>
        <w:ind w:left="780" w:right="20" w:hanging="257"/>
        <w:spacing w:after="0" w:line="328" w:lineRule="auto"/>
        <w:tabs>
          <w:tab w:leader="none" w:pos="780" w:val="left"/>
        </w:tabs>
        <w:numPr>
          <w:ilvl w:val="2"/>
          <w:numId w:val="1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3"/>
          <w:szCs w:val="13"/>
          <w:color w:val="auto"/>
        </w:rPr>
      </w:pPr>
    </w:p>
    <w:p>
      <w:pPr>
        <w:ind w:left="780" w:right="240" w:hanging="257"/>
        <w:spacing w:after="0" w:line="328" w:lineRule="auto"/>
        <w:tabs>
          <w:tab w:leader="none" w:pos="780" w:val="left"/>
        </w:tabs>
        <w:numPr>
          <w:ilvl w:val="2"/>
          <w:numId w:val="1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3"/>
          <w:szCs w:val="13"/>
          <w:color w:val="auto"/>
        </w:rPr>
      </w:pPr>
    </w:p>
    <w:p>
      <w:pPr>
        <w:ind w:left="780" w:right="420" w:hanging="257"/>
        <w:spacing w:after="0" w:line="288" w:lineRule="auto"/>
        <w:tabs>
          <w:tab w:leader="none" w:pos="780" w:val="left"/>
        </w:tabs>
        <w:numPr>
          <w:ilvl w:val="2"/>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780" w:right="60" w:hanging="257"/>
        <w:spacing w:after="0" w:line="328" w:lineRule="auto"/>
        <w:tabs>
          <w:tab w:leader="none" w:pos="780" w:val="left"/>
        </w:tabs>
        <w:numPr>
          <w:ilvl w:val="2"/>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3"/>
          <w:szCs w:val="13"/>
          <w:color w:val="auto"/>
        </w:rPr>
      </w:pPr>
    </w:p>
    <w:p>
      <w:pPr>
        <w:ind w:left="520" w:right="380" w:hanging="449"/>
        <w:spacing w:after="0" w:line="288" w:lineRule="auto"/>
        <w:tabs>
          <w:tab w:leader="none" w:pos="5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4"/>
          <w:szCs w:val="14"/>
          <w:color w:val="auto"/>
        </w:rPr>
      </w:pPr>
    </w:p>
    <w:p>
      <w:pPr>
        <w:ind w:left="780" w:right="100" w:hanging="257"/>
        <w:spacing w:after="0" w:line="288" w:lineRule="auto"/>
        <w:tabs>
          <w:tab w:leader="none" w:pos="780" w:val="left"/>
        </w:tabs>
        <w:numPr>
          <w:ilvl w:val="2"/>
          <w:numId w:val="1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4"/>
          <w:szCs w:val="14"/>
          <w:color w:val="auto"/>
        </w:rPr>
      </w:pPr>
    </w:p>
    <w:p>
      <w:pPr>
        <w:ind w:left="780" w:hanging="257"/>
        <w:spacing w:after="0"/>
        <w:tabs>
          <w:tab w:leader="none" w:pos="780" w:val="left"/>
        </w:tabs>
        <w:numPr>
          <w:ilvl w:val="2"/>
          <w:numId w:val="1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/s/CHASE STOBBE</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Chase Stobbe, Vice President - Chief Accounting Officer</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(Principal Accounting Officer)</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Date: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274560"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74560" cy="1397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143510</wp:posOffset>
            </wp:positionH>
            <wp:positionV relativeFrom="page">
              <wp:posOffset>389890</wp:posOffset>
            </wp:positionV>
            <wp:extent cx="7274560"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74560" cy="13970"/>
                    </a:xfrm>
                    <a:prstGeom prst="rect">
                      <a:avLst/>
                    </a:prstGeom>
                    <a:noFill/>
                  </pic:spPr>
                </pic:pic>
              </a:graphicData>
            </a:graphic>
          </wp:anchor>
        </w:drawing>
        <w:t>EXHIBIT 32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Written Statement of Chief Executive Officer and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74" w:lineRule="exact"/>
        <w:rPr>
          <w:sz w:val="20"/>
          <w:szCs w:val="20"/>
          <w:color w:val="auto"/>
        </w:rPr>
      </w:pPr>
    </w:p>
    <w:p>
      <w:pPr>
        <w:ind w:right="540" w:firstLine="517"/>
        <w:spacing w:after="0" w:line="288" w:lineRule="auto"/>
        <w:rPr>
          <w:sz w:val="20"/>
          <w:szCs w:val="20"/>
          <w:color w:val="auto"/>
        </w:rPr>
      </w:pPr>
      <w:r>
        <w:rPr>
          <w:rFonts w:ascii="Arial" w:cs="Arial" w:eastAsia="Arial" w:hAnsi="Arial"/>
          <w:sz w:val="14"/>
          <w:szCs w:val="14"/>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31" w:lineRule="exact"/>
        <w:rPr>
          <w:sz w:val="20"/>
          <w:szCs w:val="20"/>
          <w:color w:val="auto"/>
        </w:rPr>
      </w:pPr>
    </w:p>
    <w:p>
      <w:pPr>
        <w:ind w:right="340" w:firstLine="523"/>
        <w:spacing w:after="0" w:line="288" w:lineRule="auto"/>
        <w:tabs>
          <w:tab w:leader="none" w:pos="1041"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three months ended September 30, 2019 filed on the date hereof with the Securities and Exchange Commission (the “Report”) fully complies with the requirements of Section 13(a) or 15(d) of the Securities Exchange Act of 1934; and</w:t>
      </w:r>
    </w:p>
    <w:p>
      <w:pPr>
        <w:spacing w:after="0" w:line="130" w:lineRule="exact"/>
        <w:rPr>
          <w:rFonts w:ascii="Arial" w:cs="Arial" w:eastAsia="Arial" w:hAnsi="Arial"/>
          <w:sz w:val="14"/>
          <w:szCs w:val="14"/>
          <w:color w:val="auto"/>
        </w:rPr>
      </w:pPr>
    </w:p>
    <w:p>
      <w:pPr>
        <w:ind w:left="1060" w:hanging="537"/>
        <w:spacing w:after="0"/>
        <w:tabs>
          <w:tab w:leader="none" w:pos="10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Information contained in the Report fairly presents, in all material respects, the financial condition and result of operations of the Company.</w:t>
      </w:r>
    </w:p>
    <w:p>
      <w:pPr>
        <w:spacing w:after="0" w:line="313" w:lineRule="exact"/>
        <w:rPr>
          <w:sz w:val="20"/>
          <w:szCs w:val="20"/>
          <w:color w:val="auto"/>
        </w:rPr>
      </w:pPr>
    </w:p>
    <w:p>
      <w:pPr>
        <w:ind w:left="6900"/>
        <w:spacing w:after="0"/>
        <w:rPr>
          <w:sz w:val="20"/>
          <w:szCs w:val="20"/>
          <w:color w:val="auto"/>
        </w:rPr>
      </w:pPr>
      <w:r>
        <w:rPr>
          <w:rFonts w:ascii="Arial" w:cs="Arial" w:eastAsia="Arial" w:hAnsi="Arial"/>
          <w:sz w:val="14"/>
          <w:szCs w:val="14"/>
          <w:u w:val="single" w:color="auto"/>
          <w:color w:val="auto"/>
        </w:rPr>
        <w:t>/S/CHRISTOPHER E. FRENCH</w:t>
      </w:r>
    </w:p>
    <w:p>
      <w:pPr>
        <w:spacing w:after="0" w:line="55"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Christopher E. French</w:t>
      </w:r>
    </w:p>
    <w:p>
      <w:pPr>
        <w:spacing w:after="0" w:line="55"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President and Chief Executive Officer</w:t>
      </w:r>
    </w:p>
    <w:p>
      <w:pPr>
        <w:spacing w:after="0" w:line="55"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October 31, 2019</w:t>
      </w:r>
    </w:p>
    <w:p>
      <w:pPr>
        <w:spacing w:after="0" w:line="270" w:lineRule="exact"/>
        <w:rPr>
          <w:sz w:val="20"/>
          <w:szCs w:val="20"/>
          <w:color w:val="auto"/>
        </w:rPr>
      </w:pPr>
    </w:p>
    <w:p>
      <w:pPr>
        <w:ind w:left="6900"/>
        <w:spacing w:after="0"/>
        <w:rPr>
          <w:sz w:val="20"/>
          <w:szCs w:val="20"/>
          <w:color w:val="auto"/>
        </w:rPr>
      </w:pPr>
      <w:r>
        <w:rPr>
          <w:rFonts w:ascii="Arial" w:cs="Arial" w:eastAsia="Arial" w:hAnsi="Arial"/>
          <w:sz w:val="14"/>
          <w:szCs w:val="14"/>
          <w:u w:val="single" w:color="auto"/>
          <w:color w:val="auto"/>
        </w:rPr>
        <w:t>/S/JAMES J. VOLK</w:t>
      </w:r>
    </w:p>
    <w:p>
      <w:pPr>
        <w:spacing w:after="0" w:line="55"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James J. Volk</w:t>
      </w:r>
    </w:p>
    <w:p>
      <w:pPr>
        <w:spacing w:after="0" w:line="55"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Senior Vice President - Chief Financial Officer</w:t>
      </w:r>
    </w:p>
    <w:p>
      <w:pPr>
        <w:spacing w:after="0" w:line="21"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(Principal Financial Officer)</w:t>
      </w:r>
    </w:p>
    <w:p>
      <w:pPr>
        <w:spacing w:after="0" w:line="45"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October 31, 2019</w:t>
      </w:r>
    </w:p>
    <w:p>
      <w:pPr>
        <w:spacing w:after="0" w:line="205"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318135</wp:posOffset>
            </wp:positionV>
            <wp:extent cx="7274560"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74560" cy="13970"/>
                    </a:xfrm>
                    <a:prstGeom prst="rect">
                      <a:avLst/>
                    </a:prstGeom>
                    <a:noFill/>
                  </pic:spPr>
                </pic:pic>
              </a:graphicData>
            </a:graphic>
          </wp:anchor>
        </w:drawing>
      </w:r>
    </w:p>
    <w:sectPr>
      <w:pgSz w:w="11900" w:h="16838" w:orient="portrait"/>
      <w:cols w:equalWidth="0" w:num="1">
        <w:col w:w="11460"/>
      </w:cols>
      <w:pgMar w:left="220" w:top="7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10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0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7">
    <w:nsid w:val="3F2DBA3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16" Type="http://schemas.openxmlformats.org/officeDocument/2006/relationships/hyperlink" Target="http://www.sec.gov/Archives/edgar/data/354963/000117184319001463/exh_31.htm" TargetMode="External"/><Relationship Id="rId17" Type="http://schemas.openxmlformats.org/officeDocument/2006/relationships/hyperlink" Target="http://www.sec.gov/Archives/edgar/data/354963/000117184319006959/exh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2019-12-28T03:48:01Z</dcterms:created>
  <dcterms:modified xsi:type="dcterms:W3CDTF">2019-12-28T03:48:01Z</dcterms:modified>
</cp:coreProperties>
</file>