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8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quarterly period ended  September 30, 2020</w:t>
      </w:r>
    </w:p>
    <w:p>
      <w:pPr>
        <w:spacing w:after="0" w:line="171"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8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from__________ to __________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3136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136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SHENANDOAH TELECOMMUNICATIONS COMPANY</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1" w:right="339" w:bottom="1440" w:gutter="0" w:footer="0" w:header="0"/>
        </w:sectPr>
      </w:pPr>
    </w:p>
    <w:p>
      <w:pPr>
        <w:spacing w:after="0" w:line="107"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54-1162807</w:t>
      </w:r>
    </w:p>
    <w:p>
      <w:pPr>
        <w:spacing w:after="0" w:line="43" w:lineRule="exact"/>
        <w:rPr>
          <w:sz w:val="24"/>
          <w:szCs w:val="24"/>
          <w:color w:val="auto"/>
        </w:rPr>
      </w:pPr>
    </w:p>
    <w:p>
      <w:pPr>
        <w:sectPr>
          <w:pgSz w:w="11900" w:h="16838" w:orient="portrait"/>
          <w:cols w:equalWidth="0" w:num="2">
            <w:col w:w="7380" w:space="720"/>
            <w:col w:w="3140"/>
          </w:cols>
          <w:pgMar w:left="320" w:top="751"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00" w:space="720"/>
            <w:col w:w="4020"/>
          </w:cols>
          <w:pgMar w:left="320" w:top="751" w:right="339" w:bottom="1440" w:gutter="0" w:footer="0" w:header="0"/>
          <w:type w:val="continuous"/>
        </w:sectPr>
      </w:pP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500 Shentel Way, Edinburg, Virginia  22824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(540) 984-4141</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83185</wp:posOffset>
            </wp:positionV>
            <wp:extent cx="1337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34" w:lineRule="exact"/>
        <w:rPr>
          <w:sz w:val="24"/>
          <w:szCs w:val="24"/>
          <w:color w:val="auto"/>
        </w:rPr>
      </w:pPr>
    </w:p>
    <w:tbl>
      <w:tblPr>
        <w:tblLayout w:type="fixed"/>
        <w:tblInd w:w="56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84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11"/>
        </w:trPr>
        <w:tc>
          <w:tcPr>
            <w:tcW w:w="218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6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w w:val="98"/>
              </w:rPr>
              <w:t>SHEN</w:t>
            </w:r>
          </w:p>
        </w:tc>
        <w:tc>
          <w:tcPr>
            <w:tcW w:w="2760" w:type="dxa"/>
            <w:vAlign w:val="bottom"/>
          </w:tcPr>
          <w:p>
            <w:pPr>
              <w:jc w:val="center"/>
              <w:ind w:left="8"/>
              <w:spacing w:after="0"/>
              <w:rPr>
                <w:sz w:val="20"/>
                <w:szCs w:val="20"/>
                <w:color w:val="auto"/>
              </w:rPr>
            </w:pPr>
            <w:r>
              <w:rPr>
                <w:rFonts w:ascii="Arial" w:cs="Arial" w:eastAsia="Arial" w:hAnsi="Arial"/>
                <w:sz w:val="14"/>
                <w:szCs w:val="14"/>
                <w:color w:val="auto"/>
              </w:rPr>
              <w:t xml:space="preserve">NASDAQ </w:t>
            </w:r>
            <w:r>
              <w:rPr>
                <w:rFonts w:ascii="Times New Roman" w:cs="Times New Roman" w:eastAsia="Times New Roman" w:hAnsi="Times New Roman"/>
                <w:sz w:val="14"/>
                <w:szCs w:val="14"/>
                <w:color w:val="auto"/>
              </w:rPr>
              <w:t>Global Select Market</w:t>
            </w:r>
          </w:p>
        </w:tc>
        <w:tc>
          <w:tcPr>
            <w:tcW w:w="40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49,852,361</w:t>
            </w:r>
          </w:p>
        </w:tc>
        <w:tc>
          <w:tcPr>
            <w:tcW w:w="0" w:type="dxa"/>
            <w:vAlign w:val="bottom"/>
          </w:tcPr>
          <w:p>
            <w:pPr>
              <w:spacing w:after="0"/>
              <w:rPr>
                <w:sz w:val="1"/>
                <w:szCs w:val="1"/>
                <w:color w:val="auto"/>
              </w:rPr>
            </w:pPr>
          </w:p>
        </w:tc>
      </w:tr>
      <w:tr>
        <w:trPr>
          <w:trHeight w:val="144"/>
        </w:trPr>
        <w:tc>
          <w:tcPr>
            <w:tcW w:w="2180" w:type="dxa"/>
            <w:vAlign w:val="bottom"/>
            <w:vMerge w:val="restart"/>
          </w:tcPr>
          <w:p>
            <w:pPr>
              <w:jc w:val="center"/>
              <w:ind w:right="328"/>
              <w:spacing w:after="0"/>
              <w:rPr>
                <w:sz w:val="20"/>
                <w:szCs w:val="20"/>
                <w:color w:val="auto"/>
              </w:rPr>
            </w:pPr>
            <w:r>
              <w:rPr>
                <w:rFonts w:ascii="Times New Roman" w:cs="Times New Roman" w:eastAsia="Times New Roman" w:hAnsi="Times New Roman"/>
                <w:sz w:val="14"/>
                <w:szCs w:val="14"/>
                <w:color w:val="auto"/>
              </w:rPr>
              <w:t>(Title of Class)</w:t>
            </w:r>
          </w:p>
        </w:tc>
        <w:tc>
          <w:tcPr>
            <w:tcW w:w="162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rPr>
              <w:t>(Trading Symbol)</w:t>
            </w:r>
          </w:p>
        </w:tc>
        <w:tc>
          <w:tcPr>
            <w:tcW w:w="27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060" w:type="dxa"/>
            <w:vAlign w:val="bottom"/>
          </w:tcPr>
          <w:p>
            <w:pPr>
              <w:jc w:val="center"/>
              <w:ind w:left="68"/>
              <w:spacing w:after="0" w:line="145"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w:t>
            </w:r>
          </w:p>
        </w:tc>
        <w:tc>
          <w:tcPr>
            <w:tcW w:w="0" w:type="dxa"/>
            <w:vAlign w:val="bottom"/>
          </w:tcPr>
          <w:p>
            <w:pPr>
              <w:spacing w:after="0"/>
              <w:rPr>
                <w:sz w:val="1"/>
                <w:szCs w:val="1"/>
                <w:color w:val="auto"/>
              </w:rPr>
            </w:pPr>
          </w:p>
        </w:tc>
      </w:tr>
      <w:tr>
        <w:trPr>
          <w:trHeight w:val="112"/>
        </w:trPr>
        <w:tc>
          <w:tcPr>
            <w:tcW w:w="21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40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on November 02, 2020)</w:t>
            </w: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4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p>
      <w:pPr>
        <w:ind w:left="20"/>
        <w:spacing w:after="0" w:line="181" w:lineRule="exact"/>
        <w:tabs>
          <w:tab w:leader="none" w:pos="1660" w:val="left"/>
          <w:tab w:leader="none" w:pos="2040" w:val="left"/>
          <w:tab w:leader="none" w:pos="3320" w:val="left"/>
          <w:tab w:leader="none" w:pos="3700" w:val="left"/>
          <w:tab w:leader="none" w:pos="5280" w:val="left"/>
          <w:tab w:leader="none" w:pos="5660" w:val="left"/>
          <w:tab w:leader="none" w:pos="7640" w:val="left"/>
          <w:tab w:leader="none" w:pos="8040" w:val="left"/>
          <w:tab w:leader="none" w:pos="100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type w:val="continuous"/>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INDEX</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1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81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FINANCIAL INFORMATION</w:t>
            </w:r>
          </w:p>
        </w:tc>
        <w:tc>
          <w:tcPr>
            <w:tcW w:w="212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9"/>
              </w:rPr>
              <w:t>Numbers</w:t>
            </w:r>
          </w:p>
        </w:tc>
        <w:tc>
          <w:tcPr>
            <w:tcW w:w="0" w:type="dxa"/>
            <w:vAlign w:val="bottom"/>
          </w:tcPr>
          <w:p>
            <w:pPr>
              <w:spacing w:after="0"/>
              <w:rPr>
                <w:sz w:val="1"/>
                <w:szCs w:val="1"/>
                <w:color w:val="auto"/>
              </w:rPr>
            </w:pPr>
          </w:p>
        </w:tc>
      </w:tr>
      <w:tr>
        <w:trPr>
          <w:trHeight w:val="225"/>
        </w:trPr>
        <w:tc>
          <w:tcPr>
            <w:tcW w:w="800" w:type="dxa"/>
            <w:vAlign w:val="bottom"/>
            <w:vMerge w:val="continue"/>
          </w:tcPr>
          <w:p>
            <w:pPr>
              <w:spacing w:after="0"/>
              <w:rPr>
                <w:sz w:val="19"/>
                <w:szCs w:val="19"/>
                <w:color w:val="auto"/>
              </w:rPr>
            </w:pPr>
          </w:p>
        </w:tc>
        <w:tc>
          <w:tcPr>
            <w:tcW w:w="810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Unaudited Condensed Consolidated Balance Sheets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Unaudited Condensed Consolidated Statements of Comprehensive Income</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Unaudited Condensed Consolidated Statements of Shareholders’ Equity</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Unaudited Condensed Consolidated Statements of Cash Flows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Notes to Unaudited Condensed Consolidated Financial Statements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20">
              <w:r>
                <w:rPr>
                  <w:rFonts w:ascii="Times New Roman" w:cs="Times New Roman" w:eastAsia="Times New Roman" w:hAnsi="Times New Roman"/>
                  <w:sz w:val="18"/>
                  <w:szCs w:val="18"/>
                  <w:u w:val="single" w:color="auto"/>
                  <w:color w:val="0000FF"/>
                  <w:w w:val="99"/>
                </w:rPr>
                <w:t>21</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Quantitative and Qualitative Disclosures about Market Risk</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30">
              <w:r>
                <w:rPr>
                  <w:rFonts w:ascii="Times New Roman" w:cs="Times New Roman" w:eastAsia="Times New Roman" w:hAnsi="Times New Roman"/>
                  <w:sz w:val="18"/>
                  <w:szCs w:val="18"/>
                  <w:u w:val="single" w:color="auto"/>
                  <w:color w:val="0000FF"/>
                  <w:w w:val="99"/>
                </w:rPr>
                <w:t>30</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Controls and Procedures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30">
              <w:r>
                <w:rPr>
                  <w:rFonts w:ascii="Times New Roman" w:cs="Times New Roman" w:eastAsia="Times New Roman" w:hAnsi="Times New Roman"/>
                  <w:sz w:val="18"/>
                  <w:szCs w:val="18"/>
                  <w:u w:val="single" w:color="auto"/>
                  <w:color w:val="0000FF"/>
                  <w:w w:val="99"/>
                </w:rPr>
                <w:t>30</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Risk Factors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31">
              <w:r>
                <w:rPr>
                  <w:rFonts w:ascii="Times New Roman" w:cs="Times New Roman" w:eastAsia="Times New Roman" w:hAnsi="Times New Roman"/>
                  <w:sz w:val="18"/>
                  <w:szCs w:val="18"/>
                  <w:u w:val="single" w:color="auto"/>
                  <w:color w:val="0000FF"/>
                  <w:w w:val="99"/>
                </w:rPr>
                <w:t>31</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Unregistered Sales of Equity Securities and Use of Proceeds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32">
              <w:r>
                <w:rPr>
                  <w:rFonts w:ascii="Times New Roman" w:cs="Times New Roman" w:eastAsia="Times New Roman" w:hAnsi="Times New Roman"/>
                  <w:sz w:val="18"/>
                  <w:szCs w:val="18"/>
                  <w:u w:val="single" w:color="auto"/>
                  <w:color w:val="0000FF"/>
                  <w:w w:val="99"/>
                </w:rPr>
                <w:t>32</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Exhibits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32">
              <w:r>
                <w:rPr>
                  <w:rFonts w:ascii="Times New Roman" w:cs="Times New Roman" w:eastAsia="Times New Roman" w:hAnsi="Times New Roman"/>
                  <w:sz w:val="18"/>
                  <w:szCs w:val="18"/>
                  <w:u w:val="single" w:color="auto"/>
                  <w:color w:val="0000FF"/>
                  <w:w w:val="99"/>
                </w:rPr>
                <w:t>33</w:t>
              </w:r>
            </w:hyperlink>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8100" w:type="dxa"/>
            <w:vAlign w:val="bottom"/>
          </w:tcPr>
          <w:p>
            <w:pPr>
              <w:ind w:left="16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Signatures</w:t>
              </w:r>
            </w:hyperlink>
          </w:p>
        </w:tc>
        <w:tc>
          <w:tcPr>
            <w:tcW w:w="2120" w:type="dxa"/>
            <w:vAlign w:val="bottom"/>
          </w:tcPr>
          <w:p>
            <w:pPr>
              <w:jc w:val="center"/>
              <w:ind w:left="1370"/>
              <w:spacing w:after="0"/>
              <w:rPr>
                <w:rFonts w:ascii="Times New Roman" w:cs="Times New Roman" w:eastAsia="Times New Roman" w:hAnsi="Times New Roman"/>
                <w:sz w:val="18"/>
                <w:szCs w:val="18"/>
                <w:u w:val="single" w:color="auto"/>
                <w:color w:val="0000FF"/>
                <w:w w:val="99"/>
              </w:rPr>
            </w:pPr>
            <w:hyperlink w:anchor="page33">
              <w:r>
                <w:rPr>
                  <w:rFonts w:ascii="Times New Roman" w:cs="Times New Roman" w:eastAsia="Times New Roman" w:hAnsi="Times New Roman"/>
                  <w:sz w:val="18"/>
                  <w:szCs w:val="18"/>
                  <w:u w:val="single" w:color="auto"/>
                  <w:color w:val="0000FF"/>
                  <w:w w:val="99"/>
                </w:rPr>
                <w:t>34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40" w:top="1134" w:right="539" w:bottom="1440" w:gutter="0" w:footer="0" w:header="0"/>
        </w:sectPr>
      </w:pPr>
    </w:p>
    <w:bookmarkStart w:id="2" w:name="page3"/>
    <w:bookmarkEnd w:id="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9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SHENANDOAH TELECOMMUNICATIONS COMPANY AND SUBSIDIARIES UNAUDITED CONDENSED CONSOLIDATED BALANCE SHEETS </w:t>
      </w:r>
      <w:r>
        <w:rPr>
          <w:rFonts w:ascii="Times New Roman" w:cs="Times New Roman" w:eastAsia="Times New Roman" w:hAnsi="Times New Roman"/>
          <w:sz w:val="18"/>
          <w:szCs w:val="18"/>
          <w:i w:val="1"/>
          <w:iCs w:val="1"/>
          <w:color w:val="auto"/>
        </w:rPr>
        <w:t>(in thousands)</w:t>
      </w:r>
    </w:p>
    <w:tbl>
      <w:tblPr>
        <w:tblLayout w:type="fixed"/>
        <w:tblInd w:w="20" w:type="dxa"/>
        <w:tblCellMar>
          <w:top w:w="0" w:type="dxa"/>
          <w:left w:w="0" w:type="dxa"/>
          <w:bottom w:w="0" w:type="dxa"/>
          <w:right w:w="0" w:type="dxa"/>
        </w:tblCellMar>
      </w:tblPr>
      <w:tr>
        <w:trPr>
          <w:trHeight w:val="185"/>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101,651</w:t>
            </w:r>
          </w:p>
        </w:tc>
        <w:tc>
          <w:tcPr>
            <w:tcW w:w="0" w:type="dxa"/>
            <w:vAlign w:val="bottom"/>
          </w:tcPr>
          <w:p>
            <w:pPr>
              <w:spacing w:after="0"/>
              <w:rPr>
                <w:sz w:val="1"/>
                <w:szCs w:val="1"/>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$469 and $533, respectively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63,641</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0" w:type="dxa"/>
            <w:vAlign w:val="bottom"/>
          </w:tcPr>
          <w:p>
            <w:pPr>
              <w:spacing w:after="0"/>
              <w:rPr>
                <w:sz w:val="1"/>
                <w:szCs w:val="1"/>
                <w:color w:val="auto"/>
              </w:rPr>
            </w:pPr>
          </w:p>
        </w:tc>
      </w:tr>
      <w:tr>
        <w:trPr>
          <w:trHeight w:val="218"/>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241,853</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363,087</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Intangible assets, net and 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88,241</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1,141,498</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2,001,299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1,898,902</w:t>
            </w:r>
          </w:p>
        </w:tc>
        <w:tc>
          <w:tcPr>
            <w:tcW w:w="0" w:type="dxa"/>
            <w:vAlign w:val="bottom"/>
          </w:tcPr>
          <w:p>
            <w:pPr>
              <w:spacing w:after="0"/>
              <w:rPr>
                <w:sz w:val="1"/>
                <w:szCs w:val="1"/>
                <w:color w:val="auto"/>
              </w:rPr>
            </w:pPr>
          </w:p>
        </w:tc>
      </w:tr>
      <w:tr>
        <w:trPr>
          <w:trHeight w:val="21"/>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maturities of long-term debt, net of unamortized loan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40,295</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Advanced billings and customer deposits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470,943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0" w:type="dxa"/>
            <w:vAlign w:val="bottom"/>
          </w:tcPr>
          <w:p>
            <w:pPr>
              <w:spacing w:after="0"/>
              <w:rPr>
                <w:sz w:val="1"/>
                <w:szCs w:val="1"/>
                <w:color w:val="auto"/>
              </w:rPr>
            </w:pPr>
          </w:p>
        </w:tc>
      </w:tr>
      <w:tr>
        <w:trPr>
          <w:trHeight w:val="218"/>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153,577</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less current maturities, net of unamortized loan fees</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688,464</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137,567</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Benefit plan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0" w:type="dxa"/>
            <w:vAlign w:val="bottom"/>
          </w:tcPr>
          <w:p>
            <w:pPr>
              <w:spacing w:after="0"/>
              <w:rPr>
                <w:sz w:val="1"/>
                <w:szCs w:val="1"/>
                <w:color w:val="auto"/>
              </w:rPr>
            </w:pPr>
          </w:p>
        </w:tc>
      </w:tr>
      <w:tr>
        <w:trPr>
          <w:trHeight w:val="234"/>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379,036</w:t>
            </w: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221,007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584,433</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Common stock, no par value, authorized 96,000; 49,852 and 49,671 issued and outstanding at September 30, 2020 and</w:t>
            </w:r>
          </w:p>
        </w:tc>
        <w:tc>
          <w:tcPr>
            <w:tcW w:w="140" w:type="dxa"/>
            <w:vAlign w:val="bottom"/>
          </w:tcPr>
          <w:p>
            <w:pPr>
              <w:spacing w:after="0"/>
              <w:rPr>
                <w:sz w:val="15"/>
                <w:szCs w:val="15"/>
                <w:color w:val="auto"/>
              </w:rPr>
            </w:pPr>
          </w:p>
        </w:tc>
        <w:tc>
          <w:tcPr>
            <w:tcW w:w="146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2019, respectively</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430,010</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 income, net of taxes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548,182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472,428</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2,001,299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1,898,902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SHENANDOAH TELECOMMUNICATIONS COMPANY AND SUBSIDIARIES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INCOME</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gridSpan w:val="5"/>
          </w:tcPr>
          <w:p>
            <w:pPr>
              <w:ind w:left="20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right"/>
              <w:ind w:right="610"/>
              <w:spacing w:after="0" w:line="168"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 and other</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153,285</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57,600</w:t>
            </w:r>
          </w:p>
        </w:tc>
        <w:tc>
          <w:tcPr>
            <w:tcW w:w="0" w:type="dxa"/>
            <w:vAlign w:val="bottom"/>
          </w:tcPr>
          <w:p>
            <w:pPr>
              <w:spacing w:after="0"/>
              <w:rPr>
                <w:sz w:val="1"/>
                <w:szCs w:val="1"/>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36,010</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165,404</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153,437</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5"/>
        </w:trPr>
        <w:tc>
          <w:tcPr>
            <w:tcW w:w="5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18"/>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8"/>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34"/>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76,422</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0" w:type="dxa"/>
            <w:vAlign w:val="bottom"/>
          </w:tcPr>
          <w:p>
            <w:pPr>
              <w:spacing w:after="0"/>
              <w:rPr>
                <w:sz w:val="1"/>
                <w:szCs w:val="1"/>
                <w:color w:val="auto"/>
              </w:rPr>
            </w:pPr>
          </w:p>
        </w:tc>
      </w:tr>
      <w:tr>
        <w:trPr>
          <w:trHeight w:val="223"/>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77,448</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41,414</w:t>
            </w:r>
          </w:p>
        </w:tc>
        <w:tc>
          <w:tcPr>
            <w:tcW w:w="0" w:type="dxa"/>
            <w:vAlign w:val="bottom"/>
          </w:tcPr>
          <w:p>
            <w:pPr>
              <w:spacing w:after="0"/>
              <w:rPr>
                <w:sz w:val="1"/>
                <w:szCs w:val="1"/>
                <w:color w:val="auto"/>
              </w:rPr>
            </w:pPr>
          </w:p>
        </w:tc>
      </w:tr>
      <w:tr>
        <w:trPr>
          <w:trHeight w:val="2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2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income (loss) on interest rate hedge, net of tax</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0" w:type="dxa"/>
            <w:vAlign w:val="bottom"/>
          </w:tcPr>
          <w:p>
            <w:pPr>
              <w:spacing w:after="0"/>
              <w:rPr>
                <w:sz w:val="1"/>
                <w:szCs w:val="1"/>
                <w:color w:val="auto"/>
              </w:rPr>
            </w:pPr>
          </w:p>
        </w:tc>
      </w:tr>
      <w:tr>
        <w:trPr>
          <w:trHeight w:val="223"/>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0" w:type="dxa"/>
            <w:vAlign w:val="bottom"/>
          </w:tcPr>
          <w:p>
            <w:pPr>
              <w:spacing w:after="0"/>
              <w:rPr>
                <w:sz w:val="1"/>
                <w:szCs w:val="1"/>
                <w:color w:val="auto"/>
              </w:rPr>
            </w:pPr>
          </w:p>
        </w:tc>
      </w:tr>
      <w:tr>
        <w:trPr>
          <w:trHeight w:val="2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basic and diluted:</w:t>
            </w: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2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Income from continuing operations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Income from continuing operations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6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3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49,827</w:t>
            </w:r>
          </w:p>
        </w:tc>
        <w:tc>
          <w:tcPr>
            <w:tcW w:w="0" w:type="dxa"/>
            <w:vAlign w:val="bottom"/>
          </w:tcPr>
          <w:p>
            <w:pPr>
              <w:spacing w:after="0"/>
              <w:rPr>
                <w:sz w:val="1"/>
                <w:szCs w:val="1"/>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50,105</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50,110</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 w:name="page5"/>
    <w:bookmarkEnd w:id="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ind w:left="60" w:right="352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SHAREHOLDERS' EQUITY </w:t>
      </w:r>
      <w:r>
        <w:rPr>
          <w:rFonts w:ascii="Times New Roman" w:cs="Times New Roman" w:eastAsia="Times New Roman" w:hAnsi="Times New Roman"/>
          <w:sz w:val="18"/>
          <w:szCs w:val="18"/>
          <w:i w:val="1"/>
          <w:iCs w:val="1"/>
          <w:color w:val="auto"/>
        </w:rPr>
        <w:t>(in thousands)</w:t>
      </w:r>
    </w:p>
    <w:tbl>
      <w:tblPr>
        <w:tblLayout w:type="fixed"/>
        <w:tblInd w:w="60" w:type="dxa"/>
        <w:tblCellMar>
          <w:top w:w="0" w:type="dxa"/>
          <w:left w:w="0" w:type="dxa"/>
          <w:bottom w:w="0" w:type="dxa"/>
          <w:right w:w="0" w:type="dxa"/>
        </w:tblCellMar>
      </w:tblPr>
      <w:tr>
        <w:trPr>
          <w:trHeight w:val="122"/>
        </w:trPr>
        <w:tc>
          <w:tcPr>
            <w:tcW w:w="4320" w:type="dxa"/>
            <w:vAlign w:val="bottom"/>
          </w:tcPr>
          <w:p>
            <w:pPr>
              <w:spacing w:after="0"/>
              <w:rPr>
                <w:sz w:val="10"/>
                <w:szCs w:val="10"/>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Shares of Common</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Additional Paid in</w:t>
            </w: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40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(Loss)</w:t>
            </w:r>
          </w:p>
        </w:tc>
        <w:tc>
          <w:tcPr>
            <w:tcW w:w="300" w:type="dxa"/>
            <w:vAlign w:val="bottom"/>
          </w:tcPr>
          <w:p>
            <w:pPr>
              <w:spacing w:after="0"/>
              <w:rPr>
                <w:sz w:val="10"/>
                <w:szCs w:val="10"/>
                <w:color w:val="auto"/>
              </w:rPr>
            </w:pPr>
          </w:p>
        </w:tc>
        <w:tc>
          <w:tcPr>
            <w:tcW w:w="1000" w:type="dxa"/>
            <w:vAlign w:val="bottom"/>
            <w:vMerge w:val="restart"/>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 (no par value)</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2020</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44,659</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472,537</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(5,739)</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511,457</w:t>
            </w:r>
          </w:p>
        </w:tc>
        <w:tc>
          <w:tcPr>
            <w:tcW w:w="0" w:type="dxa"/>
            <w:vAlign w:val="bottom"/>
          </w:tcPr>
          <w:p>
            <w:pPr>
              <w:spacing w:after="0"/>
              <w:rPr>
                <w:sz w:val="1"/>
                <w:szCs w:val="1"/>
                <w:color w:val="auto"/>
              </w:rPr>
            </w:pPr>
          </w:p>
        </w:tc>
      </w:tr>
      <w:tr>
        <w:trPr>
          <w:trHeight w:val="188"/>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34,921</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gain,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193"/>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45,925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507,458</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548,182</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Shares of Common</w:t>
            </w:r>
          </w:p>
        </w:tc>
        <w:tc>
          <w:tcPr>
            <w:tcW w:w="100" w:type="dxa"/>
            <w:vAlign w:val="bottom"/>
          </w:tcPr>
          <w:p>
            <w:pPr>
              <w:spacing w:after="0"/>
              <w:rPr>
                <w:sz w:val="17"/>
                <w:szCs w:val="17"/>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Additional Paid in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3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0"/>
                <w:szCs w:val="10"/>
                <w:color w:val="auto"/>
              </w:rPr>
            </w:pPr>
          </w:p>
        </w:tc>
        <w:tc>
          <w:tcPr>
            <w:tcW w:w="13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300" w:type="dxa"/>
            <w:vAlign w:val="bottom"/>
          </w:tcPr>
          <w:p>
            <w:pPr>
              <w:spacing w:after="0"/>
              <w:rPr>
                <w:sz w:val="10"/>
                <w:szCs w:val="10"/>
                <w:color w:val="auto"/>
              </w:rPr>
            </w:pPr>
          </w:p>
        </w:tc>
        <w:tc>
          <w:tcPr>
            <w:tcW w:w="1000" w:type="dxa"/>
            <w:vAlign w:val="bottom"/>
            <w:vMerge w:val="restart"/>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 (no par value)</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49,671</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42,110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430,010</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472,428</w:t>
            </w:r>
          </w:p>
        </w:tc>
        <w:tc>
          <w:tcPr>
            <w:tcW w:w="0" w:type="dxa"/>
            <w:vAlign w:val="bottom"/>
          </w:tcPr>
          <w:p>
            <w:pPr>
              <w:spacing w:after="0"/>
              <w:rPr>
                <w:sz w:val="1"/>
                <w:szCs w:val="1"/>
                <w:color w:val="auto"/>
              </w:rPr>
            </w:pPr>
          </w:p>
        </w:tc>
      </w:tr>
      <w:tr>
        <w:trPr>
          <w:trHeight w:val="188"/>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77,448</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5,974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5,974</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5"/>
        </w:trPr>
        <w:tc>
          <w:tcPr>
            <w:tcW w:w="432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Shares retired for settlement of employee taxes upon issuance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180"/>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 equity awards</w:t>
            </w: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to acquire non-controlling interest in nTelos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2020</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45,925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507,458</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548,182</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Shares of Common</w:t>
            </w:r>
          </w:p>
        </w:tc>
        <w:tc>
          <w:tcPr>
            <w:tcW w:w="100" w:type="dxa"/>
            <w:vAlign w:val="bottom"/>
          </w:tcPr>
          <w:p>
            <w:pPr>
              <w:spacing w:after="0"/>
              <w:rPr>
                <w:sz w:val="17"/>
                <w:szCs w:val="17"/>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Additional Paid in</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3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0"/>
                <w:szCs w:val="10"/>
                <w:color w:val="auto"/>
              </w:rPr>
            </w:pPr>
          </w:p>
        </w:tc>
        <w:tc>
          <w:tcPr>
            <w:tcW w:w="13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300" w:type="dxa"/>
            <w:vAlign w:val="bottom"/>
          </w:tcPr>
          <w:p>
            <w:pPr>
              <w:spacing w:after="0"/>
              <w:rPr>
                <w:sz w:val="10"/>
                <w:szCs w:val="10"/>
                <w:color w:val="auto"/>
              </w:rPr>
            </w:pPr>
          </w:p>
        </w:tc>
        <w:tc>
          <w:tcPr>
            <w:tcW w:w="1000" w:type="dxa"/>
            <w:vAlign w:val="bottom"/>
            <w:vMerge w:val="restart"/>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 (no par value)</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30, 2019</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47,138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415,556</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464,034</w:t>
            </w:r>
          </w:p>
        </w:tc>
        <w:tc>
          <w:tcPr>
            <w:tcW w:w="0" w:type="dxa"/>
            <w:vAlign w:val="bottom"/>
          </w:tcPr>
          <w:p>
            <w:pPr>
              <w:spacing w:after="0"/>
              <w:rPr>
                <w:sz w:val="1"/>
                <w:szCs w:val="1"/>
                <w:color w:val="auto"/>
              </w:rPr>
            </w:pPr>
          </w:p>
        </w:tc>
      </w:tr>
      <w:tr>
        <w:trPr>
          <w:trHeight w:val="188"/>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14,354</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48,083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429,910</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477,839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Shares of Common</w:t>
            </w:r>
          </w:p>
        </w:tc>
        <w:tc>
          <w:tcPr>
            <w:tcW w:w="100" w:type="dxa"/>
            <w:vAlign w:val="bottom"/>
          </w:tcPr>
          <w:p>
            <w:pPr>
              <w:spacing w:after="0"/>
              <w:rPr>
                <w:sz w:val="20"/>
                <w:szCs w:val="20"/>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Additional Paid in</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0"/>
                <w:szCs w:val="10"/>
                <w:color w:val="auto"/>
              </w:rPr>
            </w:pPr>
          </w:p>
        </w:tc>
        <w:tc>
          <w:tcPr>
            <w:tcW w:w="13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300" w:type="dxa"/>
            <w:vAlign w:val="bottom"/>
          </w:tcPr>
          <w:p>
            <w:pPr>
              <w:spacing w:after="0"/>
              <w:rPr>
                <w:sz w:val="10"/>
                <w:szCs w:val="10"/>
                <w:color w:val="auto"/>
              </w:rPr>
            </w:pPr>
          </w:p>
        </w:tc>
        <w:tc>
          <w:tcPr>
            <w:tcW w:w="1000" w:type="dxa"/>
            <w:vAlign w:val="bottom"/>
            <w:vMerge w:val="restart"/>
          </w:tcPr>
          <w:p>
            <w:pPr>
              <w:jc w:val="right"/>
              <w:ind w:right="4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 (no par value)</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47,456</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388,496</w:t>
            </w:r>
          </w:p>
        </w:tc>
        <w:tc>
          <w:tcPr>
            <w:tcW w:w="1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8,280</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444,232</w:t>
            </w:r>
          </w:p>
        </w:tc>
        <w:tc>
          <w:tcPr>
            <w:tcW w:w="0" w:type="dxa"/>
            <w:vAlign w:val="bottom"/>
          </w:tcPr>
          <w:p>
            <w:pPr>
              <w:spacing w:after="0"/>
              <w:rPr>
                <w:sz w:val="1"/>
                <w:szCs w:val="1"/>
                <w:color w:val="auto"/>
              </w:rPr>
            </w:pPr>
          </w:p>
        </w:tc>
      </w:tr>
      <w:tr>
        <w:trPr>
          <w:trHeight w:val="188"/>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41,414</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(8,434)</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3,433</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9"/>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5"/>
        </w:trPr>
        <w:tc>
          <w:tcPr>
            <w:tcW w:w="432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Shares retired for settlement of employee taxes upon issuance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0" w:type="dxa"/>
            <w:vAlign w:val="bottom"/>
          </w:tcPr>
          <w:p>
            <w:pPr>
              <w:spacing w:after="0"/>
              <w:rPr>
                <w:sz w:val="1"/>
                <w:szCs w:val="1"/>
                <w:color w:val="auto"/>
              </w:rPr>
            </w:pPr>
          </w:p>
        </w:tc>
      </w:tr>
      <w:tr>
        <w:trPr>
          <w:trHeight w:val="180"/>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 equity awards</w:t>
            </w: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to acquire non-controlling interest in nTelos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49,857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48,083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429,910</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477,839</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right="530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SHENANDOAH TELECOMMUNICATIONS COMPANY AND SUBSIDIARIES UNAUDITED CONDENSED CONSOLIDATED STATEMENTS OF CASH FLOWS </w:t>
      </w:r>
      <w:r>
        <w:rPr>
          <w:rFonts w:ascii="Times New Roman" w:cs="Times New Roman" w:eastAsia="Times New Roman" w:hAnsi="Times New Roman"/>
          <w:sz w:val="16"/>
          <w:szCs w:val="16"/>
          <w:i w:val="1"/>
          <w:iCs w:val="1"/>
          <w:color w:val="auto"/>
        </w:rPr>
        <w:t>(in thousands)</w:t>
      </w:r>
    </w:p>
    <w:p>
      <w:pPr>
        <w:ind w:left="92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ind w:left="9280"/>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3"/>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77,448</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41,414</w:t>
            </w:r>
          </w:p>
        </w:tc>
      </w:tr>
      <w:tr>
        <w:trPr>
          <w:trHeight w:val="235"/>
        </w:trPr>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operations of discontinued operations, net of tax</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38,130</w:t>
            </w:r>
          </w:p>
        </w:tc>
      </w:tr>
      <w:tr>
        <w:trPr>
          <w:trHeight w:val="209"/>
        </w:trPr>
        <w:tc>
          <w:tcPr>
            <w:tcW w:w="8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w:t>
            </w:r>
          </w:p>
        </w:tc>
      </w:tr>
      <w:tr>
        <w:trPr>
          <w:trHeight w:val="210"/>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33,500</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asset retirement obligations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Bad debt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 expense, net of amount capitalized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from patronage and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w:t>
            </w:r>
          </w:p>
        </w:tc>
      </w:tr>
      <w:tr>
        <w:trPr>
          <w:trHeight w:val="210"/>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44,800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31,483</w:t>
            </w:r>
          </w:p>
        </w:tc>
      </w:tr>
      <w:tr>
        <w:trPr>
          <w:trHeight w:val="209"/>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182,499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161,976</w:t>
            </w:r>
          </w:p>
        </w:tc>
      </w:tr>
      <w:tr>
        <w:trPr>
          <w:trHeight w:val="210"/>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227,299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193,459</w:t>
            </w: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(48,826)</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disbursed for acquisitions</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disbursed for deposit on FCC spectrum leases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(16,742)</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(75,468)</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discontinued operations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(58,156)</w:t>
            </w:r>
          </w:p>
        </w:tc>
      </w:tr>
      <w:tr>
        <w:trPr>
          <w:trHeight w:val="210"/>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(116,400)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(133,624)</w:t>
            </w:r>
          </w:p>
        </w:tc>
      </w:tr>
      <w:tr>
        <w:trPr>
          <w:trHeight w:val="290"/>
        </w:trPr>
        <w:tc>
          <w:tcPr>
            <w:tcW w:w="8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used in financing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w:t>
            </w:r>
          </w:p>
        </w:tc>
      </w:tr>
      <w:tr>
        <w:trPr>
          <w:trHeight w:val="216"/>
        </w:trPr>
        <w:tc>
          <w:tcPr>
            <w:tcW w:w="8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discontinued operations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(44,666)</w:t>
            </w:r>
          </w:p>
        </w:tc>
      </w:tr>
      <w:tr>
        <w:trPr>
          <w:trHeight w:val="210"/>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(47,506)</w:t>
            </w:r>
          </w:p>
        </w:tc>
      </w:tr>
      <w:tr>
        <w:trPr>
          <w:trHeight w:val="210"/>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r>
      <w:tr>
        <w:trPr>
          <w:trHeight w:val="216"/>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101,651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85,086</w:t>
            </w:r>
          </w:p>
        </w:tc>
      </w:tr>
      <w:tr>
        <w:trPr>
          <w:trHeight w:val="213"/>
        </w:trPr>
        <w:tc>
          <w:tcPr>
            <w:tcW w:w="87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184,050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97,415</w:t>
            </w:r>
          </w:p>
        </w:tc>
      </w:tr>
      <w:tr>
        <w:trPr>
          <w:trHeight w:val="23"/>
        </w:trPr>
        <w:tc>
          <w:tcPr>
            <w:tcW w:w="8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Other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 w:cs="Times New Roman" w:eastAsia="Times New Roman" w:hAnsi="Times New Roman"/>
          <w:sz w:val="18"/>
          <w:szCs w:val="18"/>
          <w:color w:val="000000"/>
        </w:rPr>
        <w:t>year ended December 31, 2019.</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preparation of the unaudited interim consolidated financial statements requires management of the Company to make estimates and assumptions that affect the reported amounts of assets, liabilities, revenues and expenses and the disclosure of contingencies at the date of the unaudited interim condensed consolidated financial statements. These estimates are inherently subject to judgment and actual results could differ.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Revision of Prior Period Financial Statements</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our unaudited condensed consolidated financial statements for the three months ended March 31, 2020, we determined that certain errors existed in our previously issued financial statements. Specifically:</w:t>
      </w:r>
    </w:p>
    <w:p>
      <w:pPr>
        <w:spacing w:after="0" w:line="54" w:lineRule="exact"/>
        <w:rPr>
          <w:sz w:val="20"/>
          <w:szCs w:val="20"/>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and other assets, a component of current assets held for sale, as of December 31, 2019, were understated by $2.7 million, deferred tax liabilities were understated by $0.7 million, and retained earnings were understated by $2.0 million as the result of a failure to properly account for handsets that were utilized as demo phones in certain wireless retail stores within our area of operation. All of the impact to retained earnings is attributable to 2017 and prior years.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net, classified as held for sale, and deferred income tax liabilities, as of December 31, 2019 were understated by $1.4 million and $0.4 million, respectively. Depreciation, contained within discontinued operations, was overstated by $1.4 million for the year and quarter ended December 31, 2019. Income tax expense and net income were understated by $0.4 million and $1.0 million, respectively, for the year and quarter ended December 31, 2019.</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evaluated these errors under the U.S. Securities and Exchange Commission's ("SEC's") authoritative guidance on materiality and the quantification of the effect of prior period misstatements on financial statements, and we have determined that the impact of these errors on our prior period consolidated financial statements is immaterial. However, since the correction of these errors in the first quarter of 2020 could have become material to our results of operations for the year ending December 31, 2020, we revised our prior period financial statements to correct these errors herein. For the year and quarter ended December 31, 2019, the correction of these errors resulted in a $0.02 increase in both basic and diluted earnings per share from discontinued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Principles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2019 Annual Report on Form 10-K, that would be expected to impact the Company except for the following:</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ASU No. 2016-13, </w:t>
      </w:r>
      <w:r>
        <w:rPr>
          <w:rFonts w:ascii="Times New Roman" w:cs="Times New Roman" w:eastAsia="Times New Roman" w:hAnsi="Times New Roman"/>
          <w:sz w:val="18"/>
          <w:szCs w:val="18"/>
          <w:i w:val="1"/>
          <w:iCs w:val="1"/>
          <w:color w:val="auto"/>
        </w:rPr>
        <w:t>Financial Instruments - Credit Losses ("ASC 326"): Measurement of Credit Losses on Financial Instruments</w:t>
      </w:r>
      <w:r>
        <w:rPr>
          <w:rFonts w:ascii="Times New Roman" w:cs="Times New Roman" w:eastAsia="Times New Roman" w:hAnsi="Times New Roman"/>
          <w:sz w:val="18"/>
          <w:szCs w:val="18"/>
          <w:color w:val="auto"/>
        </w:rPr>
        <w:t>, as of January 1, 2020 using the modified retrospective transition method. ASC 326 requires the application of a current expected credit loss (“CECL”) impairment model to financial assets measured at amortized cost including trade accounts receivable, net investments in leases, and certain off-balance-sheet credit exposures. Under the CECL model, lifetime expected credit losses on such financial assets are measured and recognized at each reporting date based on historical, current, and forecasted information. Furthermore, the CECL model requires financial assets with similar risk characteristics to be analyzed on a collective basis. There was no significant impact to unaudited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ASU No. 2018-15, </w:t>
      </w:r>
      <w:r>
        <w:rPr>
          <w:rFonts w:ascii="Times New Roman" w:cs="Times New Roman" w:eastAsia="Times New Roman" w:hAnsi="Times New Roman"/>
          <w:sz w:val="18"/>
          <w:szCs w:val="18"/>
          <w:i w:val="1"/>
          <w:iCs w:val="1"/>
          <w:color w:val="auto"/>
        </w:rPr>
        <w:t>Intangibles - Goodwill and Other - Internal-Use Software ("ASC 350"):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as of January 1, 2020. ASC 350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Upon adoption of the standard, implementation costs were capitalized in the period incurred and will be amortized over the term of the hosting arrangement. There was no significant impact to unaudited condensed consolidated financial statements upon adoption.</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accounting update provides optional accounting relief to entities with contracts, hedge accounting relationships or other transactions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London Interbank Offering Rate (LIBOR) or other interest rate benchmarks for which the referenced rate is expected to be discontinued or replaced. This optional relief generally allows for contract modifications solely related to the replacement of the reference rate to be accounted for as a continuation of the existing contract instead of as an extinguishment of the contract, and therefore would not require reassessment of a previous accounting determination. The Company's Credit Agreement and interest rate swaps have LIBOR as a reference rate. We plan to apply the accounting relief as relevant contract modifications are made to our Credit Agreement and interest rate swap contracts during the course of the reference rate reform transition period. The optional relief can be applied beginning January 1, 2020, and ending December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August 26, 2020, Sprint Corporation (“Sprint”), an indirect subsidiary of T-Mobile US, Inc., on behalf of and as the direct or indirect owner of Sprint PCS, delivered notice to the Company exercising its option to purchase the assets and operations of our Wireless segment for 90% of the “Entire Business Value” (as defined under our affiliate agreement with Sprint PCS and determined pursuant to the appraisal process set forth therein). Shortly thereafter, the Company committed to a plan to sell the Wireless operations in a manner pursuant to the affiliate agreement’s terms. Our affiliate agreement provides a process and timeline for the sale that is expected to close within one year at a price to be determined through the appraisal process outlined in the affiliate agreement. Under the affiliate agreement, the appraised value should reflect the fair market value that a willing buyer would pay a willing seller for the entire on-going business in a change of control transaction.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On November 3, 2020, the parties aligned in principle on certain elements of the appraisal and sale process. Under the agreement in principle, the appraised valuation will be performed as of July 1, 2020. The appraisal will also value Shentel’s discontinued wireless operations as though Shentel were still an affiliate of Sprint with access to its brands and spectrum, without any regard to T-Mobile’s acquisition of Sprint or its subsequent integration efforts. It is currently expected that the appraisers will complete their assessment of the Entire Business Value on or about January 20, 2021. The transaction is expected to close in the second quarter of 2021, subject to receipt of customary regulatory approvals.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The assets and liabilities that are expected to transfer in the sale are presented as held for sale within our Unaudited Condensed Consolidated Balance Sheets. Under the affiliate agreement, the sale is to be structured as an asset sale for income tax purposes. As a result, no current or deferred tax assets or liabilities are included within the disposal group. While our long-term debt does not transfer in the sale, its provisions require us to repay all of the debt upon consummation of the sale. Our debt is therefore presented outside of the disposal group as a current liability at September 30, 2020. Our related swap liabilities are also presented outside of the disposal group as a current liability at September 30, 2020 because management intends to settle it at consummation.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expected divestiture of our Wireless operations represents a strategic shift in the Company’s business and qualifies as a discontinued operation. As a result, the operating results and cash flows related to the Wireless segment have been reflected as discontinued operations in our Unaudited Condensed Consolidated Statements of Comprehensive Income and the Unaudited Condensed Consolidated Statements of Cash Flows. Similarly, the results of our Wireless operations are no longer presented as a reporting segment. Because repayment of the debt is contractually triggered by the sale, the related interest expense is presented within discontinued operations under the relevant authoritative guidance. Consistent with the internal reporting provided to our chief operating decision maker, we previously allocated certain corporate management overhead costs to the former Wireless segment which may no longer be allocated to discontinued operations under the relevant authoritative guidance. Accordingly, we have elected to recast our segment reporting footnote to reflect the reattribution of these expenses in all presented periods in a manner that is also consistent with our updated internal reporting.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which are classified as held for sale in the unaudited condensed consolidated balance sheets, are as follows:</w:t>
      </w:r>
    </w:p>
    <w:tbl>
      <w:tblPr>
        <w:tblLayout w:type="fixed"/>
        <w:tblInd w:w="20" w:type="dxa"/>
        <w:tblCellMar>
          <w:top w:w="0" w:type="dxa"/>
          <w:left w:w="0" w:type="dxa"/>
          <w:bottom w:w="0" w:type="dxa"/>
          <w:right w:w="0" w:type="dxa"/>
        </w:tblCellMar>
      </w:tblPr>
      <w:tr>
        <w:trPr>
          <w:trHeight w:val="185"/>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6"/>
                <w:szCs w:val="16"/>
                <w:color w:val="auto"/>
              </w:rPr>
            </w:pPr>
          </w:p>
        </w:tc>
        <w:tc>
          <w:tcPr>
            <w:tcW w:w="146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10"/>
              <w:spacing w:after="0" w:line="18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81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818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49,381</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1,148,601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338,427</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228,593</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146,383</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384,010</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1,141,498</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47,077</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337,661</w:t>
            </w:r>
          </w:p>
        </w:tc>
        <w:tc>
          <w:tcPr>
            <w:tcW w:w="0" w:type="dxa"/>
            <w:vAlign w:val="bottom"/>
          </w:tcPr>
          <w:p>
            <w:pPr>
              <w:spacing w:after="0"/>
              <w:rPr>
                <w:sz w:val="1"/>
                <w:szCs w:val="1"/>
                <w:color w:val="auto"/>
              </w:rPr>
            </w:pPr>
          </w:p>
        </w:tc>
      </w:tr>
      <w:tr>
        <w:trPr>
          <w:trHeight w:val="23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w:t>
            </w:r>
          </w:p>
        </w:tc>
        <w:tc>
          <w:tcPr>
            <w:tcW w:w="0" w:type="dxa"/>
            <w:vAlign w:val="bottom"/>
          </w:tcPr>
          <w:p>
            <w:pPr>
              <w:spacing w:after="0"/>
              <w:rPr>
                <w:sz w:val="1"/>
                <w:szCs w:val="1"/>
                <w:color w:val="auto"/>
              </w:rPr>
            </w:pPr>
          </w:p>
        </w:tc>
      </w:tr>
      <w:tr>
        <w:trPr>
          <w:trHeight w:val="229"/>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0" w:type="dxa"/>
            <w:vAlign w:val="bottom"/>
          </w:tcPr>
          <w:p>
            <w:pPr>
              <w:spacing w:after="0"/>
              <w:rPr>
                <w:sz w:val="1"/>
                <w:szCs w:val="1"/>
                <w:color w:val="auto"/>
              </w:rPr>
            </w:pPr>
          </w:p>
        </w:tc>
      </w:tr>
      <w:tr>
        <w:trPr>
          <w:trHeight w:val="234"/>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379,036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 in the consolidated statements of comprehensive income consist of the following:</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16"/>
                <w:szCs w:val="16"/>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54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8"/>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100,963</w:t>
            </w:r>
          </w:p>
        </w:tc>
        <w:tc>
          <w:tcPr>
            <w:tcW w:w="12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91,314</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302,488</w:t>
            </w:r>
          </w:p>
        </w:tc>
        <w:tc>
          <w:tcPr>
            <w:tcW w:w="14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283,214</w:t>
            </w:r>
          </w:p>
        </w:tc>
        <w:tc>
          <w:tcPr>
            <w:tcW w:w="0" w:type="dxa"/>
            <w:vAlign w:val="bottom"/>
          </w:tcPr>
          <w:p>
            <w:pPr>
              <w:spacing w:after="0"/>
              <w:rPr>
                <w:sz w:val="1"/>
                <w:szCs w:val="1"/>
                <w:color w:val="auto"/>
              </w:rPr>
            </w:pPr>
          </w:p>
        </w:tc>
      </w:tr>
      <w:tr>
        <w:trPr>
          <w:trHeight w:val="234"/>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Equipment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47,814</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334,710</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331,028</w:t>
            </w:r>
          </w:p>
        </w:tc>
        <w:tc>
          <w:tcPr>
            <w:tcW w:w="0" w:type="dxa"/>
            <w:vAlign w:val="bottom"/>
          </w:tcPr>
          <w:p>
            <w:pPr>
              <w:spacing w:after="0"/>
              <w:rPr>
                <w:sz w:val="1"/>
                <w:szCs w:val="1"/>
                <w:color w:val="auto"/>
              </w:rPr>
            </w:pPr>
          </w:p>
        </w:tc>
      </w:tr>
      <w:tr>
        <w:trPr>
          <w:trHeight w:val="205"/>
        </w:trPr>
        <w:tc>
          <w:tcPr>
            <w:tcW w:w="5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95,846</w:t>
            </w:r>
          </w:p>
        </w:tc>
        <w:tc>
          <w:tcPr>
            <w:tcW w:w="0" w:type="dxa"/>
            <w:vAlign w:val="bottom"/>
          </w:tcPr>
          <w:p>
            <w:pPr>
              <w:spacing w:after="0"/>
              <w:rPr>
                <w:sz w:val="1"/>
                <w:szCs w:val="1"/>
                <w:color w:val="auto"/>
              </w:rPr>
            </w:pPr>
          </w:p>
        </w:tc>
      </w:tr>
      <w:tr>
        <w:trPr>
          <w:trHeight w:val="229"/>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0" w:type="dxa"/>
            <w:vAlign w:val="bottom"/>
          </w:tcPr>
          <w:p>
            <w:pPr>
              <w:spacing w:after="0"/>
              <w:rPr>
                <w:sz w:val="1"/>
                <w:szCs w:val="1"/>
                <w:color w:val="auto"/>
              </w:rPr>
            </w:pPr>
          </w:p>
        </w:tc>
      </w:tr>
      <w:tr>
        <w:trPr>
          <w:trHeight w:val="230"/>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28,774</w:t>
            </w:r>
          </w:p>
        </w:tc>
        <w:tc>
          <w:tcPr>
            <w:tcW w:w="0" w:type="dxa"/>
            <w:vAlign w:val="bottom"/>
          </w:tcPr>
          <w:p>
            <w:pPr>
              <w:spacing w:after="0"/>
              <w:rPr>
                <w:sz w:val="1"/>
                <w:szCs w:val="1"/>
                <w:color w:val="auto"/>
              </w:rPr>
            </w:pPr>
          </w:p>
        </w:tc>
      </w:tr>
      <w:tr>
        <w:trPr>
          <w:trHeight w:val="234"/>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62,804</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215,542</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256,710</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49,885</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119,168</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74,318</w:t>
            </w:r>
          </w:p>
        </w:tc>
        <w:tc>
          <w:tcPr>
            <w:tcW w:w="0" w:type="dxa"/>
            <w:vAlign w:val="bottom"/>
          </w:tcPr>
          <w:p>
            <w:pPr>
              <w:spacing w:after="0"/>
              <w:rPr>
                <w:sz w:val="1"/>
                <w:szCs w:val="1"/>
                <w:color w:val="auto"/>
              </w:rPr>
            </w:pPr>
          </w:p>
        </w:tc>
      </w:tr>
      <w:tr>
        <w:trPr>
          <w:trHeight w:val="205"/>
        </w:trPr>
        <w:tc>
          <w:tcPr>
            <w:tcW w:w="5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0" w:type="dxa"/>
            <w:vAlign w:val="bottom"/>
          </w:tcPr>
          <w:p>
            <w:pPr>
              <w:spacing w:after="0"/>
              <w:rPr>
                <w:sz w:val="1"/>
                <w:szCs w:val="1"/>
                <w:color w:val="auto"/>
              </w:rPr>
            </w:pPr>
          </w:p>
        </w:tc>
      </w:tr>
      <w:tr>
        <w:trPr>
          <w:trHeight w:val="234"/>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8"/>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51,571</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27,269</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0" w:type="dxa"/>
            <w:vAlign w:val="bottom"/>
          </w:tcPr>
          <w:p>
            <w:pPr>
              <w:spacing w:after="0"/>
              <w:rPr>
                <w:sz w:val="1"/>
                <w:szCs w:val="1"/>
                <w:color w:val="auto"/>
              </w:rPr>
            </w:pPr>
          </w:p>
        </w:tc>
      </w:tr>
      <w:tr>
        <w:trPr>
          <w:trHeight w:val="223"/>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Our Broadband and Tower segments recognize revenue for their respective provision of cell site backhaul service and leased colocation space to the discontinued Wireless operations. That revenue is earned under contracts executed at our estimate of fair market value, which will transfer upon consummation of the sale. Accordingly, we expect to have a level of continuing involvement with the discontinued operations via these pre-existing contractual arrangements. Revenue recognized within continuing operations pursuant to these agreements is disclosed in </w:t>
      </w:r>
      <w:r>
        <w:rPr>
          <w:rFonts w:ascii="Times New Roman" w:cs="Times New Roman" w:eastAsia="Times New Roman" w:hAnsi="Times New Roman"/>
          <w:sz w:val="18"/>
          <w:szCs w:val="18"/>
          <w:color w:val="000000"/>
        </w:rPr>
        <w:t>Note 14,</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Segment Reporting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Because the right to use space on our owned cell towers and the related lease liability will be transferred in the sale, they have been included in our disposal group above under the relevant authoritative guidance. These right of use assets and lease liabilities were previously eliminated within our consolidated financial statements. Total assets and total liabilities as of December 31, 2019 therefore increased by $34 million as a result.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Under the relevant authoritative guidance, consummation of the sale will trigger or accelerate the recognition of certain expense related to: contingent deal advisory fees, recognition of our interest rate swap losses in net income, and loss on debt extinguishment. Our estimate of the related range of reasonably possible expense extends from $0 if the sale is not consummated to $40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Broadband segment provides broadband, video and voice services to residential and commercial customers in portions of Virginia, West Virginia, Maryland, and Kentucky, via fiber optic and hybrid fiber coaxial ("HFC") cable. The Broadband segment also provides voice and digital subscriber line (“DSL”) telephone services to customers in Virginia’s Shenandoah County as a Rural Local Exchange Carrier (“RLEC”).</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five years.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Broadband segment also provides Ethernet and Wavelength fiber optic services to enterprise and carrier customers under capacity agreements, and the related revenue is recognized over time. In some cases, non-refundable upfront fees are charged for connecting enterprise or carrier customers to our fiber network. Those amounts are recognized ratably over the longer of the contract term or the period in which the unrecognized fee remains material to the respective contract.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Broadband segment also leases dedicated fiber optic strands to customers as part of “dark fiber” agreements, which are accounted for as leases under ASC 842 Leases.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Tower segment leases space on owned cell towers to our Wireless segment, and to other wireless carriers. Revenue from these leases is accounted for under ASC 842.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a summary of these revenue streams.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Broadband segment's capitalized contract acquisition and fulfillment costs: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7"/>
                <w:szCs w:val="17"/>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2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19"/>
                <w:szCs w:val="19"/>
                <w:color w:val="auto"/>
              </w:rPr>
            </w:pPr>
          </w:p>
        </w:tc>
        <w:tc>
          <w:tcPr>
            <w:tcW w:w="2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412"/>
        </w:trPr>
        <w:tc>
          <w:tcPr>
            <w:tcW w:w="2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5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10,091</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Contract payments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4,996</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223"/>
        </w:trPr>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13,962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10,917</w:t>
            </w:r>
          </w:p>
        </w:tc>
      </w:tr>
      <w:tr>
        <w:trPr>
          <w:trHeight w:val="20"/>
        </w:trPr>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performance obligations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30, 2020, the Company had approximately $2.9 million allocated to unsatisfied performance obligations that will be satisfied at the rate of approximately $0.8 million per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4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0" w:type="dxa"/>
            <w:vAlign w:val="bottom"/>
          </w:tcPr>
          <w:p>
            <w:pPr>
              <w:spacing w:after="0"/>
              <w:rPr>
                <w:sz w:val="1"/>
                <w:szCs w:val="1"/>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Supplemental Executive Retirement Plan (“SERP”) is a benefit plan that provides deferred compensation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Changes to the investments' fair value are presented in Other income (expense), while the reciprocal changes in the liability are presented in selling, general and administrative expense.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Method Investments: </w:t>
      </w:r>
      <w:r>
        <w:rPr>
          <w:rFonts w:ascii="Times New Roman" w:cs="Times New Roman" w:eastAsia="Times New Roman" w:hAnsi="Times New Roman"/>
          <w:sz w:val="18"/>
          <w:szCs w:val="18"/>
          <w:color w:val="auto"/>
        </w:rPr>
        <w:t>Our investment in CoBank’s Class A common stock represented substantially all of our cost method investments with a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$9.5 million and $8.7 million at September 30, 2020 and December 31, 2019, respectively. We recognized approximately $1.0 million and $0.9 million of patronage income in Other income (expense) in the three months ended September 30, 2020 and 2019, respectively, and approximately $3.0 million and $2.7 million in the nine months ended September 30, 2020 and 2019, respectively. Historically, approximately 75% of the patronage distributions were in cash and 25% in equity.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At September 30, 2020, the Company had a 20.0% ownership interest in Valley Network Partnership (“ValleyNet”).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ValleyNet purchase capacity on one another’s fiber network. We recognized revenue of $0.2 million from providing service to ValleyNet during both of the three months ended September 30, 2020 and 2019, and approximately $0.7 million during both of the nine months ended September 30, 2020 and 2019. We recognized cost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service of $0.7 million and $0.8 million for the use of ValleyNet’s network during the three months ended September 30, 2020 and 2019, respectively, and approximately $2.2 million and $2.4 million in the nine months ended September 30, 2020 and 2019,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gridSpan w:val="7"/>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9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3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40" w:type="dxa"/>
            <w:vAlign w:val="bottom"/>
          </w:tcPr>
          <w:p>
            <w:pPr>
              <w:spacing w:after="0"/>
              <w:rPr>
                <w:sz w:val="18"/>
                <w:szCs w:val="18"/>
                <w:color w:val="auto"/>
              </w:rPr>
            </w:pPr>
          </w:p>
        </w:tc>
        <w:tc>
          <w:tcPr>
            <w:tcW w:w="6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structures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and fiber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368,144</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years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314,859</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Plant in service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778,805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under construction</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54,678</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833,483</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419,881</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373,404</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413,602</w:t>
            </w: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5"/>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4"/>
                <w:szCs w:val="14"/>
                <w:color w:val="auto"/>
              </w:rPr>
            </w:pPr>
          </w:p>
        </w:tc>
        <w:tc>
          <w:tcPr>
            <w:tcW w:w="152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5"/>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420" w:type="dxa"/>
            <w:vAlign w:val="bottom"/>
          </w:tcPr>
          <w:p>
            <w:pPr>
              <w:spacing w:after="0"/>
              <w:rPr>
                <w:sz w:val="15"/>
                <w:szCs w:val="15"/>
                <w:color w:val="auto"/>
              </w:rPr>
            </w:pPr>
          </w:p>
        </w:tc>
        <w:tc>
          <w:tcPr>
            <w:tcW w:w="7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5"/>
                <w:szCs w:val="15"/>
                <w:color w:val="auto"/>
              </w:rPr>
            </w:pPr>
          </w:p>
        </w:tc>
        <w:tc>
          <w:tcPr>
            <w:tcW w:w="15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400" w:type="dxa"/>
            <w:vAlign w:val="bottom"/>
          </w:tcPr>
          <w:p>
            <w:pPr>
              <w:spacing w:after="0"/>
              <w:rPr>
                <w:sz w:val="15"/>
                <w:szCs w:val="15"/>
                <w:color w:val="auto"/>
              </w:rPr>
            </w:pPr>
          </w:p>
        </w:tc>
        <w:tc>
          <w:tcPr>
            <w:tcW w:w="7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4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5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Broadband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8"/>
                <w:szCs w:val="18"/>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franchise rights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Railroad crossing rights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78,314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78,314</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FCC spectrum licenses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subscribers - Cable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(270)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22,855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(26,450)</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103,856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114,188</w:t>
            </w: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12529"/>
        </w:rPr>
        <w:t>During the three months ended September 30, 2020, the Company completed the purchase of certain CBRS spectrum licenses for an aggregate cost of $16.1 million, within our Broadband segment. Spectrum licenses in the CBRS band are issued by the Federal Communications Commission (“FCC”) and provide us priority access rights over general access users other than incumbents, in that specific band, in accordance with the FCC’s three-tier CBRS band spectrum sharing framework to utilize designated radio frequency spectrum within specific geographic service areas to provide wireless communication services.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We acquired Big Sandy Broadband, Inc. (“Big Sandy”) on February 28, 2019. The $10 million acquisition price was allocated as follows within our Broadband segment: $4.6 million of property, plant and equipment; $2.8 million of subscriber relationships; and $2.6 million of goodwill.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Amortization expense was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$0.1 million</w:t>
      </w:r>
      <w:r>
        <w:rPr>
          <w:rFonts w:ascii="Times New Roman" w:cs="Times New Roman" w:eastAsia="Times New Roman" w:hAnsi="Times New Roman"/>
          <w:sz w:val="18"/>
          <w:szCs w:val="18"/>
          <w:color w:val="212529"/>
        </w:rPr>
        <w:t xml:space="preserve"> during the </w:t>
      </w:r>
      <w:r>
        <w:rPr>
          <w:rFonts w:ascii="Times New Roman" w:cs="Times New Roman" w:eastAsia="Times New Roman" w:hAnsi="Times New Roman"/>
          <w:sz w:val="18"/>
          <w:szCs w:val="18"/>
          <w:color w:val="000000"/>
        </w:rPr>
        <w:t>three months ended September 30, 2020</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12529"/>
        </w:rPr>
        <w:t xml:space="preserve">, respectively, and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12529"/>
        </w:rPr>
        <w:t xml:space="preserve"> and </w:t>
      </w:r>
      <w:r>
        <w:rPr>
          <w:rFonts w:ascii="Times New Roman" w:cs="Times New Roman" w:eastAsia="Times New Roman" w:hAnsi="Times New Roman"/>
          <w:sz w:val="18"/>
          <w:szCs w:val="18"/>
          <w:color w:val="000000"/>
        </w:rPr>
        <w:t xml:space="preserve">$0.3 million </w:t>
      </w:r>
      <w:r>
        <w:rPr>
          <w:rFonts w:ascii="Times New Roman" w:cs="Times New Roman" w:eastAsia="Times New Roman" w:hAnsi="Times New Roman"/>
          <w:sz w:val="18"/>
          <w:szCs w:val="18"/>
          <w:color w:val="212529"/>
        </w:rPr>
        <w:t>for the</w:t>
      </w:r>
      <w:r>
        <w:rPr>
          <w:rFonts w:ascii="Times New Roman" w:cs="Times New Roman" w:eastAsia="Times New Roman" w:hAnsi="Times New Roman"/>
          <w:sz w:val="18"/>
          <w:szCs w:val="18"/>
          <w:color w:val="000000"/>
        </w:rPr>
        <w:t xml:space="preserve"> nine months ended September 30, 2020 </w:t>
      </w:r>
      <w:r>
        <w:rPr>
          <w:rFonts w:ascii="Times New Roman" w:cs="Times New Roman" w:eastAsia="Times New Roman" w:hAnsi="Times New Roman"/>
          <w:sz w:val="18"/>
          <w:szCs w:val="18"/>
          <w:color w:val="212529"/>
        </w:rPr>
        <w:t>and</w:t>
      </w:r>
      <w:r>
        <w:rPr>
          <w:rFonts w:ascii="Times New Roman" w:cs="Times New Roman" w:eastAsia="Times New Roman" w:hAnsi="Times New Roman"/>
          <w:sz w:val="18"/>
          <w:szCs w:val="18"/>
          <w:color w:val="000000"/>
        </w:rPr>
        <w:t xml:space="preserve"> 2019</w:t>
      </w:r>
      <w:r>
        <w:rPr>
          <w:rFonts w:ascii="Times New Roman" w:cs="Times New Roman" w:eastAsia="Times New Roman" w:hAnsi="Times New Roman"/>
          <w:sz w:val="18"/>
          <w:szCs w:val="18"/>
          <w:color w:val="212529"/>
        </w:rPr>
        <w:t>,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Assets and Accrued Liabilities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58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and fulfillment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58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and fulfillment costs</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Accrued liabilities and other, classified as current liabilities, included the following:</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property taxes payable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13,854</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lease revenue</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spectrum license obligations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financing leases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Market expectations of the projected LIBOR decreased significantly during 2020, which drove the fair value of our interest rate swaps to a liability. Refer to Note 10,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2020, our operating leases had a weighted average remaining lease term of 23 years and a weighted average discount rate of 4.7%. Our finance leases had a weighted average remaining lease term of 14 years and a weighted average discount rate of 5.2%.</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recognized $2.3 million and $5.1 million of operating lease expense, respectively. Comparatively, during the three and nine months ended September 30, 2019, we recognized $1.4 million and $2.9 million of operating lease expense,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$0.1 million and $0.4 million of interest and depreciation expense on finance leases during the three and nine months ended September 30, 2020 and $0.1 million and $0.5 million during the three and nine months ended September 30, 2019, respectively.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expense is presented in cost of service or selling, general and administrative expense based on the use of the relevant facility. Variable lease payments and short-term lease expense were both immaterial. We remitted $1.2 million and $3.2 million of operating lease payments during the three and nine months ended September 30, 2020, respectively. We remitted $2.9 million of operating lease payments during the nine months ended September 30, 2019. We also obtained $2.4 million and $9.2 million of leased assets in exchange for new operating lease liabilities during the three and nine months ended September 30, 2020, respectively. We obtained $0.7 million of leased assets in exchange for new operating lease liabilities during the nine months ended September 30, 2019,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at September 30, 2020:</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40" w:type="dxa"/>
            <w:vAlign w:val="bottom"/>
          </w:tcPr>
          <w:p>
            <w:pPr>
              <w:spacing w:after="0"/>
              <w:rPr>
                <w:sz w:val="20"/>
                <w:szCs w:val="20"/>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68,765</w:t>
            </w:r>
          </w:p>
        </w:tc>
      </w:tr>
      <w:tr>
        <w:trPr>
          <w:trHeight w:val="218"/>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85,153</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36,838</w:t>
            </w:r>
          </w:p>
        </w:tc>
      </w:tr>
      <w:tr>
        <w:trPr>
          <w:trHeight w:val="223"/>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48,315</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$2.7 million and $6.9 million of operating lease revenue during the three and nine months ended September 30, 2020, respectively, and $2.1 million and $6.1 million during the three and nine months ended September 30, 2019, respectively, related to the cell site colocation space and dedicated fiber optic strands that we lease to our customers, which is included in Service and other revenue in the unaudited condensed consolidated statements of comprehensive income. Substantially all of our lease revenue relates to fixed lease payments.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minimum rental receipts under the lease agreements in place at September 30, 2020:</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23,013</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syndicated Credit Agreement includes a $75 million, five-year undrawn revolving credit facility, as well as the following outstanding term loans: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1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8"/>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236,721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258,571</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469,727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473,469</w:t>
            </w:r>
          </w:p>
        </w:tc>
        <w:tc>
          <w:tcPr>
            <w:tcW w:w="0" w:type="dxa"/>
            <w:vAlign w:val="bottom"/>
          </w:tcPr>
          <w:p>
            <w:pPr>
              <w:spacing w:after="0"/>
              <w:rPr>
                <w:sz w:val="1"/>
                <w:szCs w:val="1"/>
                <w:color w:val="auto"/>
              </w:rPr>
            </w:pPr>
          </w:p>
        </w:tc>
      </w:tr>
      <w:tr>
        <w:trPr>
          <w:trHeight w:val="218"/>
        </w:trPr>
        <w:tc>
          <w:tcPr>
            <w:tcW w:w="7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732,040</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720,114</w:t>
            </w:r>
          </w:p>
        </w:tc>
        <w:tc>
          <w:tcPr>
            <w:tcW w:w="0" w:type="dxa"/>
            <w:vAlign w:val="bottom"/>
          </w:tcPr>
          <w:p>
            <w:pPr>
              <w:spacing w:after="0"/>
              <w:rPr>
                <w:sz w:val="1"/>
                <w:szCs w:val="1"/>
                <w:color w:val="auto"/>
              </w:rPr>
            </w:pPr>
          </w:p>
        </w:tc>
      </w:tr>
      <w:tr>
        <w:trPr>
          <w:trHeight w:val="21"/>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Term Loan A-1 bears interest at one-month LIBOR plus a margin of 1.50%, while Term Loan A-2 bears interest at one-month LIBOR plus a margin of 1.75%. LIBOR resets monthly. Our cash payments for interest were $14.5 million and $21.6 million during the </w:t>
      </w:r>
      <w:r>
        <w:rPr>
          <w:rFonts w:ascii="Times New Roman" w:cs="Times New Roman" w:eastAsia="Times New Roman" w:hAnsi="Times New Roman"/>
          <w:sz w:val="18"/>
          <w:szCs w:val="18"/>
          <w:color w:val="212529"/>
        </w:rPr>
        <w:t>nine months ended September 30, 2020</w:t>
      </w:r>
      <w:r>
        <w:rPr>
          <w:rFonts w:ascii="Times New Roman" w:cs="Times New Roman" w:eastAsia="Times New Roman" w:hAnsi="Times New Roman"/>
          <w:sz w:val="18"/>
          <w:szCs w:val="18"/>
          <w:color w:val="auto"/>
        </w:rPr>
        <w:t xml:space="preserve"> and 2019,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shown below, as of September 30, 2020, the Company was in compliance with the financial covenants in its credit agreements.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Covenant Requirement</w:t>
            </w:r>
          </w:p>
        </w:tc>
        <w:tc>
          <w:tcPr>
            <w:tcW w:w="0" w:type="dxa"/>
            <w:vAlign w:val="bottom"/>
          </w:tcPr>
          <w:p>
            <w:pPr>
              <w:spacing w:after="0"/>
              <w:rPr>
                <w:sz w:val="1"/>
                <w:szCs w:val="1"/>
                <w:color w:val="auto"/>
              </w:rPr>
            </w:pPr>
          </w:p>
        </w:tc>
      </w:tr>
      <w:tr>
        <w:trPr>
          <w:trHeight w:val="218"/>
        </w:trPr>
        <w:tc>
          <w:tcPr>
            <w:tcW w:w="40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2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3.25 or Lower</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2.00 or Higher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Minimum liquidity balance (in millions)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258.8</w:t>
            </w:r>
          </w:p>
        </w:tc>
        <w:tc>
          <w:tcPr>
            <w:tcW w:w="160" w:type="dxa"/>
            <w:vAlign w:val="bottom"/>
          </w:tcPr>
          <w:p>
            <w:pPr>
              <w:spacing w:after="0"/>
              <w:rPr>
                <w:sz w:val="20"/>
                <w:szCs w:val="20"/>
                <w:color w:val="auto"/>
              </w:rPr>
            </w:pPr>
          </w:p>
        </w:tc>
        <w:tc>
          <w:tcPr>
            <w:tcW w:w="24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$25.0 or Higher</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quotations provided by a group of banks that sustain LIBOR will no longer be required after 2021. As a result, it is uncertain whether LIBOR will continue to be quoted after 2021. Our term loans and interest rate swaps identify LIBOR as a reference rate and mature after 2021. Alternative reference rates that replace LIBOR may not yield the same or similar economic results over the terms of the financial instruments. The transition from LIBOR could result in us paying higher or lower interest rates on our current LIBOR-indexed term loans, affect the fair value of the derivative instruments we hold, or affect our ability to effectively use interest rate swaps to manage interest rate risk. Our Credit Agreement includes provisions that provide for the identification of a LIBOR replacement rate. Due to the uncertainty regarding the transition from LIBOR-indexed financial instruments, including when it will happen, and the manner in which an alternative reference rate will apply, we cannot yet reasonably estimate the expected financial impact of the LIBOR transition.</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terms of our long term debt agreements require us to repay all of our debt upon consummation of the sale of our Wireless operations. Management also intends to settle the related interest rate swaps upon consummation. Both are therefore presented outside of the disposal group as a current liability at September 30,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Derivatives and Hedging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interest rate swaps are pay-fixed (1.16%), receive-variable (one month LIBOR) that hedged approximately 43.0% of outstanding debt with outstanding notional amounts totaling $303.5 million and $339.8 million, as of September 30, 2020 and December 31, 2019,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these instruments was estimated using an income approach and observable market inputs. The hedge was determined to be highly effective and therefore all of the change in its fair value was recognized through other comprehensive income. During the three months ended September 30, 2020, the change in fair market value was immaterial. During the nine months ended September 30, 2020 the fair market value decreased $7.3 million due to a decline in the one month LIBOR. Derivative balances are presented as follows in our unaudited condensed consolidated statement of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1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6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6720" w:type="dxa"/>
            <w:vAlign w:val="bottom"/>
            <w:vMerge w:val="continue"/>
          </w:tcPr>
          <w:p>
            <w:pPr>
              <w:spacing w:after="0"/>
              <w:rPr>
                <w:sz w:val="19"/>
                <w:szCs w:val="19"/>
                <w:color w:val="auto"/>
              </w:rPr>
            </w:pP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672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Balance sheet location of derivative financial instruments:</w:t>
            </w: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29"/>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6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34"/>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(loss) by component: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Gains (Losses) on</w:t>
            </w:r>
          </w:p>
        </w:tc>
        <w:tc>
          <w:tcPr>
            <w:tcW w:w="220" w:type="dxa"/>
            <w:vAlign w:val="bottom"/>
          </w:tcPr>
          <w:p>
            <w:pPr>
              <w:spacing w:after="0"/>
              <w:rPr>
                <w:sz w:val="15"/>
                <w:szCs w:val="15"/>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6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176"/>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16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Income (Loss), net</w:t>
            </w:r>
          </w:p>
        </w:tc>
        <w:tc>
          <w:tcPr>
            <w:tcW w:w="0" w:type="dxa"/>
            <w:vAlign w:val="bottom"/>
          </w:tcPr>
          <w:p>
            <w:pPr>
              <w:spacing w:after="0"/>
              <w:rPr>
                <w:sz w:val="1"/>
                <w:szCs w:val="1"/>
                <w:color w:val="auto"/>
              </w:rPr>
            </w:pPr>
          </w:p>
        </w:tc>
      </w:tr>
      <w:tr>
        <w:trPr>
          <w:trHeight w:val="229"/>
        </w:trPr>
        <w:tc>
          <w:tcPr>
            <w:tcW w:w="6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60" w:type="dxa"/>
            <w:vAlign w:val="bottom"/>
          </w:tcPr>
          <w:p>
            <w:pPr>
              <w:spacing w:after="0"/>
              <w:rPr>
                <w:sz w:val="19"/>
                <w:szCs w:val="19"/>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of taxes</w:t>
            </w:r>
          </w:p>
        </w:tc>
        <w:tc>
          <w:tcPr>
            <w:tcW w:w="0" w:type="dxa"/>
            <w:vAlign w:val="bottom"/>
          </w:tcPr>
          <w:p>
            <w:pPr>
              <w:spacing w:after="0"/>
              <w:rPr>
                <w:sz w:val="1"/>
                <w:szCs w:val="1"/>
                <w:color w:val="auto"/>
              </w:rPr>
            </w:pPr>
          </w:p>
        </w:tc>
      </w:tr>
      <w:tr>
        <w:trPr>
          <w:trHeight w:val="21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(loss) gain</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to interest expense</w:t>
            </w: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files U.S. federal income tax returns and various state income tax returns. The Company is not subject to any state or federal income tax audits as of September 30, 2020. The Company's returns are generally open to examination from 2016 forward and the net operating losses acquired in the acquisition of nTelos are open to examination from 2002 forward.</w:t>
      </w:r>
    </w:p>
    <w:p>
      <w:pPr>
        <w:spacing w:after="0" w:line="20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effective tax rates for the three and nine months ended September 30, 2020 and 2019, differ from the statutory U.S. federal income tax rate of 21.0% primarily due to the state income taxes, excess tax benefits and other discrete items.</w:t>
      </w:r>
    </w:p>
    <w:tbl>
      <w:tblPr>
        <w:tblLayout w:type="fixed"/>
        <w:tblInd w:w="20" w:type="dxa"/>
        <w:tblCellMar>
          <w:top w:w="0" w:type="dxa"/>
          <w:left w:w="0" w:type="dxa"/>
          <w:bottom w:w="0" w:type="dxa"/>
          <w:right w:w="0" w:type="dxa"/>
        </w:tblCellMar>
      </w:tblPr>
      <w:tr>
        <w:trPr>
          <w:trHeight w:val="165"/>
        </w:trPr>
        <w:tc>
          <w:tcPr>
            <w:tcW w:w="6080" w:type="dxa"/>
            <w:vAlign w:val="bottom"/>
          </w:tcPr>
          <w:p>
            <w:pPr>
              <w:spacing w:after="0"/>
              <w:rPr>
                <w:sz w:val="14"/>
                <w:szCs w:val="14"/>
                <w:color w:val="auto"/>
              </w:rPr>
            </w:pPr>
          </w:p>
        </w:tc>
        <w:tc>
          <w:tcPr>
            <w:tcW w:w="2020" w:type="dxa"/>
            <w:vAlign w:val="bottom"/>
            <w:gridSpan w:val="4"/>
          </w:tcPr>
          <w:p>
            <w:pPr>
              <w:jc w:val="right"/>
              <w:ind w:right="13"/>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center"/>
              <w:ind w:right="172"/>
              <w:spacing w:after="0" w:line="165"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080" w:type="dxa"/>
            <w:vAlign w:val="bottom"/>
          </w:tcPr>
          <w:p>
            <w:pPr>
              <w:spacing w:after="0"/>
              <w:rPr>
                <w:sz w:val="18"/>
                <w:szCs w:val="18"/>
                <w:color w:val="auto"/>
              </w:rPr>
            </w:pPr>
          </w:p>
        </w:tc>
        <w:tc>
          <w:tcPr>
            <w:tcW w:w="202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60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Expected tax expense at federal statutory</w:t>
            </w: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6"/>
              </w:rPr>
              <w:t>667</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6"/>
              </w:rPr>
              <w:t>138</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from share based compensation and other, net</w:t>
            </w: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(255)</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taxes for continuing operations</w:t>
            </w:r>
          </w:p>
        </w:tc>
        <w:tc>
          <w:tcPr>
            <w:tcW w:w="7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payments for income taxes totaled $5.4 million and $6.1 million for the nine months ended September 30, 2020 and 2019,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 &amp; Stock Compensation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granted approximately 81 thousand restricted stock units (RSUs) to employees during the nine months ended September 30, 2020. Approximately 70 thousand and 11 thousand of these RSUs were granted during the first and second quarter of 2020, respectively, at market prices of $48.47 and $52.70 in those respective quarters. The Company also granted approximately 14 thousand RSUs to members of the board of directors at a market price of $48.47 per award in the first quarter of 2020. Additionally, approximately 40 thousand Relative Total Shareholder Return (“RTSR”) awards were granted to employees at a value of $56.32 per award in the first quarter of 2020. Under the terms of the award agreements, the RSUs granted to employees vest over the anniversary date of the grants through 2024. The RSUs granted to the members of the board of directors vest fully on the first anniversary of the grant date. Pursuant to the terms of the RTSR awards, the Company’s stock performance over a three-year period, ending December 31, 2022, will be compared to a group of peer companies, and the actual number of shares to be issued will be determined based upon the performance of the Company’s stock as compared with that of the peer group. The actual number of shares to be issued ranges from zero shares (if the Company’s stock performance is in the bottom 25% of the peer group) to 150% of the awards granted (if the Company’s stock performance is in the top 25% of the peer group). The Company's stock-based compensation award vesting is subject to requirements relating to continued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employment with the Company through the service or performance periods, and to special vesting provisions in case of a change of control, death, disability or retirement.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We utilize the treasury stock method to calculate the impact on diluted earnings per share that potentially dilutive stock-based compensation awards have. The following table indicates the computation of basic and diluted earnings per share:</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5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income per share: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23"/>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0" w:type="dxa"/>
            <w:vAlign w:val="bottom"/>
          </w:tcPr>
          <w:p>
            <w:pPr>
              <w:spacing w:after="0"/>
              <w:rPr>
                <w:sz w:val="1"/>
                <w:szCs w:val="1"/>
                <w:color w:val="auto"/>
              </w:rPr>
            </w:pPr>
          </w:p>
        </w:tc>
      </w:tr>
      <w:tr>
        <w:trPr>
          <w:trHeight w:val="223"/>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41,414</w:t>
            </w:r>
          </w:p>
        </w:tc>
        <w:tc>
          <w:tcPr>
            <w:tcW w:w="0" w:type="dxa"/>
            <w:vAlign w:val="bottom"/>
          </w:tcPr>
          <w:p>
            <w:pPr>
              <w:spacing w:after="0"/>
              <w:rPr>
                <w:sz w:val="1"/>
                <w:szCs w:val="1"/>
                <w:color w:val="auto"/>
              </w:rPr>
            </w:pPr>
          </w:p>
        </w:tc>
      </w:tr>
      <w:tr>
        <w:trPr>
          <w:trHeight w:val="318"/>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49,911</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49,827</w:t>
            </w:r>
          </w:p>
        </w:tc>
        <w:tc>
          <w:tcPr>
            <w:tcW w:w="0" w:type="dxa"/>
            <w:vAlign w:val="bottom"/>
          </w:tcPr>
          <w:p>
            <w:pPr>
              <w:spacing w:after="0"/>
              <w:rPr>
                <w:sz w:val="1"/>
                <w:szCs w:val="1"/>
                <w:color w:val="auto"/>
              </w:rPr>
            </w:pPr>
          </w:p>
        </w:tc>
      </w:tr>
      <w:tr>
        <w:trPr>
          <w:trHeight w:val="223"/>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net income per share - continuing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net income per share - discontinued operations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awards outstanding:</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49,827</w:t>
            </w:r>
          </w:p>
        </w:tc>
        <w:tc>
          <w:tcPr>
            <w:tcW w:w="0" w:type="dxa"/>
            <w:vAlign w:val="bottom"/>
          </w:tcPr>
          <w:p>
            <w:pPr>
              <w:spacing w:after="0"/>
              <w:rPr>
                <w:sz w:val="1"/>
                <w:szCs w:val="1"/>
                <w:color w:val="auto"/>
              </w:rPr>
            </w:pPr>
          </w:p>
        </w:tc>
      </w:tr>
      <w:tr>
        <w:trPr>
          <w:trHeight w:val="234"/>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 continuing operations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 - discontinued operations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There were fewer than 110,000 anti-dilutive awards outstanding during the three and nine months ended 2020 and </w:t>
      </w:r>
      <w:r>
        <w:rPr>
          <w:rFonts w:ascii="Times New Roman" w:cs="Times New Roman" w:eastAsia="Times New Roman" w:hAnsi="Times New Roman"/>
          <w:sz w:val="18"/>
          <w:szCs w:val="18"/>
          <w:color w:val="000000"/>
        </w:rPr>
        <w:t>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make payments to satisfy our lease liabilities and long-term debt. The scheduled payments under those obligations are summarized in the respective notes above. We are also committed to make annual payments of approximately $108.0 thousand on our FCC spectrum license obligation through 2039.</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divestiture of our Wireless operations represents a strategic shift in the Company’s business and qualifies as a discontinued operation. As a result, the operating results and cash flows related to the Wireless segment have been reflected as discontinued operations in our Unaudited Condensed Consolidated Statements of Comprehensive Income and the Unaudited Condensed Consolidated Statements of Cash Flows.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Similarly, the results of our Wireless operations are no longer presented as a reporting segment. Consistent with the internal reporting provided to our chief operating decision maker, we previously allocated certain corporate management overhead costs to the former Wireless segment which may no longer be allocated to discontinued operations under the relevant authoritative guidance. Accordingly, we have recast our reporting of the remaining segments to reflect the reattribution of these expenses in all presented periods in a manner consistent with our updated internal reporting.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300" w:type="dxa"/>
            <w:vAlign w:val="bottom"/>
          </w:tcPr>
          <w:p>
            <w:pPr>
              <w:spacing w:after="0"/>
              <w:rPr>
                <w:sz w:val="24"/>
                <w:szCs w:val="2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Cable, residential and SMB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37,469</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Fiber, enterprise and wholesale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Rural local exchange carrier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Installation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34"/>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18"/>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50,474</w:t>
            </w:r>
          </w:p>
        </w:tc>
        <w:tc>
          <w:tcPr>
            <w:tcW w:w="0" w:type="dxa"/>
            <w:vAlign w:val="bottom"/>
          </w:tcPr>
          <w:p>
            <w:pPr>
              <w:spacing w:after="0"/>
              <w:rPr>
                <w:sz w:val="1"/>
                <w:szCs w:val="1"/>
                <w:color w:val="auto"/>
              </w:rPr>
            </w:pPr>
          </w:p>
        </w:tc>
      </w:tr>
      <w:tr>
        <w:trPr>
          <w:trHeight w:val="180"/>
        </w:trPr>
        <w:tc>
          <w:tcPr>
            <w:tcW w:w="52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55,173</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20,039</w:t>
            </w:r>
          </w:p>
        </w:tc>
        <w:tc>
          <w:tcPr>
            <w:tcW w:w="0" w:type="dxa"/>
            <w:vAlign w:val="bottom"/>
          </w:tcPr>
          <w:p>
            <w:pPr>
              <w:spacing w:after="0"/>
              <w:rPr>
                <w:sz w:val="1"/>
                <w:szCs w:val="1"/>
                <w:color w:val="auto"/>
              </w:rPr>
            </w:pPr>
          </w:p>
        </w:tc>
      </w:tr>
      <w:tr>
        <w:trPr>
          <w:trHeight w:val="23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   SMB refers to Small and Medium Businesses.</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5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300" w:type="dxa"/>
            <w:vAlign w:val="bottom"/>
          </w:tcPr>
          <w:p>
            <w:pPr>
              <w:spacing w:after="0"/>
              <w:rPr>
                <w:sz w:val="24"/>
                <w:szCs w:val="2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Cable, residential and SMB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Fiber, enterprise and wholesale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Rural local exchange carrier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Installation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34"/>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8"/>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47,863</w:t>
            </w:r>
          </w:p>
        </w:tc>
        <w:tc>
          <w:tcPr>
            <w:tcW w:w="0" w:type="dxa"/>
            <w:vAlign w:val="bottom"/>
          </w:tcPr>
          <w:p>
            <w:pPr>
              <w:spacing w:after="0"/>
              <w:rPr>
                <w:sz w:val="1"/>
                <w:szCs w:val="1"/>
                <w:color w:val="auto"/>
              </w:rPr>
            </w:pPr>
          </w:p>
        </w:tc>
      </w:tr>
      <w:tr>
        <w:trPr>
          <w:trHeight w:val="180"/>
        </w:trPr>
        <w:tc>
          <w:tcPr>
            <w:tcW w:w="52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0" w:type="dxa"/>
            <w:vAlign w:val="bottom"/>
          </w:tcPr>
          <w:p>
            <w:pPr>
              <w:spacing w:after="0"/>
              <w:rPr>
                <w:sz w:val="1"/>
                <w:szCs w:val="1"/>
                <w:color w:val="auto"/>
              </w:rPr>
            </w:pPr>
          </w:p>
        </w:tc>
      </w:tr>
      <w:tr>
        <w:trPr>
          <w:trHeight w:val="23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5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300" w:type="dxa"/>
            <w:vAlign w:val="bottom"/>
          </w:tcPr>
          <w:p>
            <w:pPr>
              <w:spacing w:after="0"/>
              <w:rPr>
                <w:sz w:val="24"/>
                <w:szCs w:val="2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Cable, residential and SMB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108,242</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Fiber, enterprise and wholesale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Rural local exchange carrier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Installation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0" w:type="dxa"/>
            <w:vAlign w:val="bottom"/>
          </w:tcPr>
          <w:p>
            <w:pPr>
              <w:spacing w:after="0"/>
              <w:rPr>
                <w:sz w:val="1"/>
                <w:szCs w:val="1"/>
                <w:color w:val="auto"/>
              </w:rPr>
            </w:pPr>
          </w:p>
        </w:tc>
      </w:tr>
      <w:tr>
        <w:trPr>
          <w:trHeight w:val="234"/>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18"/>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143,812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149,302</w:t>
            </w:r>
          </w:p>
        </w:tc>
        <w:tc>
          <w:tcPr>
            <w:tcW w:w="0" w:type="dxa"/>
            <w:vAlign w:val="bottom"/>
          </w:tcPr>
          <w:p>
            <w:pPr>
              <w:spacing w:after="0"/>
              <w:rPr>
                <w:sz w:val="1"/>
                <w:szCs w:val="1"/>
                <w:color w:val="auto"/>
              </w:rPr>
            </w:pPr>
          </w:p>
        </w:tc>
      </w:tr>
      <w:tr>
        <w:trPr>
          <w:trHeight w:val="180"/>
        </w:trPr>
        <w:tc>
          <w:tcPr>
            <w:tcW w:w="52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13,341</w:t>
            </w: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162,643</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65,167</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0" w:type="dxa"/>
            <w:vAlign w:val="bottom"/>
          </w:tcPr>
          <w:p>
            <w:pPr>
              <w:spacing w:after="0"/>
              <w:rPr>
                <w:sz w:val="1"/>
                <w:szCs w:val="1"/>
                <w:color w:val="auto"/>
              </w:rPr>
            </w:pPr>
          </w:p>
        </w:tc>
      </w:tr>
      <w:tr>
        <w:trPr>
          <w:trHeight w:val="23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120,980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300" w:type="dxa"/>
            <w:vAlign w:val="bottom"/>
          </w:tcPr>
          <w:p>
            <w:pPr>
              <w:spacing w:after="0"/>
              <w:rPr>
                <w:sz w:val="24"/>
                <w:szCs w:val="2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5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Cable, residential and SMB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99,703</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Fiber, enterprise and wholesale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Rural local exchange carrier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15,899</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Installation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0" w:type="dxa"/>
            <w:vAlign w:val="bottom"/>
          </w:tcPr>
          <w:p>
            <w:pPr>
              <w:spacing w:after="0"/>
              <w:rPr>
                <w:sz w:val="1"/>
                <w:szCs w:val="1"/>
                <w:color w:val="auto"/>
              </w:rPr>
            </w:pPr>
          </w:p>
        </w:tc>
      </w:tr>
      <w:tr>
        <w:trPr>
          <w:trHeight w:val="234"/>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18"/>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141,881</w:t>
            </w:r>
          </w:p>
        </w:tc>
        <w:tc>
          <w:tcPr>
            <w:tcW w:w="0" w:type="dxa"/>
            <w:vAlign w:val="bottom"/>
          </w:tcPr>
          <w:p>
            <w:pPr>
              <w:spacing w:after="0"/>
              <w:rPr>
                <w:sz w:val="1"/>
                <w:szCs w:val="1"/>
                <w:color w:val="auto"/>
              </w:rPr>
            </w:pPr>
          </w:p>
        </w:tc>
      </w:tr>
      <w:tr>
        <w:trPr>
          <w:trHeight w:val="180"/>
        </w:trPr>
        <w:tc>
          <w:tcPr>
            <w:tcW w:w="520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153,285</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62,030</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57,600</w:t>
            </w:r>
          </w:p>
        </w:tc>
        <w:tc>
          <w:tcPr>
            <w:tcW w:w="0" w:type="dxa"/>
            <w:vAlign w:val="bottom"/>
          </w:tcPr>
          <w:p>
            <w:pPr>
              <w:spacing w:after="0"/>
              <w:rPr>
                <w:sz w:val="1"/>
                <w:szCs w:val="1"/>
                <w:color w:val="auto"/>
              </w:rPr>
            </w:pPr>
          </w:p>
        </w:tc>
      </w:tr>
      <w:tr>
        <w:trPr>
          <w:trHeight w:val="23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153,437</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to consolidated income from continuing operations before taxes is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9"/>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19"/>
                <w:szCs w:val="19"/>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operating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6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1"/>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October 27, 2020, the Company's Board of Directors approved a dividend of $0.34 per common share. The dividend will be payable on December 1, 2020 to shareholders of record as of the close of business on November 12, 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including information concerning our response to COVID-19, are forward-looking statements. We cannot assure you that the Company’s expectations expressed or implied in these forward-looking statements will turn out to be correct. The Company’s actual results could be materially different from its expectations because of various factors, that may include natural disasters, pandemics and outbreaks of contagious diseases and other adverse public health developments, such as COVID-19, changes in general economic conditions, increases in costs, changes in regulation and other competitive factors. Updates to the Risk Factors described in “Item 1A-Risk Factors” as provided in our Annual Report on Form 10-K for the year ended December 31, 2019, may be found below in Part II, under the heading “Item 1A-Risk Factors.</w:t>
      </w:r>
    </w:p>
    <w:p>
      <w:pPr>
        <w:spacing w:after="0" w:line="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the Company’s Annual Report on Form 10-K for its fiscal year ended December 31, 2019, including the unaudited condensed consolidated financial statements and related notes included therein.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Shenandoah Telecommunications Company (“Shentel”, “we”, “our”, “us”, or the “Company”), is a provider of a comprehensive range of broadband communication services and cell tower colocation space in the Mid-Atlantic portion of the United States. Management’s Discussion and Analysis is organized around our reporting segments. Refer to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our unaudited condensed consolidated financial statements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with the Three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6"/>
          </w:tcPr>
          <w:p>
            <w:pPr>
              <w:jc w:val="right"/>
              <w:ind w:right="966"/>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495"/>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47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20,323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r>
      <w:tr>
        <w:trPr>
          <w:trHeight w:val="21"/>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Revenue in the third quarter of 2020 increased 6.5% to $55.2 million from $51.8 million in the third quarter of 2019, due to growth of $2.0 million and $1.4 million, in the Broadband and Tower segments,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discussion of the results of operations for the Broadband and Tower segments, included within this quarterly report,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increased approximately $3.6 million, or 7.0%, during the three months ended September 30, 2020 compared with the three months ended September 30, 2019. The increase was primarily due to incremental Broadband operating expenses incurred to support the launch of our new fiber-to-the-home service, Glo Fiber, and new fixed wireless broadband service, Beam.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 expense decreased approximately $0.4 million, during the three months ended September 30, 2020 compared with the three months ended September 30, 2019, due to changes in excess tax benefits from share based compensation and other discrete items.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 net of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the notes to our interim financial statements, the results of our Wireless operations are now presented as discontinued operations.</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discontinued operations, net of tax, increased $20.3 million, or 154.1%. The increase was driven by a $10.4 million decline in depreciation and amortization primarily as a result of ceasing depreciation and amortization of assets held for sale, $5.5 million increase in postpaid wireless service revenue, a $4.5 million increase in travel revenue, and $4.2 million decline due to ceasing amortization on our right of use assets under operating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with the Nine Months Ended September 30, 2019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6"/>
          </w:tcPr>
          <w:p>
            <w:pPr>
              <w:jc w:val="right"/>
              <w:ind w:right="102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162,643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153,285</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165,404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153,437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1,716.4</w:t>
            </w:r>
          </w:p>
        </w:tc>
      </w:tr>
      <w:tr>
        <w:trPr>
          <w:trHeight w:val="495"/>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34"/>
        </w:trPr>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48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38,292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36,034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0"/>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increased $9.4 million or 6.1%, during the nine months ended September 30, 2020 compared with the nine months ended September 30, 2019, due to growth of $6.5 million and $3.3 million, in the Broadband and Tower segments,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discussion of the results of operations for the Broadband and Tower segments below for additional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increased approximately $12.0 million, or 7.8%, during the nine months ended September 30, 2020 compared with the nine months ended September 30, 2019. The increase was primarily due to incremental Broadband operating expenses incurred to support the launch of our new fiber-to-the-home service, Glo Fiber, and fixed wireless broadband solution, Beam.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Income tax expense decreased approximately $0.6 million, during the nine months ended September 30, 2020 compared with the nine months ended September 30, 2019, due to changes in taxable income.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 net of tax</w:t>
      </w:r>
    </w:p>
    <w:p>
      <w:pPr>
        <w:spacing w:after="0" w:line="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Income from discontinued operations net of tax increased $38.3 million or 100.4%. The increase was driven by a $22.2 million decrease in depreciation and amortization, a $19.5 million increase in travel revenue, a $7.0 million decline in interest expense from lower borrowing rates, $4.2 million in ceasing amortization of our right of use assets under operating leases partially offset by $13.8 million in higher income tax expense. Certain assets acquired from nTelos in 2016 became fully depreciated during 2020 and depreciation and amortization of the long-lived assets within our disposal group ceased in September 2020.</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Resolution of our travel revenue dispute during June of 2020 reset the travel fee at $1.5 million per month through 2021. As a result, we recognized $25.5 million of travel revenue during the nine months ended September 30, 2020 for service that we have provided since May 1, 2019. Of that amount, $12.0 million related to service provided during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Broadband</w:t>
      </w:r>
    </w:p>
    <w:p>
      <w:pPr>
        <w:spacing w:after="0" w:line="24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Broadband segment provides broadband, video and voice services to residential and commercial customers in portions of Virginia, West Virginia, Maryland, and Kentucky, via hybrid fiber coaxial (“HFC”)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The Broadband segment also provides voice and digital subscriber line (“DSL”) telephone services to customers in Virginia’s Shenandoah County as a Rural Local Exchange Carrier (“RLEC”). These integrated networks are connected by an approximately 6,700 fiber route mile network. This fiber optic network also supports our Wireless segment operations, which are currently classified as discontinued operations, and these intercompany transactions are reported at their market value.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Broadband: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7"/>
                <w:szCs w:val="17"/>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9"/>
        </w:trPr>
        <w:tc>
          <w:tcPr>
            <w:tcW w:w="4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Broadband homes passed (1) (2)</w:t>
            </w: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230,002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206,262</w:t>
            </w:r>
          </w:p>
        </w:tc>
      </w:tr>
      <w:tr>
        <w:trPr>
          <w:trHeight w:val="257"/>
        </w:trPr>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Incumbent Cable</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207,655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206,262</w:t>
            </w:r>
          </w:p>
        </w:tc>
      </w:tr>
      <w:tr>
        <w:trPr>
          <w:trHeight w:val="257"/>
        </w:trPr>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Glo Fiber</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22,347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Broadband customer relationships (3)</w:t>
            </w:r>
          </w:p>
        </w:tc>
        <w:tc>
          <w:tcPr>
            <w:tcW w:w="1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106,314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94,356</w:t>
            </w:r>
          </w:p>
        </w:tc>
      </w:tr>
      <w:tr>
        <w:trPr>
          <w:trHeight w:val="36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and SMB RGUs: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Broadband</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98,764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82,413</w:t>
            </w:r>
          </w:p>
        </w:tc>
      </w:tr>
      <w:tr>
        <w:trPr>
          <w:trHeight w:val="257"/>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Incumbent Cable</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95,962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82,413</w:t>
            </w:r>
          </w:p>
        </w:tc>
      </w:tr>
      <w:tr>
        <w:trPr>
          <w:trHeight w:val="257"/>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 Fiber</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2,802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Video</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53,647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55,015</w:t>
            </w:r>
          </w:p>
        </w:tc>
      </w:tr>
      <w:tr>
        <w:trPr>
          <w:trHeight w:val="25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Voice</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33,019</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30,956</w:t>
            </w: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Cable and Glo Fiber RGUs</w:t>
            </w: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185,430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168,384</w:t>
            </w:r>
          </w:p>
        </w:tc>
      </w:tr>
      <w:tr>
        <w:trPr>
          <w:trHeight w:val="36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and SMB Penetration (4)</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Broadband</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57"/>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Incumbent Cable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57"/>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 Fiber penetration</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Video</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5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Voice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36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Residential and SMB ARPU (5)</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Broadband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77.71</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77.47</w:t>
            </w:r>
          </w:p>
        </w:tc>
      </w:tr>
      <w:tr>
        <w:trPr>
          <w:trHeight w:val="270"/>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Incumbent Cable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77.66</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77.47</w:t>
            </w:r>
          </w:p>
        </w:tc>
      </w:tr>
      <w:tr>
        <w:trPr>
          <w:trHeight w:val="270"/>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 Fiber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80.03</w:t>
            </w:r>
          </w:p>
        </w:tc>
        <w:tc>
          <w:tcPr>
            <w:tcW w:w="1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Video</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93.08</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89.32</w:t>
            </w:r>
          </w:p>
        </w:tc>
      </w:tr>
      <w:tr>
        <w:trPr>
          <w:trHeight w:val="25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Voice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29.61</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30.68</w:t>
            </w:r>
          </w:p>
        </w:tc>
      </w:tr>
      <w:tr>
        <w:trPr>
          <w:trHeight w:val="365"/>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Fiber route miles</w:t>
            </w:r>
          </w:p>
        </w:tc>
        <w:tc>
          <w:tcPr>
            <w:tcW w:w="1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5,864</w:t>
            </w:r>
          </w:p>
        </w:tc>
      </w:t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fiber miles (6)</w:t>
            </w: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367,154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311,702</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right="20" w:hanging="328"/>
        <w:spacing w:after="0" w:line="24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16,600 RLEC homes passed where we are the dual incumbent telephone and cable provider.</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relationships represent the number of billed customers who receive at least one of our services.</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homes passed or available homes, as appropriate.</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Customer calculation = (Residential &amp; SMB Revenue * 1,000) / average customer relationships / 3 months</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with the Three Months Ended September 30, 2019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ind w:right="646"/>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4"/>
                <w:szCs w:val="14"/>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4"/>
                <w:szCs w:val="14"/>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8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restart"/>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6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Cable, residential and SMB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37,469</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69.2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2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Fiber, enterprise and wholesale</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Rural local exchange carrier</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4,645</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and other</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2,007</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2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broadband revenue</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50,710</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5"/>
        </w:trPr>
        <w:tc>
          <w:tcPr>
            <w:tcW w:w="476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Broadband operating expenses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21,326</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9,792</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34"/>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10,106</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2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41,224</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76.9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23"/>
        </w:trPr>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9,486</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23.1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 residential and small and medium business (SMB)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Cable, residential and SMB revenue increased during the three months ended September 30, 2020 approximately $3.8 million, or 11.2%, primarily driven by 19.8% growth in broadband subscribers.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Fiber, enterprise and wholesale revenue</w:t>
      </w:r>
    </w:p>
    <w:p>
      <w:pPr>
        <w:spacing w:after="0" w:line="31"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Fiber, enterprise and wholesale revenue decreased during the three months ended September 30, 2020 approximately $0.5 million, or 7.0%, due primarily to lower amortized revenue partially offset by growth in enterprise and backhaul connections.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Rural local exchange carrier (RLEC) revenue</w:t>
      </w:r>
    </w:p>
    <w:p>
      <w:pPr>
        <w:spacing w:after="0" w:line="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RLEC revenue decreased approximately $0.9 million, or 16.8%, compared with the three months ended September 30, 2019 due to lower governmental support and a decline in residential voice and data subscribers.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Cost of services increased $1.3 million, or 6.5%, primarily driven by higher compensation costs due to Glo Fiber and Beam fixed wireless start-up staffing and maintenance of the expanding network.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increased $1.0 million or 11.4% compared with the three months ended September 30, 2019, due to increases in compensation expense of $1.5 million as a result of Glo Fiber and Beam fixed wireless start-up staffing, offset by a $0.4 million reduction in bad debt expense.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Depreciation and amortization increased $1.5 million or 17.3%, compared with the three months ended September 30, 2019, primarily as a result of our network expansion, the introduction of fiber to the home service under our brand, Glo Fiber, and our fixed wireless broadband solution, Beam.</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with the Nine Months Ended September 30, 2019</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right"/>
              <w:ind w:right="706"/>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4"/>
                <w:szCs w:val="2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4"/>
                <w:szCs w:val="14"/>
                <w:color w:val="auto"/>
              </w:rPr>
            </w:pPr>
          </w:p>
        </w:tc>
        <w:tc>
          <w:tcPr>
            <w:tcW w:w="8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14"/>
                <w:szCs w:val="14"/>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8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restart"/>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Broadband revenue</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Cable, residential and SMB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108,242</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71.9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99,703</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69.2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Fiber, enterprise and wholesale</w:t>
            </w: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21,853</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14.1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Rural local exchange carrier</w:t>
            </w: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14,607</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and other</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5,928</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4.7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broadband revenue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150,630</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5"/>
        </w:trPr>
        <w:tc>
          <w:tcPr>
            <w:tcW w:w="47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Broadband operating expenses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61,572</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59,348</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28,960</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16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30,448</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18.9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23"/>
        </w:trPr>
        <w:tc>
          <w:tcPr>
            <w:tcW w:w="4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120,980</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110,907</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77.0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29,650</w:t>
            </w:r>
          </w:p>
        </w:tc>
        <w:tc>
          <w:tcPr>
            <w:tcW w:w="9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w:t>
            </w:r>
          </w:p>
        </w:tc>
        <w:tc>
          <w:tcPr>
            <w:tcW w:w="11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23.0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 residential and small and medium business (SMB)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Cable, residential and SMB revenue increased during the nine months ended September 30, 2020 approximately $8.5 million, or 8.6%, primarily driven by 19.8% growth in broadband subscribers.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Fiber, enterprise and wholesale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Fiber, enterprise and wholesale revenue increased during the nine months ended September 30, 2020 approximately $1.5 million, or 7.3%, due primarily to an increase in new enterprise and backhaul connections.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Rural local exchange carrier (RLEC) 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RLEC revenue decreased approximately $2.7 million, or 15.6%, compared with the nine months ended September 30, 2019 due primarily to a decline in residential voice and data subscribers, lower governmental support, lower switched access revenue from other carriers, and lower intercompany phone service.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of services increased $2.2 million, or 3.7%, primarily driven by higher compensation expense to support the expansion of our network related to the launch of our new services Glo Fiber and Beam.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increased $4.6 million or 19.1% compared with the nine months ended September 30, 2019, due to increases in compensation expense of $4.1 million as a result of Glo Fiber and Beam fixed wireless start-up staffing, higher benefit plan and incentive accruals from strong operating results, and $0.6 million of professional fees.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Depreciation and amortization increased $3.2 million or 11.8%, compared with the nine months ended September 30, 2019, primarily as a result of our network expansion and the introduction of fiber to the home service under our brand, Glo Fiber.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Tower</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Tower segment owns 230 cell towers and small cell sites and leases colocation space on the towers to wireless communications providers, including our Wireless segment which is currently classified as a discontinued operation. Substantially all of our owned towers are built on ground that we lease from the respective landlords. The colocation space that we lease to our Wireless segment is priced at our estimate of fair market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6"/>
        </w:trPr>
        <w:tc>
          <w:tcPr>
            <w:tcW w:w="6360" w:type="dxa"/>
            <w:vAlign w:val="bottom"/>
            <w:gridSpan w:val="2"/>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7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the Tower segment: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97"/>
        </w:trPr>
        <w:tc>
          <w:tcPr>
            <w:tcW w:w="4780" w:type="dxa"/>
            <w:vAlign w:val="bottom"/>
          </w:tcPr>
          <w:p>
            <w:pPr>
              <w:spacing w:after="0"/>
              <w:rPr>
                <w:sz w:val="24"/>
                <w:szCs w:val="24"/>
                <w:color w:val="auto"/>
              </w:rPr>
            </w:pP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9"/>
        </w:trPr>
        <w:tc>
          <w:tcPr>
            <w:tcW w:w="6360" w:type="dxa"/>
            <w:vAlign w:val="bottom"/>
            <w:gridSpan w:val="2"/>
          </w:tcPr>
          <w:p>
            <w:pPr>
              <w:ind w:left="56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Macro towers owned</w:t>
            </w:r>
          </w:p>
        </w:tc>
        <w:tc>
          <w:tcPr>
            <w:tcW w:w="1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cell sites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Tenants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tenants per tower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 and 177 intercompany tenants for our Wireless segment as of September 30, 2020 and 2019,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with the Three Months Ended September 30,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14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4"/>
                <w:szCs w:val="14"/>
                <w:color w:val="auto"/>
              </w:rPr>
            </w:pP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4"/>
                <w:szCs w:val="14"/>
                <w:color w:val="auto"/>
              </w:rPr>
            </w:pPr>
          </w:p>
        </w:tc>
        <w:tc>
          <w:tcPr>
            <w:tcW w:w="8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tcPr>
          <w:p>
            <w:pPr>
              <w:jc w:val="right"/>
              <w:ind w:right="261"/>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restart"/>
          </w:tcPr>
          <w:p>
            <w:pPr>
              <w:spacing w:after="0"/>
              <w:rPr>
                <w:sz w:val="14"/>
                <w:szCs w:val="14"/>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ind w:right="35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Tower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4,501</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3,140</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34"/>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2,080</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1,810</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57.6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23"/>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Tower 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2,421</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1,330</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42.4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$1.4 million, or 43.3%, during the three months ended September 30, 2020 compared with the three months ended September 30, 2019. This increase was due to a 8.9% increase in tenants and a 37.9% increase in average revenue per tenant driven by amendments to intercompany leases effective in the first quarter of 2020.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comparable with the prior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with the Nine Months Ended September 30,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8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4"/>
                <w:szCs w:val="24"/>
                <w:color w:val="auto"/>
              </w:rPr>
            </w:pPr>
          </w:p>
        </w:tc>
        <w:tc>
          <w:tcPr>
            <w:tcW w:w="14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14"/>
                <w:szCs w:val="14"/>
                <w:color w:val="auto"/>
              </w:rPr>
            </w:pP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4"/>
                <w:szCs w:val="14"/>
                <w:color w:val="auto"/>
              </w:rPr>
            </w:pPr>
          </w:p>
        </w:tc>
        <w:tc>
          <w:tcPr>
            <w:tcW w:w="8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tcPr>
          <w:p>
            <w:pPr>
              <w:jc w:val="right"/>
              <w:ind w:right="261"/>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restart"/>
          </w:tcPr>
          <w:p>
            <w:pPr>
              <w:spacing w:after="0"/>
              <w:rPr>
                <w:sz w:val="14"/>
                <w:szCs w:val="14"/>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ind w:right="357"/>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Tower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12,490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9,195</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4"/>
                <w:szCs w:val="14"/>
                <w:color w:val="auto"/>
              </w:rPr>
              <w:t>100.0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34"/>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6,046</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5,440</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59.2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23"/>
        </w:trPr>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Tower 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6,444</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3,755</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color w:val="auto"/>
              </w:rPr>
              <w:t>40.8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$3.3 million, or 35.8%, during the nine months ended September 30, 2020 compared with the nine months ended September 30, 2019. This increase was due to a 10.2% increase in tenants and a 26.0% increase in average revenue per tenant driven by amendments to intercompany leases.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ind w:right="640"/>
        <w:spacing w:after="0" w:line="245" w:lineRule="auto"/>
        <w:rPr>
          <w:sz w:val="20"/>
          <w:szCs w:val="20"/>
          <w:color w:val="auto"/>
        </w:rPr>
      </w:pPr>
      <w:r>
        <w:rPr>
          <w:rFonts w:ascii="Times New Roman" w:cs="Times New Roman" w:eastAsia="Times New Roman" w:hAnsi="Times New Roman"/>
          <w:sz w:val="18"/>
          <w:szCs w:val="18"/>
          <w:color w:val="auto"/>
        </w:rPr>
        <w:t>Operating expenses increased approximately $0.6 million during the nine months ended September 30, 2020 compared to the prior year period due primarily to increases in ground lease rent.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OIBDA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OIBDA represents Operating income from continuing operations before depreciation, amortization of intangible assets, stock-based compensation and certain other items of revenue, expense, gain or loss not reflective of our operating performance, which may or may not be recurring in nature.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OIBDA is a non-GAAP financial measure that we use to evaluate our operating performance in comparison to our competitors. Management believes that analysts and investors use Adjusted OIBDA as a supplemental measure of operating performance to facilitate comparisons with other telecommunications companies. This measure isolates and evaluates operating performance by excluding the cost of financing (e.g., interest expense), as well as the non-cash depreciation and amortization of past capital investments, non-cash share-based compensation expense, and certain other items of revenue, expense, gain or loss not reflective of our operating performance, which may or may not be recurring in nature.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OIBDA has limitations as an analytical tool and should not be considered in isolation or as a substitute for operating income, net income or any other measure of financial performance reported in accordance with U.S. Generally Accepted Accounting Principles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Adjusted OIBDA to operating income from continuing operations, which we consider to be the most directly comparable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20" w:type="dxa"/>
            <w:vAlign w:val="bottom"/>
          </w:tcPr>
          <w:p>
            <w:pPr>
              <w:spacing w:after="0"/>
              <w:rPr>
                <w:sz w:val="15"/>
                <w:szCs w:val="15"/>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0" w:type="dxa"/>
            <w:vAlign w:val="bottom"/>
          </w:tcPr>
          <w:p>
            <w:pPr>
              <w:spacing w:after="0"/>
              <w:rPr>
                <w:sz w:val="1"/>
                <w:szCs w:val="1"/>
                <w:color w:val="auto"/>
              </w:rPr>
            </w:pPr>
          </w:p>
        </w:tc>
      </w:tr>
      <w:tr>
        <w:trPr>
          <w:trHeight w:val="234"/>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OIBDA</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0" w:type="dxa"/>
            <w:vAlign w:val="bottom"/>
          </w:tcPr>
          <w:p>
            <w:pPr>
              <w:spacing w:after="0"/>
              <w:rPr>
                <w:sz w:val="1"/>
                <w:szCs w:val="1"/>
                <w:color w:val="auto"/>
              </w:rPr>
            </w:pPr>
          </w:p>
        </w:tc>
      </w:tr>
      <w:tr>
        <w:trPr>
          <w:trHeight w:val="218"/>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4"/>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Deal advisory fees</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20" w:type="dxa"/>
            <w:vAlign w:val="bottom"/>
          </w:tcPr>
          <w:p>
            <w:pPr>
              <w:spacing w:after="0"/>
              <w:rPr>
                <w:sz w:val="15"/>
                <w:szCs w:val="15"/>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4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9"/>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0" w:type="dxa"/>
            <w:vAlign w:val="bottom"/>
          </w:tcPr>
          <w:p>
            <w:pPr>
              <w:spacing w:after="0"/>
              <w:rPr>
                <w:sz w:val="1"/>
                <w:szCs w:val="1"/>
                <w:color w:val="auto"/>
              </w:rPr>
            </w:pPr>
          </w:p>
        </w:tc>
      </w:tr>
      <w:tr>
        <w:trPr>
          <w:trHeight w:val="234"/>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OIBDA</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0" w:type="dxa"/>
            <w:vAlign w:val="bottom"/>
          </w:tcPr>
          <w:p>
            <w:pPr>
              <w:spacing w:after="0"/>
              <w:rPr>
                <w:sz w:val="1"/>
                <w:szCs w:val="1"/>
                <w:color w:val="auto"/>
              </w:rPr>
            </w:pPr>
          </w:p>
        </w:tc>
      </w:tr>
      <w:tr>
        <w:trPr>
          <w:trHeight w:val="223"/>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6"/>
        </w:trPr>
        <w:tc>
          <w:tcPr>
            <w:tcW w:w="4320" w:type="dxa"/>
            <w:vAlign w:val="bottom"/>
            <w:gridSpan w:val="2"/>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20" w:type="dxa"/>
            <w:vAlign w:val="bottom"/>
          </w:tcPr>
          <w:p>
            <w:pPr>
              <w:spacing w:after="0"/>
              <w:rPr>
                <w:sz w:val="15"/>
                <w:szCs w:val="15"/>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29"/>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0" w:type="dxa"/>
            <w:vAlign w:val="bottom"/>
          </w:tcPr>
          <w:p>
            <w:pPr>
              <w:spacing w:after="0"/>
              <w:rPr>
                <w:sz w:val="1"/>
                <w:szCs w:val="1"/>
                <w:color w:val="auto"/>
              </w:rPr>
            </w:pPr>
          </w:p>
        </w:tc>
      </w:tr>
      <w:tr>
        <w:trPr>
          <w:trHeight w:val="234"/>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OIBDA</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0" w:type="dxa"/>
            <w:vAlign w:val="bottom"/>
          </w:tcPr>
          <w:p>
            <w:pPr>
              <w:spacing w:after="0"/>
              <w:rPr>
                <w:sz w:val="1"/>
                <w:szCs w:val="1"/>
                <w:color w:val="auto"/>
              </w:rPr>
            </w:pPr>
          </w:p>
        </w:tc>
      </w:tr>
      <w:tr>
        <w:trPr>
          <w:trHeight w:val="218"/>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0" w:type="dxa"/>
            <w:vAlign w:val="bottom"/>
          </w:tcPr>
          <w:p>
            <w:pPr>
              <w:spacing w:after="0"/>
              <w:rPr>
                <w:sz w:val="1"/>
                <w:szCs w:val="1"/>
                <w:color w:val="auto"/>
              </w:rPr>
            </w:pPr>
          </w:p>
        </w:tc>
      </w:tr>
      <w:tr>
        <w:trPr>
          <w:trHeight w:val="234"/>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Deal advisory fees</w:t>
            </w: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0" w:type="dxa"/>
            <w:vAlign w:val="bottom"/>
          </w:tcPr>
          <w:p>
            <w:pPr>
              <w:spacing w:after="0"/>
              <w:rPr>
                <w:sz w:val="1"/>
                <w:szCs w:val="1"/>
                <w:color w:val="auto"/>
              </w:rPr>
            </w:pPr>
          </w:p>
        </w:tc>
      </w:tr>
      <w:tr>
        <w:trPr>
          <w:trHeight w:val="21"/>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3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20" w:type="dxa"/>
            <w:vAlign w:val="bottom"/>
          </w:tcPr>
          <w:p>
            <w:pPr>
              <w:spacing w:after="0"/>
              <w:rPr>
                <w:sz w:val="15"/>
                <w:szCs w:val="15"/>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0" w:type="dxa"/>
            <w:vAlign w:val="bottom"/>
          </w:tcPr>
          <w:p>
            <w:pPr>
              <w:spacing w:after="0"/>
              <w:rPr>
                <w:sz w:val="1"/>
                <w:szCs w:val="1"/>
                <w:color w:val="auto"/>
              </w:rPr>
            </w:pPr>
          </w:p>
        </w:tc>
      </w:tr>
      <w:tr>
        <w:trPr>
          <w:trHeight w:val="234"/>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OIBDA</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0" w:type="dxa"/>
            <w:vAlign w:val="bottom"/>
          </w:tcPr>
          <w:p>
            <w:pPr>
              <w:spacing w:after="0"/>
              <w:rPr>
                <w:sz w:val="1"/>
                <w:szCs w:val="1"/>
                <w:color w:val="auto"/>
              </w:rPr>
            </w:pPr>
          </w:p>
        </w:tc>
      </w:tr>
      <w:tr>
        <w:trPr>
          <w:trHeight w:val="223"/>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36,424</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Our principal sources of liquidity are our cash and cash equivalents, cash generated from operations, proceeds available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revolving line of credit, and proceeds from dispositions.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2020 our cash and cash equivalents totaled $184.1 million and the availability under our revolving line of credit was $75.0 million, for total available liquidity of $259.1 million.</w:t>
      </w:r>
    </w:p>
    <w:p>
      <w:pPr>
        <w:spacing w:after="0" w:line="189"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generated approximately $44.8 million of net cash from continuing operations during the nine months ended September 30, 2020, consistent with the nine months ended September 30, 2019.</w:t>
      </w: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contributed $182.5 million driven by strong results for our Wireless operations, including a $19.5 million increase due to the resolution of our travel revenue dispute with Sprint.</w:t>
      </w:r>
    </w:p>
    <w:p>
      <w:pPr>
        <w:spacing w:after="0" w:line="2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increased $23.1 million during the nine months ended September 30, 2020, compared with the nine months ended September 30, 2019 due to the following:</w:t>
      </w: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$33.9 million increase in capital expenditures due primarily to higher spending in the Broadband segment primarily driven by our Glo Fiber market expansion.</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million decline in acquisitions. In 2019, the Company acquired Big Sandy Broadband, Inc. for $10.0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from discontinued operations decreased $40.4 million to $17.8 million during the nine months ended September 30, 2020, due to completion of the nTelos and Parkersburg network expansions in the first half of 2019 and postponement of Richmond Sliver territory expansion projects.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from continuing operations during the nine months ended September 30, 2020, consistent with the nine months ended September 30, 2019.</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As of September 30, 2020, the Company’s indebtedness totaled approximately $696.4 million, net of unamortized loan fees of $10.1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an annualized overall weighted average interest rate of approximately 2.3%. Cash proceeds to be received, in connection with the completion of the sale of the Wireless segment operating assets and operations, are required to be used to repay our outstanding indebtedness. Principal payments on our debt are thus presented as cash used to finance our discontinued operations. Refer to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about the Company's Credit Facility and financial covenants.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Borrowing Capacity: </w:t>
      </w:r>
      <w:r>
        <w:rPr>
          <w:rFonts w:ascii="Times New Roman" w:cs="Times New Roman" w:eastAsia="Times New Roman" w:hAnsi="Times New Roman"/>
          <w:sz w:val="18"/>
          <w:szCs w:val="18"/>
          <w:color w:val="auto"/>
        </w:rPr>
        <w:t>As of September 30, 2020, the Company’s outstanding debt principal, under the Credit Facility, totaled $706.4 million, with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annualized effective interest rate of 2.3% after considering the impact of the interest rate swap contracts and unamortized loan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were in compliance with the financial covenants in our Credit Facility agreement.</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cash on hand, available funds under our revolving credit facility, proceeds received from dispositions, and our cash flow from continuing operations will be sufficient to meet our anticipated liquidity needs for business operations for the next twelve months. There can be no assurance that we will continue to generate cash flows at or above current levels or that we will be able to maintain our ability to borrow under our credit facility. Thereafter, capital expenditures will likely be required to continue planned capital upgrades to the broadband networks, tower infrastructure and to provide increased capacity to meet expected growth in demand for our products and services. The actual amount and timing of our future capital requirements may differ materially from our estimate depending on the demand for our products and services, including the outcome of a potential sale of our wireless segment to T-Mobile, new market developments and expansion opportunities.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proceeds from dispositions and cash flows from continuing operations could be adversely affected by events outside our control, including, without limitation, changes in overall economic conditions, regulatory requirements, changes in technologies, demand for our products and services, availability of labor resources and capital, changes in our relationship with Sprint,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as previously disclosed in Part II, Item 8 of our Annual Report on Form 10-K for the year ended December 31, 2019.</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the Company had $706.4 million of gross variable rate debt outstanding, bearing interest at a weighted average rate of 2.3%. An increase in market interest rates of 1.00% would add approximately $6.9 million to annual interest expense, excluding the effect of our interest rate swaps. The swaps cover notional principal equal to $303.5 million, or approximately 43% as of September 30, 2020. The Company is required to pay a combined fixed rate of approximately 1.16% and receive a variable rate based on one month LIBOR (0.16% at September 30, 2020), to manage a portion of its interest rate risk. Changes in the net interest paid or received under the swaps would offset a corresponding portion of the change in interest expense on the variable rate debt outstanding.</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our Annual Report on Form 10-K for our fiscal year ended December 31, 2019,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our Senior Vice President - Finance and Chief Financial Officer, and our Vice President - Chief Accounting Officer, have concluded that our disclosure controls and procedures continued to be ineffective as of September 30, 2020.</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continued execution of Management's Remediation Plan. Aside from continued improvements under this plan, there were no changes in our internal control over financial reporting that materially affected or are reasonably likely to materially affect our internal control over financial reporting. We are evaluating the impact of the anticipated sale of our discontinued Wireless operations on our remediation plan and timeline.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b w:val="1"/>
          <w:bCs w:val="1"/>
          <w:color w:val="auto"/>
        </w:rPr>
        <w:t>RISK FACTORS</w:t>
      </w:r>
    </w:p>
    <w:p>
      <w:pPr>
        <w:spacing w:after="0" w:line="2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We discuss in our Annual Report on Form 10-K various risks that may materially affect our business. We use this section to update this discussion to reflect material developments since our Form 10-K was filed. As of September 30, 2020, except as </w:t>
      </w:r>
      <w:r>
        <w:rPr>
          <w:rFonts w:ascii="Times New Roman" w:cs="Times New Roman" w:eastAsia="Times New Roman" w:hAnsi="Times New Roman"/>
          <w:sz w:val="18"/>
          <w:szCs w:val="18"/>
          <w:color w:val="212529"/>
        </w:rPr>
        <w:t>described below, there have been no significant changes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Risk Factors previously disclosed in Part I, Item 1A of our Annual Report on Form 10-K for the year ended December 31, 2019.</w:t>
      </w:r>
    </w:p>
    <w:p>
      <w:pPr>
        <w:spacing w:after="0" w:line="181" w:lineRule="exact"/>
        <w:rPr>
          <w:sz w:val="20"/>
          <w:szCs w:val="20"/>
          <w:color w:val="auto"/>
        </w:rPr>
      </w:pPr>
    </w:p>
    <w:p>
      <w:pPr>
        <w:jc w:val="both"/>
        <w:ind w:right="340"/>
        <w:spacing w:after="0" w:line="227" w:lineRule="auto"/>
        <w:rPr>
          <w:sz w:val="20"/>
          <w:szCs w:val="20"/>
          <w:color w:val="auto"/>
        </w:rPr>
      </w:pPr>
      <w:r>
        <w:rPr>
          <w:rFonts w:ascii="Times New Roman" w:cs="Times New Roman" w:eastAsia="Times New Roman" w:hAnsi="Times New Roman"/>
          <w:sz w:val="18"/>
          <w:szCs w:val="18"/>
          <w:b w:val="1"/>
          <w:bCs w:val="1"/>
          <w:color w:val="auto"/>
        </w:rPr>
        <w:t>Risks Related to the Business Combination and integration between T-Mobile and Sprint and the related purchase option appraisal process to determine the value of our Wireless assets and operations could cause significant volatility in the trading and value of the Company’s common stock.</w:t>
      </w:r>
    </w:p>
    <w:p>
      <w:pPr>
        <w:spacing w:after="0" w:line="18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212529"/>
        </w:rPr>
        <w:t>As previously disclosed, on April 1, 2020, T-Mobile US, Inc. (“T-Mobile”) publicly announced the completion of its business combination with Sprint Corporation (“Sprint”) and subsequently delivered to the Company a notice of Network Technology Conversion, Brand Conversion and Combination Conversion (a “Conversion Notice”) pursuant to the terms of the Company’s affiliate agreement with Sprint. On August 26, 2020, T-Mobile exercised its option to purchase the assets and operations of our Wireless operations for 90% of the “Entire Business Value” (as defined under our affiliate agreement and determined pursuant to the appraisal process under the affiliate agreement). The appraised value and ultimate closing of the sale to T-Mobile does not require shareholder approval. The value of the Company's Wireless assets and operations determined through the appraisal process is uncertain and may not reflect the value implied by the value of our common stock.</w:t>
      </w:r>
    </w:p>
    <w:p>
      <w:pPr>
        <w:spacing w:after="0" w:line="1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212529"/>
        </w:rPr>
        <w:t>As previously disclosed, the Company had disputed the framework of the appraisal process and other contractual terms related to T-Mobile’s pending acquisition of our Wireless assets and operations. Although the parties have now aligned in principle to resolve such disputed items, additional disputes may arise during the appraisal process which could delay the determination of Entire Business Value, delay the closing of the sale of our Wireless assets and operations and adversely affect the appraised value of our Wireless assets and operations.</w:t>
      </w:r>
    </w:p>
    <w:p>
      <w:pPr>
        <w:spacing w:after="0" w:line="186"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212529"/>
        </w:rPr>
        <w:t>The Company’s Board of Directors has not determined the use of the proceeds from the pending sale of our Wireless assets and operations and the decision could be different than expectations and cause significant volatility in the trading and value of our common stock.</w:t>
      </w:r>
    </w:p>
    <w:p>
      <w:pPr>
        <w:spacing w:after="0" w:line="185"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212529"/>
        </w:rPr>
        <w:t xml:space="preserve">The affiliate agreement also provides that 90 days following delivery of the </w:t>
      </w:r>
      <w:r>
        <w:rPr>
          <w:rFonts w:ascii="Times New Roman" w:cs="Times New Roman" w:eastAsia="Times New Roman" w:hAnsi="Times New Roman"/>
          <w:sz w:val="18"/>
          <w:szCs w:val="18"/>
          <w:color w:val="000000"/>
        </w:rPr>
        <w:t>Conversion Notice</w:t>
      </w:r>
      <w:r>
        <w:rPr>
          <w:rFonts w:ascii="Times New Roman" w:cs="Times New Roman" w:eastAsia="Times New Roman" w:hAnsi="Times New Roman"/>
          <w:sz w:val="18"/>
          <w:szCs w:val="18"/>
          <w:color w:val="212529"/>
        </w:rPr>
        <w:t xml:space="preserve">, T-Mobile may effect a </w:t>
      </w:r>
      <w:r>
        <w:rPr>
          <w:rFonts w:ascii="Times New Roman" w:cs="Times New Roman" w:eastAsia="Times New Roman" w:hAnsi="Times New Roman"/>
          <w:sz w:val="18"/>
          <w:szCs w:val="18"/>
          <w:color w:val="000000"/>
        </w:rPr>
        <w:t>Technology</w:t>
      </w:r>
      <w:r>
        <w:rPr>
          <w:rFonts w:ascii="Times New Roman" w:cs="Times New Roman" w:eastAsia="Times New Roman" w:hAnsi="Times New Roman"/>
          <w:sz w:val="18"/>
          <w:szCs w:val="18"/>
          <w:color w:val="212529"/>
        </w:rPr>
        <w:t xml:space="preserve"> Conversion, Brand Conversion and Combination Conversion (each as defined in the affiliate agreement), following which T-Mobile is permitted to take certain competitive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color w:val="212529"/>
        </w:rPr>
        <w:t>other actions that could directly or indirectly adversely affect</w:t>
      </w:r>
      <w:r>
        <w:rPr>
          <w:rFonts w:ascii="Times New Roman" w:cs="Times New Roman" w:eastAsia="Times New Roman" w:hAnsi="Times New Roman"/>
          <w:sz w:val="18"/>
          <w:szCs w:val="18"/>
          <w:color w:val="000000"/>
        </w:rPr>
        <w:t xml:space="preserve"> the Company’s </w:t>
      </w:r>
      <w:r>
        <w:rPr>
          <w:rFonts w:ascii="Times New Roman" w:cs="Times New Roman" w:eastAsia="Times New Roman" w:hAnsi="Times New Roman"/>
          <w:sz w:val="18"/>
          <w:szCs w:val="18"/>
          <w:color w:val="212529"/>
        </w:rPr>
        <w:t>Wireless business and operations. T-Mobile began integration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collection policies and voice traffic policies in the second quarter 2020 and credit policies, the brands, rate plans, sales, distribution channels and network in the third quarter 2020. The integration activities have adversely affected, and are likely to continue to adversely affect, our Wireless segment operating and financial results. </w:t>
      </w:r>
      <w:r>
        <w:rPr>
          <w:rFonts w:ascii="Times New Roman" w:cs="Times New Roman" w:eastAsia="Times New Roman" w:hAnsi="Times New Roman"/>
          <w:sz w:val="18"/>
          <w:szCs w:val="18"/>
          <w:color w:val="000000"/>
        </w:rPr>
        <w:t>Although the agreement in principle, with T-Mobile, to resolve the appraisal framework dispute requires the appraisers to disregard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merger integration effects, it is uncertain how these impacts will be interpreted by the appraisers and could adversely affect the appraised value of our Wireless assets and operations.</w:t>
      </w:r>
    </w:p>
    <w:p>
      <w:pPr>
        <w:spacing w:after="0" w:line="18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 addition, management and financial resources have been diverted and will continue to be diverted toward a potential transaction with T-Mobile. We have incurred, and expect to incur, significant costs, expenses and fees for professional services and other transaction costs in connection with this process and related planning. These costs could adversely affect our financial condition and results of operations prior to the determination of the future of our Wireless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12"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future outbreak of other highly infectious or contagious diseases, could disrupt the operation of our business resulting in adverse impacts to our financial condition, results of operations, and cash flow and could create significant volatility in the trading and value of the Company’s common stock.</w:t>
      </w:r>
    </w:p>
    <w:p>
      <w:pPr>
        <w:spacing w:after="0" w:line="18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Since being reported in December 2019 in China, an outbreak of a new strain of coronavirus (“COVID-19”) has spread globally, including to every state in the United States. In March 2020, the World Health Organization declared COVID-19 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pandemic and the United States declared a national emergency. The COVID-19 pandemic has negatively impacted the global economy, disrupted global supply chains, and created significant volatility and disruption of financial markets, and another pandemic in the future could have similar effects. Given the ongoing and dynamic nature of the circumstances, it is difficult to predict the impact of COVID-19 on the Company, and there is no guarantee that efforts by Shentel, designed to address adverse impacts of the coronavirus, will be effective.</w:t>
      </w:r>
    </w:p>
    <w:p>
      <w:pPr>
        <w:spacing w:after="0" w:line="18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Governments in the markets that we operate have mandated residents to stay at home and have temporarily closed businesses that are not considered essential. Although our businesses are considered essential, the Company temporarily closed approximately 40% of its Sprint branded retail stores during March 2020 as a result of the COVID-19 pandemic before re-opening them in the second quarter of 2020 and adversely affected and continues to affect our Wireless postpaid subscriber gross additions. In addition, the current COVID-19 pandemic, or a future pandemic, could have material and adverse effects on our ability to successfully operate and on our financial condition, results of operations and cash flows due to, among other factors:</w:t>
      </w:r>
    </w:p>
    <w:p>
      <w:pPr>
        <w:spacing w:after="0" w:line="1" w:lineRule="exact"/>
        <w:rPr>
          <w:sz w:val="20"/>
          <w:szCs w:val="20"/>
          <w:color w:val="auto"/>
        </w:rPr>
      </w:pPr>
    </w:p>
    <w:p>
      <w:pPr>
        <w:ind w:left="1300" w:hanging="401"/>
        <w:spacing w:after="0" w:line="20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disruptions or delays in our operations or network performance, as well as network maintenance and construction, testing, supervisory and customer support activities, and inventory and supply procurement;</w:t>
      </w:r>
    </w:p>
    <w:p>
      <w:pPr>
        <w:jc w:val="both"/>
        <w:ind w:left="1300" w:hanging="401"/>
        <w:spacing w:after="0" w:line="20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inventory shortages and/or a decrease in productivity related to travel bans and social distancing efforts, which could include delays in our ability to install broadband services at customer locations or require our vendors and contractors to incur additional costs that may be passed onto us;</w:t>
      </w:r>
    </w:p>
    <w:p>
      <w:pPr>
        <w:spacing w:after="0" w:line="1" w:lineRule="exact"/>
        <w:rPr>
          <w:rFonts w:ascii="Times New Roman" w:cs="Times New Roman" w:eastAsia="Times New Roman" w:hAnsi="Times New Roman"/>
          <w:sz w:val="18"/>
          <w:szCs w:val="18"/>
          <w:color w:val="auto"/>
        </w:rPr>
      </w:pPr>
    </w:p>
    <w:p>
      <w:pPr>
        <w:ind w:left="1300" w:hanging="401"/>
        <w:spacing w:after="0" w:line="20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our ability to operate in affected areas or delays in the supply of products or services to us from vendors that are needed for our efficient operations;</w:t>
      </w:r>
    </w:p>
    <w:p>
      <w:pPr>
        <w:ind w:left="1300" w:hanging="401"/>
        <w:spacing w:after="0" w:line="203"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ability of our counterparties to meet their obligations to us in full, or at all;</w:t>
      </w:r>
    </w:p>
    <w:p>
      <w:pPr>
        <w:ind w:left="1300" w:hanging="401"/>
        <w:spacing w:after="0" w:line="20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reduction in business and economic activity may severely impact our customers and may cause them to be unable to pay for services provided; and</w:t>
      </w:r>
    </w:p>
    <w:p>
      <w:pPr>
        <w:ind w:left="1300" w:hanging="401"/>
        <w:spacing w:after="0" w:line="22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8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Shentel has implemented policies and procedures designed to mitigate the risk of adverse impacts of the COVID-19 pandemic, or a future pandemic, on the Company’s operations, but it may incur additional costs to ensure continuity of business operations caused by COVID-19, or other future pandemics, which could adversely affect its financial condition and results of operations. However, the extent of such impacts will depend on future developments, which are highly uncertain and cannot be predicted, including new information that may emerge concerning the severity of COVID-19 and actions taken to contain COVID-19 or its impact.</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or Affiliated Purchasers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shares repurchased during the third quarter ended September 30, 2020. Such activity typically occurs in the first half of the year connected to stock compensation vesting events to settle employee tax withholding requirements. There have been no repurchases of shares during 2020 through the share repurchase program.</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15"/>
                <w:szCs w:val="15"/>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 except per share amounts)</w:t>
            </w:r>
          </w:p>
        </w:tc>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230"/>
        </w:trPr>
        <w:tc>
          <w:tcPr>
            <w:tcW w:w="3140" w:type="dxa"/>
            <w:vAlign w:val="bottom"/>
            <w:vMerge w:val="continue"/>
          </w:tcPr>
          <w:p>
            <w:pPr>
              <w:spacing w:after="0"/>
              <w:rPr>
                <w:sz w:val="19"/>
                <w:szCs w:val="19"/>
                <w:color w:val="auto"/>
              </w:rPr>
            </w:pPr>
          </w:p>
        </w:tc>
        <w:tc>
          <w:tcPr>
            <w:tcW w:w="15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Surrendered</w:t>
            </w:r>
          </w:p>
        </w:tc>
        <w:tc>
          <w:tcPr>
            <w:tcW w:w="140" w:type="dxa"/>
            <w:vAlign w:val="bottom"/>
          </w:tcPr>
          <w:p>
            <w:pPr>
              <w:spacing w:after="0"/>
              <w:rPr>
                <w:sz w:val="19"/>
                <w:szCs w:val="19"/>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19"/>
                <w:szCs w:val="19"/>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w:t>
            </w:r>
          </w:p>
        </w:tc>
        <w:tc>
          <w:tcPr>
            <w:tcW w:w="0" w:type="dxa"/>
            <w:vAlign w:val="bottom"/>
          </w:tcPr>
          <w:p>
            <w:pPr>
              <w:spacing w:after="0"/>
              <w:rPr>
                <w:sz w:val="1"/>
                <w:szCs w:val="1"/>
                <w:color w:val="auto"/>
              </w:rPr>
            </w:pPr>
          </w:p>
        </w:tc>
      </w:tr>
      <w:tr>
        <w:trPr>
          <w:trHeight w:val="21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July 1 to July 31</w:t>
            </w:r>
          </w:p>
        </w:tc>
        <w:tc>
          <w:tcPr>
            <w:tcW w:w="150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2300" w:type="dxa"/>
            <w:vAlign w:val="bottom"/>
            <w:tcBorders>
              <w:top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72,765</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August 1 to August 31</w:t>
            </w:r>
          </w:p>
        </w:tc>
        <w:tc>
          <w:tcPr>
            <w:tcW w:w="15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23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72,765</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5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23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72,765</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72,765</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 Index</w:t>
      </w:r>
    </w:p>
    <w:p>
      <w:pPr>
        <w:spacing w:after="0" w:line="144" w:lineRule="exact"/>
        <w:rPr>
          <w:sz w:val="20"/>
          <w:szCs w:val="20"/>
          <w:color w:val="auto"/>
        </w:rPr>
      </w:pPr>
    </w:p>
    <w:p>
      <w:pPr>
        <w:ind w:left="200"/>
        <w:spacing w:after="0"/>
        <w:tabs>
          <w:tab w:leader="none" w:pos="59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Exhibit</w:t>
      </w:r>
    </w:p>
    <w:p>
      <w:pPr>
        <w:spacing w:after="0" w:line="337" w:lineRule="exact"/>
        <w:rPr>
          <w:sz w:val="20"/>
          <w:szCs w:val="20"/>
          <w:color w:val="auto"/>
        </w:rPr>
      </w:pPr>
    </w:p>
    <w:p>
      <w:pPr>
        <w:ind w:left="440"/>
        <w:spacing w:after="0"/>
        <w:tabs>
          <w:tab w:leader="none" w:pos="1240" w:val="left"/>
        </w:tabs>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Certification of Chief Executive Officer pursuant to Rule 13a-14(a) under the Securities Exchange Act of 1934.</w:t>
      </w:r>
    </w:p>
    <w:p>
      <w:pPr>
        <w:spacing w:after="0" w:line="252" w:lineRule="exact"/>
        <w:rPr>
          <w:sz w:val="20"/>
          <w:szCs w:val="20"/>
          <w:color w:val="auto"/>
        </w:rPr>
      </w:pPr>
    </w:p>
    <w:p>
      <w:pPr>
        <w:ind w:left="440"/>
        <w:spacing w:after="0"/>
        <w:tabs>
          <w:tab w:leader="none" w:pos="1240" w:val="left"/>
        </w:tabs>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t>Certification of Principal Financial Officer pursuant to Rule 13a-14(a) under the Securities Exchange Act of 1934.</w:t>
      </w:r>
    </w:p>
    <w:p>
      <w:pPr>
        <w:spacing w:after="0" w:line="293" w:lineRule="exact"/>
        <w:rPr>
          <w:sz w:val="20"/>
          <w:szCs w:val="20"/>
          <w:color w:val="auto"/>
        </w:rPr>
      </w:pPr>
    </w:p>
    <w:p>
      <w:pPr>
        <w:ind w:left="440"/>
        <w:spacing w:after="0"/>
        <w:tabs>
          <w:tab w:leader="none" w:pos="1240" w:val="left"/>
        </w:tabs>
        <w:rPr>
          <w:rFonts w:ascii="Times New Roman" w:cs="Times New Roman" w:eastAsia="Times New Roman" w:hAnsi="Times New Roman"/>
          <w:sz w:val="18"/>
          <w:szCs w:val="18"/>
          <w:color w:val="0000FF"/>
        </w:rPr>
      </w:pPr>
      <w:hyperlink w:anchor="page37">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 of Principal Accounting Officer pursuant to Rule 13a-14(a) under the Securities Exchange Act of 1934.</w:t>
      </w:r>
    </w:p>
    <w:p>
      <w:pPr>
        <w:spacing w:after="0" w:line="333" w:lineRule="exact"/>
        <w:rPr>
          <w:sz w:val="20"/>
          <w:szCs w:val="20"/>
          <w:color w:val="auto"/>
        </w:rPr>
      </w:pPr>
    </w:p>
    <w:p>
      <w:pPr>
        <w:ind w:left="460"/>
        <w:spacing w:after="0"/>
        <w:tabs>
          <w:tab w:leader="none" w:pos="1240" w:val="left"/>
        </w:tabs>
        <w:rPr>
          <w:rFonts w:ascii="Times New Roman" w:cs="Times New Roman" w:eastAsia="Times New Roman" w:hAnsi="Times New Roman"/>
          <w:sz w:val="18"/>
          <w:szCs w:val="18"/>
          <w:color w:val="0000FF"/>
        </w:rPr>
      </w:pPr>
      <w:hyperlink w:anchor="page38">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Certifications pursuant to Rule 13a-14(b) under the Securities Exchange Act of 1934 and 18 U.S.C. § 1350.</w:t>
      </w:r>
    </w:p>
    <w:p>
      <w:pPr>
        <w:spacing w:after="0" w:line="252" w:lineRule="exact"/>
        <w:rPr>
          <w:sz w:val="20"/>
          <w:szCs w:val="20"/>
          <w:color w:val="auto"/>
        </w:rPr>
      </w:pPr>
    </w:p>
    <w:p>
      <w:pPr>
        <w:ind w:left="1260" w:hanging="806"/>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22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w:t>
            </w:r>
          </w:p>
        </w:tc>
      </w:tr>
      <w:tr>
        <w:trPr>
          <w:trHeight w:val="234"/>
        </w:trPr>
        <w:tc>
          <w:tcPr>
            <w:tcW w:w="1000" w:type="dxa"/>
            <w:vAlign w:val="bottom"/>
          </w:tcPr>
          <w:p>
            <w:pPr>
              <w:spacing w:after="0"/>
              <w:rPr>
                <w:sz w:val="20"/>
                <w:szCs w:val="20"/>
                <w:color w:val="auto"/>
              </w:rPr>
            </w:pP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45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5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85" w:lineRule="exact"/>
        <w:rPr>
          <w:sz w:val="20"/>
          <w:szCs w:val="20"/>
          <w:color w:val="auto"/>
        </w:rPr>
      </w:pPr>
    </w:p>
    <w:p>
      <w:pPr>
        <w:ind w:left="660" w:hanging="652"/>
        <w:spacing w:after="0" w:line="266" w:lineRule="auto"/>
        <w:tabs>
          <w:tab w:leader="none" w:pos="41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James J. Volk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ind w:left="1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600"/>
          </w:cols>
          <w:pgMar w:left="320" w:top="119" w:right="9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237490</wp:posOffset>
            </wp:positionV>
            <wp:extent cx="7115175"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571"/>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15175"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Chase L. Stobbe, certify that:</w:t>
      </w:r>
    </w:p>
    <w:p>
      <w:pPr>
        <w:spacing w:after="0" w:line="117"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Shenandoah Telecommunications Company;</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23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571"/>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/s/CHASE L. STOBBE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Chase L. Stobbe,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151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jc w:val="both"/>
        <w:ind w:right="420" w:firstLine="656"/>
        <w:spacing w:after="0" w:line="266" w:lineRule="auto"/>
        <w:tabs>
          <w:tab w:leader="none" w:pos="12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September 30, 2020 filed on the date hereof with the Securities and Exchange Commission (the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6, 2020</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Fincncial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6, 2020</w:t>
      </w:r>
    </w:p>
    <w:p>
      <w:pPr>
        <w:spacing w:after="0" w:line="3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15175"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20"/>
      </w:cols>
      <w:pgMar w:left="320" w:top="11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2">
    <w:nsid w:val="109CF92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2020-11-06T06:44:15Z</dcterms:created>
  <dcterms:modified xsi:type="dcterms:W3CDTF">2020-11-06T06:44:15Z</dcterms:modified>
</cp:coreProperties>
</file>