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Washington, D. C. 20549</w:t>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500" w:right="2240" w:hanging="492"/>
        <w:spacing w:after="0" w:line="250"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2015</w:t>
      </w:r>
    </w:p>
    <w:p>
      <w:pPr>
        <w:spacing w:after="0" w:line="1" w:lineRule="exact"/>
        <w:rPr>
          <w:sz w:val="24"/>
          <w:szCs w:val="24"/>
          <w:color w:val="auto"/>
        </w:rPr>
      </w:pPr>
    </w:p>
    <w:p>
      <w:pPr>
        <w:ind w:left="500" w:right="2220" w:hanging="492"/>
        <w:spacing w:after="0" w:line="266"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from__________ to 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172085</wp:posOffset>
            </wp:positionV>
            <wp:extent cx="234124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124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color w:val="auto"/>
        </w:rPr>
        <w:t>SHENANDOAH TELECOMMUNICATIONS COMPANY</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35" w:right="239" w:bottom="1440" w:gutter="0" w:footer="0" w:header="0"/>
        </w:sectPr>
      </w:pPr>
    </w:p>
    <w:p>
      <w:pPr>
        <w:spacing w:after="0" w:line="22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54-1162807</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35" w:right="239" w:bottom="1440" w:gutter="0" w:footer="0" w:header="0"/>
          <w:type w:val="continuous"/>
        </w:sectPr>
      </w:pPr>
    </w:p>
    <w:p>
      <w:pPr>
        <w:spacing w:after="0" w:line="3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500 Shentel Way, Edinburg, Virginia</w:t>
      </w:r>
    </w:p>
    <w:p>
      <w:pPr>
        <w:spacing w:after="0" w:line="3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22824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35"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(540) 984-4141</w:t>
      </w:r>
    </w:p>
    <w:p>
      <w:pPr>
        <w:sectPr>
          <w:pgSz w:w="11900" w:h="16838" w:orient="portrait"/>
          <w:cols w:equalWidth="0" w:num="1">
            <w:col w:w="11420"/>
          </w:cols>
          <w:pgMar w:left="240" w:top="535" w:right="239" w:bottom="1440" w:gutter="0" w:footer="0" w:header="0"/>
          <w:type w:val="continuous"/>
        </w:sectPr>
      </w:pP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3"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October 22, 2015 was 24,222,433.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2720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Numbers</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Consolidated Balance Sheets September 30, 2015 and December 31, 2014</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52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 xml:space="preserve">Unaudited Consolidated Statements of Income and Comprehensive Income (Loss) for the Three and Nine Months Ended September 30, </w:t>
              </w:r>
            </w:hyperlink>
            <w:r>
              <w:rPr>
                <w:rFonts w:ascii="Times New Roman" w:cs="Times New Roman" w:eastAsia="Times New Roman" w:hAnsi="Times New Roman"/>
                <w:sz w:val="18"/>
                <w:szCs w:val="18"/>
                <w:color w:val="000000"/>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00" w:type="dxa"/>
            <w:vAlign w:val="bottom"/>
            <w:tcBorders>
              <w:top w:val="single" w:sz="8" w:color="0000EE"/>
            </w:tcBorders>
            <w:gridSpan w:val="16"/>
            <w:shd w:val="clear" w:color="auto" w:fill="CCEEFF"/>
          </w:tcPr>
          <w:p>
            <w:pPr>
              <w:ind w:left="16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2015 and 2014</w:t>
              </w:r>
            </w:hyperlink>
          </w:p>
        </w:tc>
        <w:tc>
          <w:tcPr>
            <w:tcW w:w="7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Shareholders’ Equity for the Nine Months Ended September 30, 2015 and the Year Ended</w:t>
              </w:r>
            </w:hyperlink>
          </w:p>
        </w:tc>
        <w:tc>
          <w:tcPr>
            <w:tcW w:w="5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0" w:type="dxa"/>
            <w:vAlign w:val="bottom"/>
            <w:gridSpan w:val="16"/>
            <w:shd w:val="clear" w:color="auto" w:fill="CCEEFF"/>
          </w:tcPr>
          <w:p>
            <w:pPr>
              <w:ind w:left="16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December 31, 2014</w:t>
              </w:r>
            </w:hyperlink>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Cash Flows for the Nine Months Ended September 30, 2015 and 2014</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Unaudited Consolidated Financial Statements</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Quantitative and Qualitative Disclosures about Market Risk</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Controls and Procedures</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98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Risk Factors</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Unregistered Sales of Equity Securities and Use of Proceeds</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Exhibits</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Signatures</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Exhibit Index</w:t>
              </w:r>
            </w:hyperlink>
          </w:p>
        </w:tc>
        <w:tc>
          <w:tcPr>
            <w:tcW w:w="7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980" w:type="dxa"/>
            <w:vAlign w:val="bottom"/>
            <w:tcBorders>
              <w:top w:val="single" w:sz="8" w:color="0000EE"/>
            </w:tcBorders>
            <w:gridSpan w:val="5"/>
          </w:tcPr>
          <w:p>
            <w:pPr>
              <w:spacing w:after="0"/>
              <w:rPr>
                <w:sz w:val="24"/>
                <w:szCs w:val="24"/>
                <w:color w:val="auto"/>
              </w:rPr>
            </w:pPr>
          </w:p>
        </w:tc>
        <w:tc>
          <w:tcPr>
            <w:tcW w:w="5160" w:type="dxa"/>
            <w:vAlign w:val="bottom"/>
            <w:tcBorders>
              <w:top w:val="single" w:sz="8" w:color="CCEEFF"/>
            </w:tcBorders>
            <w:gridSpan w:val="7"/>
          </w:tcPr>
          <w:p>
            <w:pPr>
              <w:jc w:val="right"/>
              <w:ind w:right="1300"/>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September 30,</w:t>
            </w: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87,288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32,025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Materials and supplies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131,628</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including $2,515 and $2,661 carried at fair value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10,380</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398,435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67,274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12,527</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79,801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620,244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accompanying notes to unaudited consolidated financial statements.</w:t>
      </w:r>
    </w:p>
    <w:p>
      <w:pPr>
        <w:spacing w:after="0" w:line="2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60" w:type="dxa"/>
            <w:vAlign w:val="bottom"/>
          </w:tcPr>
          <w:p>
            <w:pPr>
              <w:spacing w:after="0"/>
              <w:rPr>
                <w:sz w:val="24"/>
                <w:szCs w:val="24"/>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September 30,</w:t>
            </w: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11,818</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56,751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184,000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lease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jc w:val="right"/>
        <w:ind w:right="5360"/>
        <w:spacing w:after="0"/>
        <w:rPr>
          <w:sz w:val="20"/>
          <w:szCs w:val="20"/>
          <w:color w:val="auto"/>
        </w:rPr>
      </w:pPr>
      <w:r>
        <w:rPr>
          <w:rFonts w:ascii="Times New Roman" w:cs="Times New Roman" w:eastAsia="Times New Roman" w:hAnsi="Times New Roman"/>
          <w:sz w:val="18"/>
          <w:szCs w:val="18"/>
          <w:b w:val="1"/>
          <w:bCs w:val="1"/>
          <w:color w:val="auto"/>
        </w:rPr>
        <w:t>Total other long-term liabilities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67,511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76,777</w:t>
            </w:r>
          </w:p>
        </w:tc>
      </w:tr>
      <w:tr>
        <w:trPr>
          <w:trHeight w:val="216"/>
        </w:trPr>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7,913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16"/>
        </w:trPr>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7,159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w:t>
            </w:r>
          </w:p>
        </w:tc>
      </w:tr>
      <w:tr>
        <w:trPr>
          <w:trHeight w:val="241"/>
        </w:trPr>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9,469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9,607</w:t>
            </w:r>
          </w:p>
        </w:tc>
      </w:tr>
      <w:tr>
        <w:trPr>
          <w:trHeight w:val="223"/>
        </w:trPr>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92,052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100,492</w:t>
            </w:r>
          </w:p>
        </w:tc>
      </w:tr>
    </w:tbl>
    <w:p>
      <w:pPr>
        <w:spacing w:after="0" w:line="20" w:lineRule="exact"/>
        <w:rPr>
          <w:sz w:val="20"/>
          <w:szCs w:val="20"/>
          <w:color w:val="auto"/>
        </w:rPr>
      </w:pPr>
    </w:p>
    <w:p>
      <w:pPr>
        <w:sectPr>
          <w:pgSz w:w="11900" w:h="16838" w:orient="portrait"/>
          <w:cols w:equalWidth="0" w:num="2">
            <w:col w:w="8100" w:space="720"/>
            <w:col w:w="2600"/>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31,611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256,268</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287,441</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620,244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tc>
        <w:tc>
          <w:tcPr>
            <w:tcW w:w="1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0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23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4"/>
              </w:rPr>
              <w:t>2014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85,212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82,268</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255,202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 depreciation and amortization shown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30,570</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33,330</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91,541</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 depreciation and amortization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shown 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20,435</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18,063</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58,177</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19,118</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16,731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53,119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70,123</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68,124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202,837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15,089</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14,144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52,365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Non-operating income, net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1,265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13,461</w:t>
            </w:r>
          </w:p>
        </w:tc>
        <w:tc>
          <w:tcPr>
            <w:tcW w:w="4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12,785</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47,955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5,465</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19,199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7,996</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28,756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 (loss) on interest rate hedge, net of tax</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3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7,017</w:t>
            </w: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8,479</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27,196</w:t>
            </w:r>
          </w:p>
        </w:tc>
        <w:tc>
          <w:tcPr>
            <w:tcW w:w="3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0.33</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24,203</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24,113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24,182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24,535</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24,393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24,483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right="49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SHENANDOAH TELECOMMUNICATIONS COMPANY AND SUBSIDIARIES UNAUDITED CONSOLIDATED STATEMENTS OF SHAREHOLDERS' EQUITY </w:t>
      </w:r>
      <w:r>
        <w:rPr>
          <w:rFonts w:ascii="Times New Roman" w:cs="Times New Roman" w:eastAsia="Times New Roman" w:hAnsi="Times New Roman"/>
          <w:sz w:val="18"/>
          <w:szCs w:val="18"/>
          <w:i w:val="1"/>
          <w:i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Earnings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24,040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26,759</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204,962</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2,594</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33,883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($0.47 per share)</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Dividends reinvested in common stock</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1,141</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share awards</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excess tax benefit from stock options exercised</w:t>
            </w: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24,132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227,512</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1,122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28,756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for share awards</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excess tax benefit from stock options exercised</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September 30, 2015</w:t>
            </w: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24,220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31,611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256,268</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756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28,756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51,985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bad debt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benefits on stock awards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disposal of equipment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disposal of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from patronage and equity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long term debt issuance costs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Materials and supplies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14,752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lease payable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deferrals and accruals</w:t>
            </w: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83,123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distributions from investments</w:t>
            </w: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(Continued)</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7560" w:type="dxa"/>
            <w:vAlign w:val="bottom"/>
            <w:gridSpan w:val="3"/>
          </w:tcPr>
          <w:p>
            <w:pPr>
              <w:ind w:left="5680"/>
              <w:spacing w:after="0"/>
              <w:rPr>
                <w:sz w:val="20"/>
                <w:szCs w:val="20"/>
                <w:color w:val="auto"/>
              </w:rPr>
            </w:pPr>
            <w:r>
              <w:rPr>
                <w:rFonts w:ascii="Times New Roman" w:cs="Times New Roman" w:eastAsia="Times New Roman" w:hAnsi="Times New Roman"/>
                <w:sz w:val="14"/>
                <w:szCs w:val="14"/>
                <w:color w:val="auto"/>
              </w:rPr>
              <w:t>7</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benefits on stock awards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Repurchases of stock</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issuances of stock</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18,371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Beginning</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68,917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87,288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payments for:</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5,550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10,235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September 30, 2015, accounts payable included approximately $1.0 million associated with capital expenditures. Cash flows for accounts payable and acquisition of property, plant and equipment exclude this activity.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ind w:right="5060"/>
        <w:spacing w:after="0" w:line="317" w:lineRule="auto"/>
        <w:rPr>
          <w:sz w:val="20"/>
          <w:szCs w:val="20"/>
          <w:color w:val="auto"/>
        </w:rPr>
      </w:pPr>
      <w:r>
        <w:rPr>
          <w:rFonts w:ascii="Times New Roman" w:cs="Times New Roman" w:eastAsia="Times New Roman" w:hAnsi="Times New Roman"/>
          <w:sz w:val="17"/>
          <w:szCs w:val="17"/>
          <w:b w:val="1"/>
          <w:bCs w:val="1"/>
          <w:color w:val="auto"/>
        </w:rPr>
        <w:t>SHENANDOAH TELECOMMUNICATIONS COMPANY AND SUBSIDIARIES NOTES TO UNAUDITED CONSOLIDATED FINANCIAL STATEMENTS</w:t>
      </w:r>
    </w:p>
    <w:p>
      <w:pPr>
        <w:spacing w:after="0" w:line="16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interim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statements should be read in conjunction with the audited consolidated financial statements and related notes in the Company’s Annual Report on Form 10-K for the year ended December 31, 2014. The balance sheet information at December 31, 2014 was derived from the audited December 31, 2014 consolidated balance sheet. Operating revenues and income from operations for any interim period are not necessarily indicative of results that may be expected for the entire year.</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Property, Plant and Equipment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September 30,</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675,321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Plant under construction</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27,735</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18,078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728,563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693,399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287,492</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3.</w:t>
        <w:tab/>
        <w:t>Earnings per share</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664 thousand and 698 thousand shares and options outstanding at September 30, 2015 and 2014, respectively, 46 thousand and zero were anti-dilutive, respectively. These shares and options have been excluded from the computations of diluted earnings per share for their respective period. There were no adjustments to net income for either period.</w:t>
      </w:r>
    </w:p>
    <w:p>
      <w:pPr>
        <w:spacing w:after="0" w:line="20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Carried at Fair Value</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Investments include $2.5 million and $2.7 million of investments carried at fair value at September 30, 2015 and December 31, 2014, respectively,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nine months ended September 30, 2015, the Company recognized $44 thousand in dividend and interest income from investments, and recorded net unrealized losses of $190 thousand on these investments. Fair values for these investments held under the rabbi trust were determined by Level 1 quoted market prices for the underlying mutual funds.</w:t>
      </w:r>
    </w:p>
    <w:p>
      <w:pPr>
        <w:spacing w:after="0" w:line="21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Hedging Activities and Accumulated Other Comprehensive Income</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entered into a pay-fixed, receive-variable interest rate swap of $174.6 million of notional principal in September 2012. This interest rate swap was designated as a cash flow hedge. The total outstanding notional amount of the cash flow hedge was $157.2 million as of September 30, 2015. The outstanding notional amount decreases as the Company makes scheduled principal payments on the debt.</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Amounts reported in accumulated other comprehensive income related to the interest rate swap designated and that qualifies as a cash flow hedge are reclassified to interest expense as interest payments are made on the Company’s variable-rate debt. As of September 30, 2015, the Company estimates that $1.1 million will be reclassified as an increase to interest expense during the next twelve months due to the interest rate swap since the hedge interest rate exceeds the variable interest rate on the debt.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 as well as its classification on the consolidated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2015 and December 31, 2014 (in thousands):</w:t>
      </w:r>
    </w:p>
    <w:p>
      <w:pPr>
        <w:spacing w:after="0" w:line="23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Derivatives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Fair Value as of</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9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Balance Sheet</w:t>
            </w:r>
          </w:p>
        </w:tc>
        <w:tc>
          <w:tcPr>
            <w:tcW w:w="1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432"/>
        </w:trPr>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rate swap</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4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(1,309)</w:t>
            </w:r>
          </w:p>
        </w:tc>
      </w:tr>
      <w:tr>
        <w:trPr>
          <w:trHeight w:val="223"/>
        </w:trPr>
        <w:tc>
          <w:tcPr>
            <w:tcW w:w="20" w:type="dxa"/>
            <w:vAlign w:val="bottom"/>
          </w:tcPr>
          <w:p>
            <w:pPr>
              <w:spacing w:after="0"/>
              <w:rPr>
                <w:sz w:val="19"/>
                <w:szCs w:val="19"/>
                <w:color w:val="auto"/>
              </w:rPr>
            </w:pPr>
          </w:p>
        </w:tc>
        <w:tc>
          <w:tcPr>
            <w:tcW w:w="88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3,180</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interest rate swaps is determined using a pricing model with inputs that are observable in the market (Level 2 fair value inputs).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change in accumulated other comprehensive income by component for the nine months ended September 30, 2015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Gains 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(Losses) on</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Income Tax</w:t>
            </w:r>
          </w:p>
        </w:tc>
        <w:tc>
          <w:tcPr>
            <w:tcW w:w="8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Cash Flow</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(Expense)</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Comprehensive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Benefit</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Income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2015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7.</w:t>
        <w:tab/>
        <w:t>Segment Information</w:t>
      </w:r>
    </w:p>
    <w:p>
      <w:pPr>
        <w:spacing w:after="0" w:line="2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makers.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months ended September 30, 2015</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Wireless</w:t>
            </w:r>
          </w:p>
        </w:tc>
        <w:tc>
          <w:tcPr>
            <w:tcW w:w="34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47,793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22,284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1,882</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5,615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50,527</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24,166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51,636</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24,417</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15,572</w:t>
            </w:r>
          </w:p>
        </w:tc>
        <w:tc>
          <w:tcPr>
            <w:tcW w:w="340" w:type="dxa"/>
            <w:vAlign w:val="bottom"/>
          </w:tcPr>
          <w:p>
            <w:pPr>
              <w:spacing w:after="0"/>
              <w:rPr>
                <w:sz w:val="20"/>
                <w:szCs w:val="20"/>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14,124</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8,212</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9,027</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4,948</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1,688</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5,553</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5,948</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34,243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25,020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13,304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5,675</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17,393</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3,974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months ended September 30, 2014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Wireless</w:t>
            </w:r>
          </w:p>
        </w:tc>
        <w:tc>
          <w:tcPr>
            <w:tcW w:w="28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Cable (1)</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Wireline (1)</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48,013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3,083</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1,799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51,096</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20,972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52,195</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21,004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18,322</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14,157</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7,078</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8,645</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5,107</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1,533</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7,895</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5,864</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34,862</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25,128</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17,333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4,438</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Nine months ended September 30, 2015</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Wireless</w:t>
            </w:r>
          </w:p>
        </w:tc>
        <w:tc>
          <w:tcPr>
            <w:tcW w:w="28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Cable</w:t>
            </w:r>
          </w:p>
        </w:tc>
        <w:tc>
          <w:tcPr>
            <w:tcW w:w="20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144,917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8,611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5,495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15,834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153,528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71,297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30,377</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3,319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18,950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156,847</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71,882</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49,327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47,661</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41,378</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23,224</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26,996</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14,924</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4,923</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13,466</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26,089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17,286</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9,411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100,746</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73,588</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37,558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13,799</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56,101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11,769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Nine months ended September 30, 2014</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Wireless</w:t>
            </w:r>
          </w:p>
        </w:tc>
        <w:tc>
          <w:tcPr>
            <w:tcW w:w="28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Cable (1)</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Wireline (1)</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Totals</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143,112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57,028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8,653</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5,202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15,886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151,765</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62,230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3,283</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17,202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155,048</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62,321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47,343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55,455</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38,969</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22,297</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(18,751)</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exclusive of depreciation and</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24,734</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14,487</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4,270</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10,170</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23,162</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17,035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8,225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103,351</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70,491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34,792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51,697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(1) Prior year figures have been recast to conform to current year presentation.</w:t>
      </w:r>
    </w:p>
    <w:p>
      <w:pPr>
        <w:sectPr>
          <w:pgSz w:w="11900" w:h="16838" w:orient="portrait"/>
          <w:cols w:equalWidth="0" w:num="1">
            <w:col w:w="9879"/>
          </w:cols>
          <w:pgMar w:left="580" w:top="364"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79"/>
          </w:cols>
          <w:pgMar w:left="580" w:top="364" w:right="1440" w:bottom="1440" w:gutter="0" w:footer="0" w:header="0"/>
          <w:type w:val="continuous"/>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total of the reportable segments’ operating income to consolidated income before taxes is as follows:</w:t>
      </w:r>
    </w:p>
    <w:p>
      <w:pPr>
        <w:sectPr>
          <w:pgSz w:w="11900" w:h="16838" w:orient="portrait"/>
          <w:cols w:equalWidth="0" w:num="1">
            <w:col w:w="11400"/>
          </w:cols>
          <w:pgMar w:left="240" w:top="1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Non-operating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before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before taxes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assets by segment are as follows: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right="2380"/>
        <w:spacing w:after="0"/>
        <w:rPr>
          <w:sz w:val="20"/>
          <w:szCs w:val="20"/>
          <w:color w:val="auto"/>
        </w:rPr>
      </w:pPr>
      <w:r>
        <w:rPr>
          <w:rFonts w:ascii="Times New Roman" w:cs="Times New Roman" w:eastAsia="Times New Roman" w:hAnsi="Times New Roman"/>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15,089</w:t>
            </w:r>
          </w:p>
        </w:tc>
        <w:tc>
          <w:tcPr>
            <w:tcW w:w="3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41"/>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13,461</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52,365</w:t>
            </w:r>
          </w:p>
        </w:tc>
        <w:tc>
          <w:tcPr>
            <w:tcW w:w="30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45,616</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(6,119)</w:t>
            </w:r>
          </w:p>
        </w:tc>
      </w:tr>
      <w:tr>
        <w:trPr>
          <w:trHeight w:val="241"/>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1,253</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47,955</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41,328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20" w:lineRule="exact"/>
        <w:rPr>
          <w:sz w:val="20"/>
          <w:szCs w:val="20"/>
          <w:color w:val="auto"/>
        </w:rPr>
      </w:pPr>
    </w:p>
    <w:p>
      <w:pPr>
        <w:sectPr>
          <w:pgSz w:w="11900" w:h="16838" w:orient="portrait"/>
          <w:cols w:equalWidth="0" w:num="2">
            <w:col w:w="5820" w:space="720"/>
            <w:col w:w="4860"/>
          </w:cols>
          <w:pgMar w:left="240" w:top="116" w:right="25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September 30,</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243,962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Cable</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207,674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Wireline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98,975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98,081</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426,091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totals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976,702</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964,228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(356,458)</w:t>
            </w: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(344,986)</w:t>
            </w:r>
          </w:p>
        </w:tc>
      </w:tr>
      <w:tr>
        <w:trPr>
          <w:trHeight w:val="257"/>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totals</w:t>
            </w: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620,244</w:t>
            </w:r>
          </w:p>
        </w:tc>
        <w:tc>
          <w:tcPr>
            <w:tcW w:w="3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619,242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third quarter of 2015, the Company discovered a programming logic error in its fixed assets system used to calculate depreciation expense. As a result, the Company increased depreciation expense by $2.6 million in the third quarter of 2015 ($2.0 million for the nine months ended September 30, 2015) and increased accumulated depreciation by $2.6 million. Most of the out-of-period depreciation expense correction affected the Company’s Wireless segment, by $1.9 million and $1.6 million for the three and nine months ended September 30, 2015, respectively.</w:t>
      </w:r>
    </w:p>
    <w:p>
      <w:pPr>
        <w:spacing w:after="0" w:line="20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files U.S. federal income tax returns and various state and local income tax returns. Years prior to 2012 are no longer subject to examination.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subject to any state or federal income tax audits as of September 30, 2015.</w:t>
      </w:r>
    </w:p>
    <w:p>
      <w:pPr>
        <w:spacing w:after="0" w:line="23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NTELOS Holdings Corporation</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11, 2015, the Company announced that it had entered into a definitive agreement to acquire NTELOS Holdings Corporation ("nTelos") for $9.25 per share in cash for a total equity value of approximately $208 million, after including shares expected to vest on change of control. At closing, the Company will pay off nTelos' outstanding debt, which was $523 million at June 30, 2015. Under the terms of the agreement, the Company will acquire all of nTelos' stock and operations including wireless network assets, retail stores and approximately 298,000 retail subscribers in the nTelos Western Markets. The Company will complete nTelos' plans to close down its Eastern Markets. The Company anticipates closing on the acquisition by early 2016.</w:t>
      </w:r>
    </w:p>
    <w:p>
      <w:pPr>
        <w:spacing w:after="0" w:line="21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Concurrent with the signing of the agreement with nTelos, the Company and Sprint Corporation ("Sprint") entered into a series of agreements, including an Addendum to the Shentel Affiliate Agreement and related agreements, whereby the Company and Sprint will, among other things, exchange certain assets in the nTelos Western Markets. The Company will convert approximately 290,000 nTelos retail wireless customers into Sprint branded affiliate customers, and an additional 8,000 nTelos retail wireless customers into Sprint branded retail customers. Sprint will transition its existing retail wireless operations in the nTelos footprint, including approximately 291,000 Sprint retail customers homed in the nTelos footprint, to Sprint branded affiliate customers. These existing Sprint retail customers, in combination with the nTelos customers, will enable the Company to serve approximately 581,000 additional customers under its affiliate arrangement with Sprint.</w:t>
      </w:r>
    </w:p>
    <w:p>
      <w:pPr>
        <w:sectPr>
          <w:pgSz w:w="11900" w:h="16838" w:orient="portrait"/>
          <w:cols w:equalWidth="0" w:num="1">
            <w:col w:w="11400"/>
          </w:cols>
          <w:pgMar w:left="240" w:top="116" w:right="259" w:bottom="1440" w:gutter="0" w:footer="0" w:header="0"/>
          <w:type w:val="continuous"/>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part of the transaction, the Company and Sprint have also agreed to extend their Affiliate relationship by five years through 2029. Sprint will receive certain spectrum assets of nTelos, and has agreed to reduce the 8% and 6% Management Fee portions of the retained revenues that would otherwise be due to Sprint under the Affiliate Agreement by $252 million over an expected period of five to six years. In addition, at closing Sprint will purchase the nTelos equipment receivables for nTelos customers at a discounted amount to be paid over 24 months.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will finance the nTelos acquisition and network upgrade with $960 million in credit facilities (including term loans totaling $885 million and a revolver of $75 million) from a syndicate of lenders. Proceeds will be used to finance the transaction and refinance the Company’s existing outstanding indebtedness. This commitment is fully underwritten by CoBank, ACB; Royal Bank of Canada; and Fifth Third Bank. Upon the closing of the merger, the Company expects to have total long-term debt outstanding of approximately $810 million and cash of $75 million. The revolver and an additional $75 million in a delayed draw term loan are not expected to be drawn at close.</w:t>
      </w:r>
    </w:p>
    <w:p>
      <w:pPr>
        <w:spacing w:after="0" w:line="21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2015, the Company has incurred $2.1 million and $3.2 million, respectively, of expenses associated with the planned acquisition of nTelos.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Subsequent Events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19, 2015, the Company’s Board of Directors declared a dividend of $0.48 per share, payable on December 1, 2015, to shareholders of record as of November 5, 2015. The Company expects to pay out approximately $11.6 million excluding the effect of dividend reinvestments.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October 19, 2015, the Board of Directors also declared a two-for-one stock split, effective for shareholders of record as of the close of business on December 31, 2015. Shareholders will receive one additional share of common stock of the Company for each share held on the record date. After the split, the Company will have approximately 48.5 million shares outstanding, and 96 million total authorized shares.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2014. The following management’s discussion and analysis should be read in conjunction with the Company’s Annual Report on Form 10-K for its fiscal year ended December 31, 2014, including the financial statements and related notes included therein.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Shenandoah Telecommunications Company is a diversified telecommunications company providing both regulated and unregulated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telecommunications services through its wholly-owned subsidiaries. These subsidiaries provide wireless personal communications services (as a Sprint PCS Affiliate), local exchange telephone services, video, internet and data services, long distance services, fiber optics facilities, and leased tower facilities. The Company has three reportable segments, which it operates and manages as strategic business units organized by lines of business:</w:t>
      </w:r>
    </w:p>
    <w:p>
      <w:pPr>
        <w:spacing w:after="0" w:line="209" w:lineRule="exact"/>
        <w:rPr>
          <w:sz w:val="20"/>
          <w:szCs w:val="20"/>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Wireless segment provides digital wireless service as a Sprint PCS Affiliate to a portion of a four-state area covering the region from Harrisburg, York and Altoona, Pennsylvania, to Harrisonburg, Virginia. In this area, the Company is the exclusive provider of wireless mobility communications network products and services on the 800 MHz, 1900 MHz and 2.5 GHz bands under the Sprint brand. This segment also owns cell site towers built on leased land, and leases space on these towers to both affiliates and non-affiliated service providers.</w:t>
      </w:r>
    </w:p>
    <w:p>
      <w:pPr>
        <w:spacing w:after="0" w:line="20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Cable segment provides video, internet and voice services in franchise areas in portions of southern Virginia, West Virginia and western Maryland, and leases fiber optic facilities throughout its service area. It does not include video, internet and voice services provided to customers in Shenandoah County, Virginia.</w:t>
      </w:r>
    </w:p>
    <w:p>
      <w:pPr>
        <w:spacing w:after="0" w:line="203"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fourth segment, Other, primarily includes Shenandoah Telecommunications Company, the parent holding company.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2015 Compared with the Three Months Ended September 31, 2014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for the third quarter of 2015 and 2014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85,212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82,268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70,123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68,124</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1,999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14,144</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945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(199)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4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(468)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13,461</w:t>
            </w: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12,785</w:t>
            </w: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676</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4,782</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683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8,003</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three months ended September 30, 2015, operating revenues increased $2.9 million, or 3.6%. Cable segment revenue grew $3.4 million on an increase of internet and voice subscribers, a video price increase in January 2015, and internet customers upgrading to higher-priced plans. Wireline segment revenues, excluding affiliate revenues that eliminate in consolidation, grew $0.3 million, primarily due to higher internet service revenues on customer upgrades.</w:t>
      </w:r>
    </w:p>
    <w:p>
      <w:pPr>
        <w:spacing w:after="0" w:line="2"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Wireless segment revenues decreased $0.6 million compared to the third quarter of 2014. Net postpaid service revenues decreased $1.5 million, as a 7.2% increase in average subscribers was more than offset by lower revenue service plans associated with handset financing and leasing programs. Net prepaid service revenue increased $1.3 million, due to growth in average subscribers and improvements in product mix. Wireless equipment revenue decreased, primarily due to lower volume of subsidized handset sales.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Total operating expenses were $70.1 million in the third quarter of 2015 compared to $68.1 million in the prior year period. Cost of goods and services sold decreased $2.8 million, primarily due to a $3.8 million decrease in PCS postpaid handset costs as a result of customers choosing non-subsidized service plans that require them to finance or lease handsets at full cost. Selling, general and administrative expenses increased $2.4 million, driven by $2.1 million of professional service expenses associated with the acquisition of nTelos Holdings Corporation (“nTelos”). Depreciation and amortization expense increased $2.4 million, primarily due to a one-time unfavorable adjustment of $2.6 million cumulative impact of additional depreciation on certain assets placed into service in one year and closed out in the fixed asset system in a subsequent year.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effective tax rate increased from 37.4% for the three months ended September 30, 2014 to 40.6% for the three months ended September 30, 2015. The 2014 period included $0.2 million in favorable adjustments to estimates made for the 2013 federal and state returns. The 2015 period included $0.2 million in unfavorable permanent differences arising from nTelos acquisition expenses. For the remainder of 2015, the Company expects that its effective tax rate will be approximately 40.0%.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2015, net income was flat. Growth in subscriber counts in the Wireless and Cable segments, along with a decrease in cost of goods and services sold in the Wireless segment contributed to an increase in net income, but were offset by expenses related to the acquisition of nTelos and a one-time adjustment to depreciation expense.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7" w:name="page18"/>
    <w:bookmarkEnd w:id="1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2015 Compared with the Nine Months Ended September 30,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for the first nine months of 2015 and 2014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tcPr>
          <w:p>
            <w:pPr>
              <w:spacing w:after="0"/>
              <w:rPr>
                <w:sz w:val="18"/>
                <w:szCs w:val="18"/>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255,202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244,136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11,066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202,837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198,520</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4,317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52,365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45,616</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6,749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6,119</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(456)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w:t>
            </w:r>
          </w:p>
        </w:tc>
        <w:tc>
          <w:tcPr>
            <w:tcW w:w="4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(578)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47,955</w:t>
            </w: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41,328</w:t>
            </w:r>
          </w:p>
        </w:tc>
        <w:tc>
          <w:tcPr>
            <w:tcW w:w="4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6,628</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19,199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16,094</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3,105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25,234</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3,522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2015, operating revenues increased $11.1 million, or 4.5%. Cable segment revenue grew $9.6 million as a result of a 5.8% growth in average subscriber counts and an increase in revenue per subscriber. Wireless segment revenues increased $1.8 million compared to the first nine months of 2014. Net prepaid service revenue increased $3.4 million, primarily due to 5.8% growth in prepaid subscribers. Net postpaid service revenues decreased $1.6 million as a 6.3% increase in average subscribers was more than offset by lower revenue service plans associated with handset financing and leasing programs.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Total operating expenses were $202.8 million in the nine months ended September 30, 2015 compared to $198.5 million in the prior year period. Cost of goods and services sold decreased $6.4 million, primarily due to a $9.6 million decrease in PCS postpaid handset costs, partially offset by increases in cable programming and retransmission costs. Selling, general and administrative expenses increased $6.3 million, driven by $3.2 million of expenses associated with the acquisition of nTelos and by a $2.0 million increase to support growth of the wireless prepaid business. Depreciation and amortization expense increased $4.4 million, due to a one-time unfavorable adjustment of $2.0 million related to assets placed into service in one year and closed out in the fixed asset system in a subsequent year and to ongoing projects to expand and upgrade the wireless, cable and fiber networks.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increased from 38.9% for the nine months ended September 30, 2014 to 40.0% for the nine months ended September 30, 2015. For the remainder of 2015, the Company expects that its effective tax rate will be approximately 40.0%.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2015, net income increased $3.5 million, or 14.0%. Growth in subscriber counts in the Wireless and Cable segments, along with a decrease in cost of goods and services sold in the Wireless segment contributed to the increase, but were partially offset by expenses related to the acquisition of nTelos and a one-time adjustment to depreciation expense.</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6" w:right="27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Wireless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Through Shenandoah Mobile, LLC (“Mobile”), this segment also leases land on which it builds Company-owned cell towers, which it leases to affiliated and non-affiliated wireless service providers, throughout the same four-state area described above,.</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These fees total 22% of postpaid net billed revenue (gross customer billings net of credits, adjustments to customer accounts, and write-offs of uncollectible accounts), as defined by the Affiliate Agreement with Sprint.</w:t>
      </w:r>
    </w:p>
    <w:p>
      <w:pPr>
        <w:spacing w:after="0" w:line="20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Company offers prepaid wireless products and services in its PCS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The Company pays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2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April 2014, the Company’s PCS stores began participating in Sprint’s postpaid handset financing programs, whereby Sprint enters into a financing agreement with the subscriber and the subscriber receives a handset from Sprint. In these instances, the equipment revenue from the subscriber and the handset expense are Sprint’s responsibility and are not recorded by the Company. In the third quarter of 2015, approximately 75% of postpaid handset transactions through Company channels involved a financing plan. All else being equal, the service plans for these subscribers generate less monthly service revenue compared to plans with a subsidized handset.</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August 2015, the Company announced that it has entered into a definitive agreement to acquire nTelos. Under the terms of the agreement, Shentel will acquire all of nTelos' stock and operations including wireless network assets, retail stores and approximately 298,000 retail subscribers in the nTelos Western Markets. At closing Shentel will pay off nTelos' outstanding debt which was $523 million at June 30, 2015. Shentel will complete nTelos' plans to close down its Eastern Markets. The acquisition is expected to close by early 2016.</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 with the signing of the agreement with nTelos, Shentel and Sprint Corporation entered into a series of agreements, including an Addendum to the Shentel Affiliate Agreement and related agreements, whereby Shentel and Sprint will, among other things, exchange certain assets in the nTelos Western Markets. Shentel will convert approximately 290,000 nTelos retail wireless customers into Sprint branded affiliate customers. Sprint will transition its existing retail wireless operations in the nTelos footprint, including approximately 291,000 retail customers homed in the nTelos footprint, to Sprint branded affiliate customers. These existing Sprint retail customers, in combination with the nTelos customers, will enable Shentel to serve approximately 581,000 additional customers under its affiliate arrangement with Sprint.</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the transaction, Shentel and Sprint have also agreed to extend their Affiliate relationship by five years through 2029. As part of the agreement, Sprint will reduce the 14% net service fee to 8.6% of postpaid net billed revenues, and separately settle a number of component pieces that were previously included in the higher net service fee. Although certain revenue and expense lines may change, Shentel does not expect an overall impact on operating results due to these changes. At close, Sprint will receive certain spectrum assets of nTelos, and has agreed to reduce the 8% and 6% Management Fee portions of the retained revenues that would otherwise be due to Sprint under the Affiliate Agreement by $252 million over an expected period of five to six years.</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for the costs to consummate the transaction and the interest expenses associated with the expanded debt facility, the operating results of the acquired operation will primarily be included in the wireless segment’s operating results.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6080" w:type="dxa"/>
            <w:vAlign w:val="bottom"/>
            <w:gridSpan w:val="4"/>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show selected operating statistics of the Wireless segment as of the dates shown:</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2015</w:t>
            </w: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2014</w:t>
            </w: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PCS Subscribers – Postpaid</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303,527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287,867</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282,976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PCS Subscribers – Prepaid</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145,104</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145,162</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140,126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137,047</w:t>
            </w: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PCS Market POPS (000) (1)</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2,421</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2,415</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2,410</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PCS Covered POPS (000) (1)</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2,213</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2,207</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2,116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CDMA Base Stations (sites)</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548</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531</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Towers Owned</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Non-affiliate Cell Site Leases (2)</w:t>
            </w: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197</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0" w:type="dxa"/>
            <w:vAlign w:val="bottom"/>
            <w:gridSpan w:val="4"/>
          </w:tcPr>
          <w:p>
            <w:pPr>
              <w:jc w:val="right"/>
              <w:ind w:right="9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2015</w:t>
            </w: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2015</w:t>
            </w: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PCS Subscriber Additions - Postpaid</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19,638</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20,095</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54,477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PCS Subscriber Additions - Postpaid</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7,035</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5,303</w:t>
            </w:r>
          </w:p>
        </w:tc>
        <w:tc>
          <w:tcPr>
            <w:tcW w:w="20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15,660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PCS Subscriber Additions - Prepaid</w:t>
            </w:r>
          </w:p>
        </w:tc>
        <w:tc>
          <w:tcPr>
            <w:tcW w:w="1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20,228</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18,225</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63,806</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PCS Subscriber Additions (Losses) - Prepaid</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(327)</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1,950</w:t>
            </w:r>
          </w:p>
        </w:tc>
        <w:tc>
          <w:tcPr>
            <w:tcW w:w="20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PCS Average Monthly Retail Churn % - Postpaid (3)</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20" w:type="dxa"/>
            <w:vAlign w:val="bottom"/>
          </w:tcPr>
          <w:p>
            <w:pPr>
              <w:spacing w:after="0"/>
              <w:rPr>
                <w:sz w:val="20"/>
                <w:szCs w:val="20"/>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PCS Average Monthly Retail Churn % - Prepaid (3)</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206" w:lineRule="exact"/>
        <w:rPr>
          <w:sz w:val="20"/>
          <w:szCs w:val="20"/>
          <w:color w:val="auto"/>
        </w:rPr>
      </w:pPr>
    </w:p>
    <w:p>
      <w:pPr>
        <w:ind w:left="980" w:right="220" w:hanging="324"/>
        <w:spacing w:after="0" w:line="255"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 Covered POPS increased in 2014 primarily as a result of the Company’s deployment of the 800 megahertz spectrum at existing cell sites.</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decreases during 2014 are primarily a result of termination of Sprint iDEN leases associated with the former Nextel network.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PCS Average Monthly Retail Churn is the average of the monthly subscriber turnover, or churn, calculations for the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2015 Compared with the Three Months Ended September 30, 2014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2014</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Wireless service revenue</w:t>
            </w:r>
          </w:p>
        </w:tc>
        <w:tc>
          <w:tcPr>
            <w:tcW w:w="22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47,793</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48,013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(220)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Tower lease revenue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2,610</w:t>
            </w: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w:t>
            </w:r>
          </w:p>
        </w:tc>
        <w:tc>
          <w:tcPr>
            <w:tcW w:w="4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revenue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1,104</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(469)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51,636</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52,195</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(559)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41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 depreciation</w:t>
            </w:r>
          </w:p>
        </w:tc>
        <w:tc>
          <w:tcPr>
            <w:tcW w:w="2200" w:type="dxa"/>
            <w:vAlign w:val="bottom"/>
            <w:gridSpan w:val="2"/>
            <w:shd w:val="clear" w:color="auto" w:fill="CCEEFF"/>
          </w:tcPr>
          <w:p>
            <w:pPr>
              <w:jc w:val="right"/>
              <w:ind w:right="795"/>
              <w:spacing w:after="0" w:line="198" w:lineRule="exact"/>
              <w:rPr>
                <w:sz w:val="20"/>
                <w:szCs w:val="20"/>
                <w:color w:val="auto"/>
              </w:rPr>
            </w:pPr>
            <w:r>
              <w:rPr>
                <w:rFonts w:ascii="Times New Roman" w:cs="Times New Roman" w:eastAsia="Times New Roman" w:hAnsi="Times New Roman"/>
                <w:sz w:val="18"/>
                <w:szCs w:val="18"/>
                <w:color w:val="auto"/>
              </w:rPr>
              <w:t>and amortization</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shown separately below</w:t>
            </w:r>
          </w:p>
        </w:tc>
        <w:tc>
          <w:tcPr>
            <w:tcW w:w="1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15,572</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18,322</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(2,750)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198"/>
        </w:trPr>
        <w:tc>
          <w:tcPr>
            <w:tcW w:w="20" w:type="dxa"/>
            <w:vAlign w:val="bottom"/>
          </w:tcPr>
          <w:p>
            <w:pPr>
              <w:spacing w:after="0"/>
              <w:rPr>
                <w:sz w:val="17"/>
                <w:szCs w:val="17"/>
                <w:color w:val="auto"/>
              </w:rPr>
            </w:pPr>
          </w:p>
        </w:tc>
        <w:tc>
          <w:tcPr>
            <w:tcW w:w="63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  depreciation and amortization</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shown separately below</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9,027</w:t>
            </w: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8,645</w:t>
            </w:r>
          </w:p>
        </w:tc>
        <w:tc>
          <w:tcPr>
            <w:tcW w:w="4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382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9,644</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7,895</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1,749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34,243</w:t>
            </w:r>
          </w:p>
        </w:tc>
        <w:tc>
          <w:tcPr>
            <w:tcW w:w="5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34,862</w:t>
            </w:r>
          </w:p>
        </w:tc>
        <w:tc>
          <w:tcPr>
            <w:tcW w:w="4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(619)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57"/>
        </w:trPr>
        <w:tc>
          <w:tcPr>
            <w:tcW w:w="2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17,393</w:t>
            </w:r>
          </w:p>
        </w:tc>
        <w:tc>
          <w:tcPr>
            <w:tcW w:w="5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17,333</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6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Wireless service revenue decreased $0.2 million, or 0.5%, for the three months ended September 30, 2015, compared to the comparable 2014 period. Net postpaid service revenues decreased $1.5 million. Average postpaid subscribers increased 7.2% in 2015 over the 2014 period, but was offset by marketing promotions and a switch to lower revenue service plans associated with handset financing and leasing plans. Under these programs, the Company receives less service revenue from the subscriber, while the equipment revenue from the subscriber and the handset expense become Sprint’s responsibility and are not recorded by the Company. The decreases in service revenues are currently more than offset by a decrease in handset expense within cost of goods and services. Net prepaid service revenues grew $1.3 million, or 11.7%, due to 4.7% growth in average prepaid subscribers over 2014 and to improvements in product mix.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decreased, primarily due to lower volume of subsidized handset sales.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and services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Cost of goods and services decreased $2.8 million, or 15.0%, in 2015 from the third quarter of 2014. Postpaid handset costs decreased $3.8 million, as handset expenses associated with financing and leasing plans are Sprint’s responsibility and are not recorded by the Company. Network costs increased $1.3 million, due to a decrease in labor capitalized to projects and to a $0.5 million increase in backhaul and rent expenses at cell sites and towers.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increased $0.4 million, or 4.4%, in the third quarter of 2015 from the comparable 2014 period. Costs to support the prepaid wireless business grew $0.5 million, driven by subscriber growth, product mix, and higher general and administrative costs. The increases were partially offset by a $0.2 million decline in third party commissions expense due to lower volume of commissionable handsets activated through dealer channels.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$1.7 million, or 22.2%, in the third quarter of 2015 over the comparable 2014 period. The current year period included a one-time unfavorable adjustment of $1.9 million related to assets placed into service in one year and closed out in the fixed asset system in a subsequent year. The period also included a $0.3 million favorable adjustment to depreciation that resulted from a revision of the Company’s estimates regarding asset retirement obligations for towers.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2015 Compared with the Nine Months Ended September 30, 2014</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2014</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Wireless service revenue</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144,917</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143,112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1,805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Tower lease revenue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7,772</w:t>
            </w: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7,576</w:t>
            </w:r>
          </w:p>
        </w:tc>
        <w:tc>
          <w:tcPr>
            <w:tcW w:w="4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196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Equipment revenue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4,076</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156,847</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155,048</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1,799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 depreciation and amortization shown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separately below</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47,661</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55,455</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(7,794)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198"/>
        </w:trPr>
        <w:tc>
          <w:tcPr>
            <w:tcW w:w="20" w:type="dxa"/>
            <w:vAlign w:val="bottom"/>
          </w:tcPr>
          <w:p>
            <w:pPr>
              <w:spacing w:after="0"/>
              <w:rPr>
                <w:sz w:val="17"/>
                <w:szCs w:val="17"/>
                <w:color w:val="auto"/>
              </w:rPr>
            </w:pPr>
          </w:p>
        </w:tc>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 depreciation and amortization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shown separately below</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26,996</w:t>
            </w: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24,734</w:t>
            </w:r>
          </w:p>
        </w:tc>
        <w:tc>
          <w:tcPr>
            <w:tcW w:w="4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2,262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26,089</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23,162</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2,927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100,746</w:t>
            </w:r>
          </w:p>
        </w:tc>
        <w:tc>
          <w:tcPr>
            <w:tcW w:w="5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103,351</w:t>
            </w:r>
          </w:p>
        </w:tc>
        <w:tc>
          <w:tcPr>
            <w:tcW w:w="4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(2,605)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20" w:type="dxa"/>
            <w:vAlign w:val="bottom"/>
          </w:tcPr>
          <w:p>
            <w:pPr>
              <w:spacing w:after="0"/>
              <w:rPr>
                <w:sz w:val="22"/>
                <w:szCs w:val="22"/>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56,101</w:t>
            </w:r>
          </w:p>
        </w:tc>
        <w:tc>
          <w:tcPr>
            <w:tcW w:w="5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51,697</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4,404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59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Wireless service revenue increased $1.8 million, or 1.3%, for the nine months ended September 30, 2015, compared to the comparable 2014 period. Net prepaid service revenues grew $3.4 million, or 10.5%, due primarily to 5.8% growth in average prepaid subscribers over 2014 and improvements in product mix. Net postpaid service revenues decreased $1.6 million. Average postpaid subscribers increased 6.3% in 2015 over the 2014 period, but the increase was more than offset by marketing promotions and a switch to lower revenue service plans associated with handset financing and leasing plans. Under these programs, the Company receives less service revenue from the subscriber, while the equipment revenue from the subscriber and the handset expense become Sprint’s responsibility and are not recorded by the Company. The decreases in service revenues are currently more than offset by a decrease in handset expense within cost of goods and services.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decreased due primarily to a lower volume of subsidized handset sales, partially offset by lower discounts on those sales.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and services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goods and services decreased $7.8 million, or 14.1%, in 2015 from the first nine months of 2014. Postpaid handset costs decreased $9.6 million, as handset expenses associated with financing and leasing plans are Sprint’s responsibility and are not recorded by the Company. Network costs increased $1.2 million, due to a decrease in labor capitalized to projects and to increases in rent and power expenses for cell sites and towers. Finally, the prior year period included a $0.4 million gain on disposal of 3G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costs increased $2.3 million, or 9.1%, in the first nine months of 2015 from the comparable 2014 period. Costs to support the prepaid wireless business grew $2.0 million, driven by subscriber growth, product mix, and higher general and administrative costs. Advertising expenses increased $0.5 million. Personnel costs increased $0.5 million due to the addition of new retail stores. Property taxes increased $0.4 million due to a prior year refund and a higher tax basis in network assets as a result of recent upgrades. The increases were partially offset by a $1.1 million decline in third party commissions expense due to lower volume of commissionable handsets activated through dealer channels.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Depreciation and amortization increased $2.9 million, or 12.6%, in the first nine months of 2015 over the comparable 2014 period. The current year period included a one-time unfavorable adjustment of $1.6 million related to assets placed into service in one year and closed out in the fixed asset system in a subsequent year. Depreciation expense grew $1.7 million due to ongoing investments in wireless network coverage and capacity. The increase was partially offset by a $0.4 million decrease in amortization expense and a $0.3 million favorable adjustment to depreciation that resulted from a revision of the company’s estimates regarding asset retirement obligations for towers.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Cable</w:t>
      </w:r>
    </w:p>
    <w:p>
      <w:pPr>
        <w:spacing w:after="0" w:line="256" w:lineRule="exact"/>
        <w:rPr>
          <w:sz w:val="20"/>
          <w:szCs w:val="20"/>
          <w:color w:val="auto"/>
        </w:rPr>
      </w:pPr>
    </w:p>
    <w:p>
      <w:pPr>
        <w:jc w:val="both"/>
        <w:ind w:right="880"/>
        <w:spacing w:after="0" w:line="266" w:lineRule="auto"/>
        <w:rPr>
          <w:sz w:val="20"/>
          <w:szCs w:val="20"/>
          <w:color w:val="auto"/>
        </w:rPr>
      </w:pPr>
      <w:r>
        <w:rPr>
          <w:rFonts w:ascii="Times New Roman" w:cs="Times New Roman" w:eastAsia="Times New Roman" w:hAnsi="Times New Roman"/>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2014</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Homes Passed (1)</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172,388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171,382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(2)</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Video customers</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48,421</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49,247</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49,672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51,197</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Non-video customers</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23,816</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22,051</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21,630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72,237</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71,298</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71,302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69,538</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Video</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Customers (3)</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50,839</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52,095</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52,347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53,076</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Penetration (4)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Digital video penetration (5)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172,388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170,728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168,255</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Customers (3)</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54,620</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51,359</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50,626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45,776</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Voice</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169,651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167,991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163,282</w:t>
            </w: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Customers (3)</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19,723</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18,262</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17,493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14,988</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Generating Units (7)</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125,182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121,716</w:t>
            </w:r>
          </w:p>
        </w:tc>
        <w:tc>
          <w:tcPr>
            <w:tcW w:w="2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120,466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113,840</w:t>
            </w: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2,842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2,473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2,636</w:t>
            </w: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(8)</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75,021</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72,694</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71,022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69,296</w:t>
            </w:r>
          </w:p>
        </w:tc>
      </w:tr>
    </w:tbl>
    <w:p>
      <w:pPr>
        <w:spacing w:after="0" w:line="206" w:lineRule="exact"/>
        <w:rPr>
          <w:sz w:val="20"/>
          <w:szCs w:val="20"/>
          <w:color w:val="auto"/>
        </w:rPr>
      </w:pPr>
    </w:p>
    <w:p>
      <w:pPr>
        <w:ind w:left="660" w:right="4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represent the number of customers who receive at least one of our services.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is calculated by dividing the number of customers by the number of homes passed or available homes, as appropriate.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generating units are the sum of video, voice and high-speed internet customers.</w:t>
      </w:r>
    </w:p>
    <w:p>
      <w:pPr>
        <w:spacing w:after="0" w:line="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7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2015 Compared with the Three Months Ended September 30, 2014</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4"/>
              </w:rPr>
              <w:t>2014</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3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22,284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19,173</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3,111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2,133</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1,831</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302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24,417</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21,004</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3,413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 depreciation and amortization shown</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14,124</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14,157</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198"/>
        </w:trPr>
        <w:tc>
          <w:tcPr>
            <w:tcW w:w="20" w:type="dxa"/>
            <w:vAlign w:val="bottom"/>
          </w:tcPr>
          <w:p>
            <w:pPr>
              <w:spacing w:after="0"/>
              <w:rPr>
                <w:sz w:val="17"/>
                <w:szCs w:val="17"/>
                <w:color w:val="auto"/>
              </w:rPr>
            </w:pPr>
          </w:p>
        </w:tc>
        <w:tc>
          <w:tcPr>
            <w:tcW w:w="59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 depreciation and amortization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shown separately below</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4,948</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5,107</w:t>
            </w:r>
          </w:p>
        </w:tc>
        <w:tc>
          <w:tcPr>
            <w:tcW w:w="4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(159)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5,948</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5,864</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25,020</w:t>
            </w:r>
          </w:p>
        </w:tc>
        <w:tc>
          <w:tcPr>
            <w:tcW w:w="4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25,128</w:t>
            </w:r>
          </w:p>
        </w:tc>
        <w:tc>
          <w:tcPr>
            <w:tcW w:w="4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57"/>
        </w:trPr>
        <w:tc>
          <w:tcPr>
            <w:tcW w:w="20" w:type="dxa"/>
            <w:vAlign w:val="bottom"/>
          </w:tcPr>
          <w:p>
            <w:pPr>
              <w:spacing w:after="0"/>
              <w:rPr>
                <w:sz w:val="22"/>
                <w:szCs w:val="22"/>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loss</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4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4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3,521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ind w:left="660" w:right="1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Cable segment service revenue increased $3.1 million, or 16.2%. Internet service revenue increased $2.1 million, or 28.6%, due to an 8.9% increase in average internet subscribers, along with an improved product mix as customers upgrade to higher-speed plans. Video revenue, including retransmission consent fee surcharges, increased $0.9 million, driven by video rate increases in January 2015. Voice revenue increased $0.3 million due to 15.4% growth in average voice revenue generating units. These increases were partially offset by a $0.2 million increase in bundle discounts.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grew $0.3 million, primarily due to new fiber contracts.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Cable segment cost of goods and services were flat in the third quarter of 2015 compared to the 2014 period. Video programming costs, including retransmission fees, increased $1.1 million as the impact of rising rates per subscriber outpaced declining video subscriber counts. Network and maintenance costs increased $0.4 million due primarily to capitalized labor adjustments in the prior year. The increases were offset by a $1.4 million decrease in disposal costs following a $1.6 million disposal of obsolete equipment in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decreased $0.2 million against the prior year quarter due to a reduction in bad debt expense.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Nine Months Ended September 30, 2015 Compared with the Nine Months Ended September 30, 2014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Nine Months Ended</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4"/>
              </w:rPr>
              <w:t>2014</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65,802</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57,028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8,774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6,080</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5,293</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787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71,882</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62,321</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9,561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 depreciation and amortization shown</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41,378</w:t>
            </w: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38,969</w:t>
            </w:r>
          </w:p>
        </w:tc>
        <w:tc>
          <w:tcPr>
            <w:tcW w:w="4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2,409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 depreciation and amortization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shown separately below</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14,924</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14,487</w:t>
            </w:r>
          </w:p>
        </w:tc>
        <w:tc>
          <w:tcPr>
            <w:tcW w:w="4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437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17,286</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17,035</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251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73,588</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70,491</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3,097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loss</w:t>
            </w: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6,464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service and other revenue amounts have been recast to conform to the current year presentation of video and internet equipment revenues being included in service revenue rather than other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Cable segment service revenue increased $8.8 million, or 15.4%. Internet service revenue increased $6.4 million, or 30.9%, due to a 10.1% increase in average internet subscribers, along with an improved product mix as customers upgrade to higher-speed plans. Video revenue, including retransmission consent fee surcharges, increased $3.2 million driven by video rate increases in January 2015. Voice revenue increased $1.0 million due to 18.6% growth in average voice revenue generating units. These increases were partially offset by a $1.8 million increase in bundle discounts.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grew $0.8 million, primarily due to new fiber contracts.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Cable segment cost of goods and services increased $2.4 million, or 6.2%, in the nine months ended September 30, 2015 over the comparable 2014 period. Video programming costs, including retransmission fees, increased $3.1 million as the impact of rising rates per subscriber outpaced declining video subscriber counts. Network costs grew primarily due to $0.4 million increase in the Universal Service fees mandated by the U.S. government in the current year. The increases were offset by a $1.5 million decrease in disposal costs following a $1.6 million disposal of obsolete equipment in 2014.</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grew $0.4 million against the prior year period as growth in administrative and operating tax expenses were partially offset by a decline in customer service costs.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w:t>
      </w:r>
    </w:p>
    <w:p>
      <w:pPr>
        <w:spacing w:after="0" w:line="256" w:lineRule="exact"/>
        <w:rPr>
          <w:sz w:val="20"/>
          <w:szCs w:val="20"/>
          <w:color w:val="auto"/>
        </w:rPr>
      </w:pPr>
    </w:p>
    <w:p>
      <w:pPr>
        <w:ind w:right="920"/>
        <w:spacing w:after="0" w:line="261" w:lineRule="auto"/>
        <w:rPr>
          <w:sz w:val="20"/>
          <w:szCs w:val="20"/>
          <w:color w:val="auto"/>
        </w:rPr>
      </w:pPr>
      <w:r>
        <w:rPr>
          <w:rFonts w:ascii="Times New Roman" w:cs="Times New Roman" w:eastAsia="Times New Roman" w:hAnsi="Times New Roman"/>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180" w:lineRule="exact"/>
        <w:rPr>
          <w:sz w:val="20"/>
          <w:szCs w:val="20"/>
          <w:color w:val="auto"/>
        </w:rPr>
      </w:pPr>
    </w:p>
    <w:p>
      <w:pPr>
        <w:ind w:right="720"/>
        <w:spacing w:after="0" w:line="256" w:lineRule="auto"/>
        <w:rPr>
          <w:sz w:val="20"/>
          <w:szCs w:val="20"/>
          <w:color w:val="auto"/>
        </w:rPr>
      </w:pPr>
      <w:r>
        <w:rPr>
          <w:rFonts w:ascii="Times New Roman" w:cs="Times New Roman" w:eastAsia="Times New Roman" w:hAnsi="Times New Roman"/>
          <w:sz w:val="18"/>
          <w:szCs w:val="18"/>
          <w:color w:val="auto"/>
        </w:rPr>
        <w:t>Effective for the fourth quarter of 2015, the Company is expanding its data offerings in its legacy telephone service area. Until now, the Company only offered DSL-based internet access, and a phone line was required to obtain this service. Going forward, subscribers who have access to our video services (the video network overlaps a portion of our legacy telephone network) will be able to purchase higher-speed internet packages over the video network, while DSL subscribers who do not have access to our video network can purchase DSL for internet access, without having to purchase telephone service as well. While the Company is unable to predict the impact on operating results, a decrease in DSL subscribers, offset by an increase in broadband internet subscribers, is likely, as well as a larger decrease in telephone access lines.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Sept. 30,</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Dec. 31,</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Sept. 30,</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 31,</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2014</w:t>
            </w: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2014</w:t>
            </w: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Telephone Access Lines</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21,598</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21,612</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21,742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Long Distance Subscribers</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9,651</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9,571</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9,645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Customers(1)</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5,375</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5,692</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DSL Subscribers</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12,834</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12,742</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12,708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1,625</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1,556</w:t>
            </w:r>
          </w:p>
        </w:tc>
        <w:tc>
          <w:tcPr>
            <w:tcW w:w="1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1,459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(2)</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107,432</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99,387</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85,398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84,600</w:t>
            </w:r>
          </w:p>
        </w:tc>
        <w:tc>
          <w:tcPr>
            <w:tcW w:w="120" w:type="dxa"/>
            <w:vAlign w:val="bottom"/>
          </w:tcPr>
          <w:p>
            <w:pPr>
              <w:spacing w:after="0"/>
              <w:rPr>
                <w:sz w:val="20"/>
                <w:szCs w:val="20"/>
                <w:color w:val="auto"/>
              </w:rPr>
            </w:pPr>
          </w:p>
        </w:tc>
      </w:tr>
    </w:tbl>
    <w:p>
      <w:pPr>
        <w:spacing w:after="0" w:line="206"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Wireline segment’s video service passes approximately 16,000 homes.</w:t>
      </w:r>
    </w:p>
    <w:p>
      <w:pPr>
        <w:spacing w:after="0" w:line="27" w:lineRule="exact"/>
        <w:rPr>
          <w:rFonts w:ascii="Times New Roman" w:cs="Times New Roman" w:eastAsia="Times New Roman" w:hAnsi="Times New Roman"/>
          <w:sz w:val="18"/>
          <w:szCs w:val="18"/>
          <w:color w:val="auto"/>
        </w:rPr>
      </w:pPr>
    </w:p>
    <w:p>
      <w:pPr>
        <w:ind w:left="820" w:hanging="326"/>
        <w:spacing w:after="0" w:line="255"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first quarter of 2015.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2015 Compared with the Three Months Ended September 30, 2014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2014</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25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5,596</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330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Carrier access and fiber revenues (1)</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10,854</w:t>
            </w: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9,926</w:t>
            </w:r>
          </w:p>
        </w:tc>
        <w:tc>
          <w:tcPr>
            <w:tcW w:w="4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928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2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17,278</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15,924</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1,354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0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 depreciation and amortization shown</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2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8,212</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7,078</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w:t>
            </w:r>
          </w:p>
        </w:tc>
        <w:tc>
          <w:tcPr>
            <w:tcW w:w="2560" w:type="dxa"/>
            <w:vAlign w:val="bottom"/>
            <w:gridSpan w:val="2"/>
          </w:tcPr>
          <w:p>
            <w:pPr>
              <w:jc w:val="right"/>
              <w:ind w:right="1175"/>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1,688</w:t>
            </w: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w:t>
            </w:r>
          </w:p>
        </w:tc>
        <w:tc>
          <w:tcPr>
            <w:tcW w:w="4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3,404</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529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13,304</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11,486</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1,818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3,974</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(464)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categories of access revenue, facilities lease revenue and equipment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operating revenues in the quarter ended September 30, 2015 increased $1.4 million, or 8.5%, against the comparable 2014 period. Carrier access and fiber revenues grew $0.9 million primarily due to growth in affiliate fiber contracts. Internet service revenue increased $0.2 million as customers upgrade to higher-speed plans.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expenses overall increased $1.8 million, or 15.8%, in the quarter ended September 30, 2015, compared to the 2014 quarter. The increase in cost of goods and services primarily resulted from a $0.9 million increase in costs to support affiliate fiber routes. A decrease in labor capitalized to projects also resulted in higher cost of goods and services. The decreases were partially offset by lower costs of asset disposals.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general and administrative expenses increased as a result of growth in customer service support teams and sales commissions.</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Depreciation expense grew $0.1 million as a result of continued investment in the construction of fiber facilities. The current year period included a one-time unfavorable adjustment of $0.4 million related to assets placed into service in one year and closed out in the fixed asset system in a subsequent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2015 Compared with the Nine Months Ended September 30, 2014</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2015</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2014</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revenue (1)</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16,420</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15,773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647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Carrier access and fiber revenues (1)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30,532</w:t>
            </w:r>
          </w:p>
        </w:tc>
        <w:tc>
          <w:tcPr>
            <w:tcW w:w="5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29,441</w:t>
            </w:r>
          </w:p>
        </w:tc>
        <w:tc>
          <w:tcPr>
            <w:tcW w:w="42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1,091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 (1)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2,375</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2,129</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246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segment operating revenues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49,327</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47,343</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1,984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Cost of goods and services, exclusive of depreciation and amortization shown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23,224</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22,297</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927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 exclusive of depreciation and amortization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shown 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4,923</w:t>
            </w:r>
          </w:p>
        </w:tc>
        <w:tc>
          <w:tcPr>
            <w:tcW w:w="5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4,270</w:t>
            </w:r>
          </w:p>
        </w:tc>
        <w:tc>
          <w:tcPr>
            <w:tcW w:w="42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653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9,411</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8,225</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1,186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37,558</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34,792</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2,766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11,769</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12,551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(782)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categories of access revenue, facilities lease revenue and equipment revenue have been combined into the new category of carrier access and fiber revenue to conform to current year presentation. Additionally, set-top box revenues included in other revenue in the prior year are now presented within service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25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Total operating revenues in the nine months ended September 30, 2015 increased $2.0 million, or 4.2%, against the comparable 2014 period. Carrier access and fiber revenues grew $1.1 million as growth in affiliate and non-affiliate fiber contracts were partially offset by favorable Universal Service program adjustments that were recorded in the first quarter of 2014. Internet service revenue grew $0.5 million as customers upgraded to higher-speed plans.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expenses overall increased $2.8 million, or 8.0%, in the nine months ended September 30, 2015, compared to the 2014 quarter. The increase in cost of goods and services resulted primarily from a $1.3 million increase in costs to support affiliate fiber routes. Sales, general and administrative expenses increased as a result of growth in sales and customer service support teams.</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Depreciation expense grew $0.8 million as a result of continued investment in the construction of fiber facilities. The current year period also included a one-time unfavorable adjustment of $0.4 million related to assets placed into service in one year and closed out in the fixed asset system in a subsequent year.</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28" w:name="page29"/>
    <w:bookmarkEnd w:id="28"/>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Adjusted OIBDA is defined by us as operating income (loss) before depreciation and amortization, adjusted to exclude the effects of: certain non-recurring transactions; impairment of assets; gains and losses on asset sales; and share-based compensation expense. Adjusted OIBDA should not be construed as an alternative to operating income as determined in accordance with GAAP as a measure of operating performance.</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OIBDA has limitations as an analytical tool, and should not be considered in isolation or as a substitute for analysis of our results as reported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These limitations include the following:</w:t>
      </w:r>
    </w:p>
    <w:p>
      <w:pPr>
        <w:spacing w:after="0" w:line="23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capital expenditures;</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costs associated with share-based awards exchanged for employee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interest expense necessary to service interest or principal payments on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gains, losses or dividends on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expenses incurred for the payment of income taxes; and</w:t>
      </w:r>
    </w:p>
    <w:p>
      <w:pPr>
        <w:spacing w:after="0" w:line="9" w:lineRule="exact"/>
        <w:rPr>
          <w:rFonts w:ascii="Times New Roman" w:cs="Times New Roman" w:eastAsia="Times New Roman" w:hAnsi="Times New Roman"/>
          <w:sz w:val="18"/>
          <w:szCs w:val="18"/>
          <w:color w:val="auto"/>
        </w:rPr>
      </w:pPr>
    </w:p>
    <w:p>
      <w:pPr>
        <w:ind w:left="660" w:right="94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OIBDA differently than we do, limiting its usefulness as a comparative measure.</w:t>
      </w:r>
    </w:p>
    <w:p>
      <w:pPr>
        <w:spacing w:after="0" w:line="20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 light of these limitations, management considers adjusted OIBDA as a financial performance measure that supplements but does not replace the information reflected in our GAAP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adjusted OIBDA for the three months ended September 30, 2015 and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80" w:type="dxa"/>
            <w:vAlign w:val="bottom"/>
          </w:tcPr>
          <w:p>
            <w:pPr>
              <w:spacing w:after="0"/>
              <w:rPr>
                <w:sz w:val="18"/>
                <w:szCs w:val="18"/>
                <w:color w:val="auto"/>
              </w:rPr>
            </w:pPr>
          </w:p>
        </w:tc>
        <w:tc>
          <w:tcPr>
            <w:tcW w:w="23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September 30,</w:t>
            </w:r>
          </w:p>
        </w:tc>
        <w:tc>
          <w:tcPr>
            <w:tcW w:w="380" w:type="dxa"/>
            <w:vAlign w:val="bottom"/>
          </w:tcPr>
          <w:p>
            <w:pPr>
              <w:spacing w:after="0"/>
              <w:rPr>
                <w:sz w:val="18"/>
                <w:szCs w:val="18"/>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September 30,</w:t>
            </w:r>
          </w:p>
        </w:tc>
        <w:tc>
          <w:tcPr>
            <w:tcW w:w="1140" w:type="dxa"/>
            <w:vAlign w:val="bottom"/>
          </w:tcPr>
          <w:p>
            <w:pPr>
              <w:spacing w:after="0"/>
              <w:rPr>
                <w:sz w:val="18"/>
                <w:szCs w:val="18"/>
                <w:color w:val="auto"/>
              </w:rPr>
            </w:pPr>
          </w:p>
        </w:tc>
      </w:tr>
      <w:tr>
        <w:trPr>
          <w:trHeight w:val="241"/>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36,804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33,253</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110,759</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97,919</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841"/>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OIBDA to operating income, which we consider to be the most directly comparable GAAP financial measure, for the three and nine months ended September 30, 2015 and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15,089</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52,365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19,118</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53,119</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48,714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(gain) loss on asset sales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Plus share based compensation expense</w:t>
            </w: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469</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nTelos acquisition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2,129</w:t>
            </w: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36,804</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110,759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97,919</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adjusted OIBDA to operating income by major segment for the three and nine months ended September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Wireless Segment:</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17,393</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56,101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9,644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26,089</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23,162</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(gain)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441</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27,186</w:t>
            </w:r>
          </w:p>
        </w:tc>
        <w:tc>
          <w:tcPr>
            <w:tcW w:w="5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82,704</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Cable Segment:</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5,948</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17,286</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17,035</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(gain)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5,470</w:t>
            </w:r>
          </w:p>
        </w:tc>
        <w:tc>
          <w:tcPr>
            <w:tcW w:w="5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16,257</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Wireline Segment:</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24"/>
                <w:szCs w:val="24"/>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2014</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3,974</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11,769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3,404</w:t>
            </w: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9,411</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8,225</w:t>
            </w: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loss on asset sales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Plus share based compensation expense</w:t>
            </w: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OIBDA</w:t>
            </w:r>
          </w:p>
        </w:tc>
        <w:tc>
          <w:tcPr>
            <w:tcW w:w="18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7,460</w:t>
            </w:r>
          </w:p>
        </w:tc>
        <w:tc>
          <w:tcPr>
            <w:tcW w:w="5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21,642</w:t>
            </w:r>
          </w:p>
        </w:tc>
        <w:tc>
          <w:tcPr>
            <w:tcW w:w="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0" w:type="dxa"/>
            <w:vAlign w:val="bottom"/>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0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Sources and Uses of Cash</w:t>
      </w:r>
      <w:r>
        <w:rPr>
          <w:rFonts w:ascii="Times New Roman" w:cs="Times New Roman" w:eastAsia="Times New Roman" w:hAnsi="Times New Roman"/>
          <w:sz w:val="18"/>
          <w:szCs w:val="18"/>
          <w:color w:val="auto"/>
        </w:rPr>
        <w:t>. The Company generated $83.1 million of net cash from operations in the first nine months of 2015, compared to $91.3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nine months of 2014. The $8.2 million decrease was driven primarily by timing of cash payments for accounts payable and other assets, partially offset by an increase in net income.</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As of September 30, 2015, the Company’s indebtedness totaled $207 million, with an annualized effective interest rate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3.15% after considering the impact of the interest rate swap contract. The balance consists of the Term Loan Facility at a variable rate (2.44% as of September 30, 2015) that resets monthly based on one month LIBOR plus a base rate of 2.25% currently. The base rate decreased 0.25% during the third quarter of 2015 following reductions in the Company’s leverage ratio. The Term Loan Facility requires quarterly principal repayments of $5.75 million, which began on December 31, 2014 and will continue until the remaining expected balance of approximately $120.75 million is due at maturity on September 30, 2019.</w:t>
      </w:r>
    </w:p>
    <w:p>
      <w:pPr>
        <w:spacing w:after="0" w:line="200" w:lineRule="exact"/>
        <w:rPr>
          <w:sz w:val="20"/>
          <w:szCs w:val="20"/>
          <w:color w:val="auto"/>
        </w:rPr>
      </w:pP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bound by certain financial covenants under its Credit Agreement. Noncompliance with any one or more of the debt covenants may have an adverse effect on our financial condition or liquidity in the event such noncompliance cannot be cured or should we be unable to obtain a waiver from the lenders. As of September 30, 2015, the Company was in compliance with all debt covenants, and ratios at September 30, 2015 were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Covenant Requirement at</w:t>
            </w: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Actual</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 2015</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Leverage Ratio</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1.44</w:t>
            </w:r>
          </w:p>
        </w:tc>
        <w:tc>
          <w:tcPr>
            <w:tcW w:w="160" w:type="dxa"/>
            <w:vAlign w:val="bottom"/>
            <w:shd w:val="clear" w:color="auto" w:fill="CCEEFF"/>
          </w:tcPr>
          <w:p>
            <w:pPr>
              <w:spacing w:after="0"/>
              <w:rPr>
                <w:sz w:val="18"/>
                <w:szCs w:val="18"/>
                <w:color w:val="auto"/>
              </w:rPr>
            </w:pPr>
          </w:p>
        </w:tc>
        <w:tc>
          <w:tcPr>
            <w:tcW w:w="5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 or Lower</w:t>
            </w: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Service Coverage Ratio</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5"/>
              </w:rPr>
              <w:t>4.08</w:t>
            </w:r>
          </w:p>
        </w:tc>
        <w:tc>
          <w:tcPr>
            <w:tcW w:w="16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2.50 or Higher</w:t>
            </w: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to Assets Ratio</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46.3%</w:t>
            </w:r>
          </w:p>
        </w:tc>
        <w:tc>
          <w:tcPr>
            <w:tcW w:w="5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or Higher</w:t>
            </w:r>
          </w:p>
        </w:tc>
      </w:tr>
    </w:tbl>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accordance with the Credit Agreement, the total leverage and debt service coverage ratios noted above are based on the twelve months ended September 30, 2015. In addition to the covenants above, the Company is required to supply the lender with quarterly financial statements and other reports as defined by the Credit Agreement. The Company was in compliance with all reporting requirements at September 30, 2015.</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has no off-balance sheet arrangements (other than operating leases) and has not entered into any transactions involving unconsolidated, limited purpose entities or commodity contracts.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Commitments. </w:t>
      </w:r>
      <w:r>
        <w:rPr>
          <w:rFonts w:ascii="Times New Roman" w:cs="Times New Roman" w:eastAsia="Times New Roman" w:hAnsi="Times New Roman"/>
          <w:sz w:val="18"/>
          <w:szCs w:val="18"/>
          <w:color w:val="auto"/>
        </w:rPr>
        <w:t>Capital expenditures budgeted for 2015 totaled $74.8 million, but current forecasts project spending of approximately $70 million.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updated 2015 projections include approximately $21 million on the Wireless segment for network capacity and coverage enhancements and new retail stores; $20 million for Cable segment extensions and investment in customer premises equipment; $23 million on the Wireline segment budget, primarily for on-going spending to expand and upgrade our fiber networks; and $6 million for IT and other back office projects in the Other segment.</w:t>
      </w:r>
    </w:p>
    <w:p>
      <w:pPr>
        <w:spacing w:after="0" w:line="20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first nine months of 2015, the Company spent $39.6 million on capital projects, compared to $51.2 million in the comparable 2014 period. Spending related to Wireless projects accounted for $8.9 million in the first nine months of 2015, primarily for new cell sites and upgrades to the network switch. Cable capital spending of $14.5 million was driven by network expansion and upgrades to support new customers and services. Wireline capital projects cost $11.6 million, driven primarily by fiber builds. Other projects totaled $4.6 million, largely related to information technology projects.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believes that cash on hand, cash flow from operations and borrowings expected to be available under the Company’s existing credit facilities will provide sufficient cash to enable the Company to fund planned capital expenditures, make scheduled principal and interest payments, meet its other cash requirements and maintain compliance with the terms of its financing agreements for at least the next twelve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31" w:name="page32"/>
    <w:bookmarkEnd w:id="31"/>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announced plan to acquire nTelos, the Company has entered into agreements with lenders to provide up to $960 million in borrowings to refinance the Company’s existing debt, purchase the stock of nTelos, repay nTelos’ outstanding debt, and fund transaction-related expenses and future capital expenditures. Subsequent to the closing of the nTelos transaction, the Company’s future requirements for debt service will increase, due to incremental interest on the larger outstanding loan balances, and increased amortization requirements to pay down the loan balances, compared to the terms of our existing debt arrangements.</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cash flows from operations could be adversely affected by events outside the Company’s control, including, without limitation, changes in overall economic conditions, regulatory requirements, changes in technologies, demand for its products,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new products and services; and the subsidiary’s ability to effectively and economically manage other operating activities under the Company's agreements with Sprint. The Company's ability to attract and maintain a sufficient customer base, particularly in the acquired cable markets, is also critical to its ability to maintain a positive cash flow from operations. The foregoing events individually or collectively could affect the Company’s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Revenue from Contracts With Customers (Topic 606), which defers the effective date of ASU 2014-09 for public business entities from annual reporting periods beginning after December 15, 2016, to annual reporting periods beginning after December 15, 2017. Early application is permitted only as of annual reporting periods beginning after December 15, 2016.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18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In February 2015, the FASB issued ASU No. 2015-2, Consolidation (Topic 820): Amendments to the Consolidation Analysis. The ASU provides a revised consolidation model for all reporting entities to use in evaluating whether they should consolidate certain legal entities. All legal entities will be subject to reevaluation under this revised consolidation model. The revised consolidation model, among other things, (i) modifies the evaluation of whether limited partnerships and similar legal entities are VIEs or voting interest entities, (ii) eliminates the presumption that a general partner should consolidate a limited partnership, and (iii) modifies the consolidation analysis of reporting entities that are involved with VIEs through fee arrangements and related party relationships. ASU 2015-2 is effective for fiscal years, and interim reporting periods within those fiscal years, beginning after September 1, 2016 (fiscal 2017). The Company is still evaluating what impact, if any, this ASU will have on the Company’s consolidated financial position, results of operations or cash flows.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April 2015, the FASB issued Accounting Standards Update ("ASU") 2015-03, Simplifying the Presentation of Debt Issuance Costs, which requires that debt issuance costs related to a recognized debt liability be presented in the balance sheet as a direct deduction from the carrying amount of that debt liability, consistent with debt discounts. This ASU requires retrospective adoption and will be effective for the Company beginning on January 1, 2016. Early adoption is permitted. The Company does not expect this adoption to have a material impact on its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September 30, 2015, the Company had $207 million of variable rate debt outstanding, bearing interest at a rate of 2.44% as determined on a monthly basis. An increase in market interest rates of 1.00% would add approximately $1.98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(0.19% as of September 30, 2015), to manage a portion of its interest rate risk. Changes in the net interest paid or received under the 2012 swap would offset approximately 76% of the change in interest expense on the variable rate debt outstanding. The 2012 swap currently adds approximately $1.1 million to annual interest expense, based on the spread between the fixed rate and the variable rate currently in effect on our debt.</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As of September 30, 2015, the cash is invested in a combination of a commercial checking account that has limited interest rate risk, and three money market mutual funds that contain a total investment of $40.1 million. Management continually evaluates the most beneficial use of these funds.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September 30, 2015, the Company has $49.8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September 30, 2015, the Company had $7.9 million of cost and equity method investments. Approximately $2.6 million is invested in privately held companies through investments with portfolio managers.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this evaluation, the Company's principal executive officer and its principal financial officer concluded that the Company's disclosure controls and procedures were effective as of September 30,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third quarter of 2015, there were no changes in the Company's internal control over financial reporting that have materially affected, or are reasonably likely to materially affect, its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 Relating to Internal Control Over Financial Reporting</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Company’s agreements with Sprint, Sprint provides the Company with billing, collections, customer care, certain network operations and other back-office services for the PCS operation. As a result, Sprint remits to the Company approximately 57% of the Company’s total operating revenues.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customer credits and adjustments and the 22.0% of revenue retained by Sprint.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2014 to September 30, 2014. The most recent report indicated there were no material issues which would adversely affect the information used to support the recording of the revenues provided by Sprint related to the Company’s relationship with them.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previously discussed, our actual results could differ materially from our forward-looking statements. There have been no material changes in the risk factors from those described in Part 1, Item 1A of the Company’s Annual Report on Form 10-K for the fiscal year ended December 31, 2014.</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September 30,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Average Price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Purchased</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Paid per Share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to July 31</w:t>
            </w:r>
          </w:p>
        </w:tc>
        <w:tc>
          <w:tcPr>
            <w:tcW w:w="23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3"/>
              </w:rPr>
              <w:t>34.88</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August 1 to August 31</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42.11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23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40.74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8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8,963</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40.75</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4"/>
        </w:trPr>
        <w:tc>
          <w:tcPr>
            <w:tcW w:w="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jc w:val="right"/>
              <w:ind w:right="376"/>
              <w:spacing w:after="0"/>
              <w:rPr>
                <w:sz w:val="20"/>
                <w:szCs w:val="20"/>
                <w:color w:val="auto"/>
              </w:rPr>
            </w:pPr>
            <w:r>
              <w:rPr>
                <w:rFonts w:ascii="Times New Roman" w:cs="Times New Roman" w:eastAsia="Times New Roman" w:hAnsi="Times New Roman"/>
                <w:sz w:val="14"/>
                <w:szCs w:val="14"/>
                <w:color w:val="auto"/>
              </w:rPr>
              <w:t>34</w:t>
            </w: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with this Quarterly Report on Form 10-Q:</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10.47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660" w:right="440"/>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August 10, 2015, by and among Shenandoah Telecommunications Company, a Virginia corporation (“Parent”), Gridiron Merger Sub, Inc., a Delaware corporation and a 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NTELOS HOLDINGS CORP., a Delaware corporation, filed as Exhibit 2.1 to the Company’s Form 8-K dated August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83"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Master Agreement dated as of August 10, 2015, by and among SprintCom, Inc., a Kansas corporation, and Shenandoah Personal Communications, LLC, a Virginia limited liability company, filed as Exhibit 10.1 to the Company’s Form 8-K dated August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9" w:lineRule="exact"/>
        <w:rPr>
          <w:sz w:val="20"/>
          <w:szCs w:val="20"/>
          <w:color w:val="auto"/>
        </w:rPr>
      </w:pPr>
    </w:p>
    <w:p>
      <w:pPr>
        <w:ind w:left="660" w:right="800"/>
        <w:spacing w:after="0" w:line="282" w:lineRule="auto"/>
        <w:rPr>
          <w:sz w:val="20"/>
          <w:szCs w:val="20"/>
          <w:color w:val="auto"/>
        </w:rPr>
      </w:pPr>
      <w:r>
        <w:rPr>
          <w:rFonts w:ascii="Times New Roman" w:cs="Times New Roman" w:eastAsia="Times New Roman" w:hAnsi="Times New Roman"/>
          <w:sz w:val="18"/>
          <w:szCs w:val="18"/>
          <w:color w:val="auto"/>
        </w:rPr>
        <w:t>Addendum XVII dated as of August 10, 2015, to Sprint PCS Management Agreement by and among SprintCom, Inc., PhillieCo, L.P., and Shenandoah Personal Communications, LLC, filed as Exhibit 10.2 to the Company’s Form 8-K dated August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98"/>
        </w:trPr>
        <w:tc>
          <w:tcPr>
            <w:tcW w:w="1640" w:type="dxa"/>
            <w:vAlign w:val="bottom"/>
          </w:tcPr>
          <w:p>
            <w:pPr>
              <w:spacing w:after="0"/>
              <w:rPr>
                <w:sz w:val="24"/>
                <w:szCs w:val="24"/>
                <w:color w:val="auto"/>
              </w:rPr>
            </w:pPr>
          </w:p>
        </w:tc>
        <w:tc>
          <w:tcPr>
            <w:tcW w:w="9780" w:type="dxa"/>
            <w:vAlign w:val="bottom"/>
          </w:tcPr>
          <w:p>
            <w:pPr>
              <w:ind w:left="4000"/>
              <w:spacing w:after="0"/>
              <w:rPr>
                <w:sz w:val="20"/>
                <w:szCs w:val="20"/>
                <w:color w:val="auto"/>
              </w:rPr>
            </w:pPr>
            <w:r>
              <w:rPr>
                <w:rFonts w:ascii="Times New Roman" w:cs="Times New Roman" w:eastAsia="Times New Roman" w:hAnsi="Times New Roman"/>
                <w:sz w:val="14"/>
                <w:szCs w:val="14"/>
                <w:color w:val="auto"/>
              </w:rPr>
              <w:t>35</w:t>
            </w:r>
          </w:p>
        </w:tc>
      </w:tr>
      <w:tr>
        <w:trPr>
          <w:trHeight w:val="44"/>
        </w:trPr>
        <w:tc>
          <w:tcPr>
            <w:tcW w:w="1640" w:type="dxa"/>
            <w:vAlign w:val="bottom"/>
            <w:tcBorders>
              <w:bottom w:val="single" w:sz="8" w:color="auto"/>
            </w:tcBorders>
          </w:tcPr>
          <w:p>
            <w:pPr>
              <w:spacing w:after="0"/>
              <w:rPr>
                <w:sz w:val="3"/>
                <w:szCs w:val="3"/>
                <w:color w:val="auto"/>
              </w:rPr>
            </w:pPr>
          </w:p>
        </w:tc>
        <w:tc>
          <w:tcPr>
            <w:tcW w:w="978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Times New Roman" w:cs="Times New Roman" w:eastAsia="Times New Roman" w:hAnsi="Times New Roman"/>
          <w:sz w:val="14"/>
          <w:szCs w:val="14"/>
          <w:i w:val="1"/>
          <w:iCs w:val="1"/>
          <w:u w:val="single" w:color="auto"/>
          <w:color w:val="0000EE"/>
        </w:rPr>
      </w:pPr>
      <w:hyperlink w:anchor="page2">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auto"/>
        </w:rPr>
        <w:t>/s/Adele M. Skolits</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Adele M. Skolits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Vice President - Finance and Chief Financial Officer</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Date: October 30, 2015</w:t>
      </w:r>
    </w:p>
    <w:p>
      <w:pPr>
        <w:spacing w:after="0" w:line="3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00"/>
          </w:cols>
          <w:pgMar w:left="240" w:top="115" w:right="10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140" w:type="dxa"/>
            <w:vAlign w:val="bottom"/>
            <w:gridSpan w:val="6"/>
          </w:tcPr>
          <w:p>
            <w:pPr>
              <w:spacing w:after="0"/>
              <w:rPr>
                <w:rFonts w:ascii="Times New Roman" w:cs="Times New Roman" w:eastAsia="Times New Roman" w:hAnsi="Times New Roman"/>
                <w:sz w:val="14"/>
                <w:szCs w:val="14"/>
                <w:i w:val="1"/>
                <w:iCs w:val="1"/>
                <w:color w:val="0000EE"/>
              </w:rPr>
            </w:pPr>
            <w:hyperlink w:anchor="page2">
              <w:r>
                <w:rPr>
                  <w:rFonts w:ascii="Times New Roman" w:cs="Times New Roman" w:eastAsia="Times New Roman" w:hAnsi="Times New Roman"/>
                  <w:sz w:val="14"/>
                  <w:szCs w:val="14"/>
                  <w:i w:val="1"/>
                  <w:iCs w:val="1"/>
                  <w:color w:val="0000EE"/>
                </w:rPr>
                <w:t>Index</w:t>
              </w:r>
            </w:hyperlink>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40" w:type="dxa"/>
            <w:vAlign w:val="bottom"/>
            <w:gridSpan w:val="3"/>
          </w:tcPr>
          <w:p>
            <w:pPr>
              <w:ind w:left="28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4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4"/>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shd w:val="clear" w:color="auto" w:fill="CCEEFF"/>
          </w:tcPr>
          <w:p>
            <w:pPr>
              <w:spacing w:after="0"/>
              <w:rPr>
                <w:sz w:val="18"/>
                <w:szCs w:val="18"/>
                <w:color w:val="auto"/>
              </w:rPr>
            </w:pPr>
          </w:p>
        </w:tc>
        <w:tc>
          <w:tcPr>
            <w:tcW w:w="9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80" w:type="dxa"/>
            <w:vAlign w:val="bottom"/>
            <w:gridSpan w:val="5"/>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Agreement and Plan of Merger, dated as of August 10, 2015, by and among Shenandoah Telecommunications Company,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Virginia corporation (“Parent”), Gridiron Merger Sub, Inc., a Delaware corporation and a direct wholly owned subsidiary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80" w:type="dxa"/>
            <w:vAlign w:val="bottom"/>
            <w:gridSpan w:val="5"/>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Parent (“Merger Sub”), and NTELOS HOLDINGS CORP., a Delaware corporation, filed as Exhibit 2.1 to the Company’s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4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8-K dated August 11, 2015.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80" w:type="dxa"/>
            <w:vAlign w:val="bottom"/>
            <w:gridSpan w:val="5"/>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Master Agreement dated as of August 10, 2015, by and among SprintCom, Inc., a Kansas corporation, and Shenandoah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Personal Communications, LLC, a Virginia limited liability company, filed as Exhibit 10.1 to the Company’s Form 8-K 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11, 2015.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80" w:type="dxa"/>
            <w:vAlign w:val="bottom"/>
            <w:gridSpan w:val="5"/>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Addendum XVII dated as of August 10, 2015, to Sprint PCS Management Agreement by and among SprintCom,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PhillieCo, L.P., and Shenandoah Personal Communications, LLC, filed as Exhibit 10.2 to the Company’s Form 8-K 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11, 2015.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00" w:type="dxa"/>
            <w:vAlign w:val="bottom"/>
            <w:gridSpan w:val="4"/>
            <w:shd w:val="clear" w:color="auto" w:fill="CCEEFF"/>
          </w:tcPr>
          <w:p>
            <w:pPr>
              <w:ind w:left="1120"/>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120" w:type="dxa"/>
            <w:vAlign w:val="bottom"/>
            <w:shd w:val="clear" w:color="auto" w:fill="CCEEFF"/>
          </w:tcPr>
          <w:p>
            <w:pPr>
              <w:spacing w:after="0"/>
              <w:rPr>
                <w:sz w:val="17"/>
                <w:szCs w:val="17"/>
                <w:color w:val="auto"/>
              </w:rPr>
            </w:pPr>
          </w:p>
        </w:tc>
        <w:tc>
          <w:tcPr>
            <w:tcW w:w="9280" w:type="dxa"/>
            <w:vAlign w:val="bottom"/>
            <w:gridSpan w:val="5"/>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President and Chief Executive Officer pursuant to Rule 13a-14(a) under the Securities Exchange Act of 1934.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28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2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00" w:type="dxa"/>
            <w:vAlign w:val="bottom"/>
            <w:gridSpan w:val="4"/>
            <w:shd w:val="clear" w:color="auto" w:fill="CCEEFF"/>
          </w:tcPr>
          <w:p>
            <w:pPr>
              <w:ind w:left="1120"/>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9280" w:type="dxa"/>
            <w:vAlign w:val="bottom"/>
            <w:gridSpan w:val="5"/>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Vice President - Finance and Chief Financial Officer pursuant to Rule 13a-14(a) under the Securities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280" w:type="dxa"/>
            <w:vAlign w:val="bottom"/>
            <w:tcBorders>
              <w:top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Exchange Act of 1934.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80" w:hanging="1138"/>
        <w:spacing w:after="0"/>
        <w:tabs>
          <w:tab w:leader="none" w:pos="2280" w:val="left"/>
        </w:tabs>
        <w:numPr>
          <w:ilvl w:val="0"/>
          <w:numId w:val="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Certifications pursuant to Rule 13a-14(b) under the Securities Exchange Act of 1934 and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2280" w:hanging="1138"/>
        <w:spacing w:after="0"/>
        <w:tabs>
          <w:tab w:leader="none" w:pos="2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101.INS</w:t>
            </w:r>
          </w:p>
        </w:tc>
        <w:tc>
          <w:tcPr>
            <w:tcW w:w="8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101.SCH</w:t>
            </w:r>
          </w:p>
        </w:tc>
        <w:tc>
          <w:tcPr>
            <w:tcW w:w="8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101.CAL</w:t>
            </w:r>
          </w:p>
        </w:tc>
        <w:tc>
          <w:tcPr>
            <w:tcW w:w="8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101.DEF</w:t>
            </w:r>
          </w:p>
        </w:tc>
        <w:tc>
          <w:tcPr>
            <w:tcW w:w="8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101.LAB</w:t>
            </w:r>
          </w:p>
        </w:tc>
        <w:tc>
          <w:tcPr>
            <w:tcW w:w="8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101.PRE</w:t>
            </w:r>
          </w:p>
        </w:tc>
        <w:tc>
          <w:tcPr>
            <w:tcW w:w="8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5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2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24"/>
                <w:szCs w:val="24"/>
                <w:color w:val="auto"/>
              </w:rPr>
            </w:pPr>
          </w:p>
        </w:tc>
      </w:tr>
      <w:tr>
        <w:trPr>
          <w:trHeight w:val="113"/>
        </w:trPr>
        <w:tc>
          <w:tcPr>
            <w:tcW w:w="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86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2760" w:type="dxa"/>
            <w:vAlign w:val="bottom"/>
            <w:tcBorders>
              <w:top w:val="single" w:sz="8" w:color="auto"/>
            </w:tcBorders>
            <w:shd w:val="clear" w:color="auto" w:fill="808080"/>
          </w:tcPr>
          <w:p>
            <w:pPr>
              <w:spacing w:after="0" w:line="20" w:lineRule="exact"/>
              <w:rPr>
                <w:sz w:val="1"/>
                <w:szCs w:val="1"/>
                <w:color w:val="auto"/>
              </w:rPr>
            </w:pPr>
          </w:p>
        </w:tc>
        <w:tc>
          <w:tcPr>
            <w:tcW w:w="862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14"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660" w:right="20" w:hanging="4"/>
        <w:spacing w:after="0" w:line="266" w:lineRule="auto"/>
        <w:tabs>
          <w:tab w:leader="none" w:pos="9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780" w:hanging="4"/>
        <w:spacing w:after="0" w:line="313" w:lineRule="auto"/>
        <w:tabs>
          <w:tab w:leader="none" w:pos="95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660" w:right="240" w:hanging="4"/>
        <w:spacing w:after="0" w:line="266" w:lineRule="auto"/>
        <w:tabs>
          <w:tab w:leader="none" w:pos="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160" w:hanging="4"/>
        <w:spacing w:after="0" w:line="282" w:lineRule="auto"/>
        <w:tabs>
          <w:tab w:leader="none" w:pos="9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20" w:hanging="4"/>
        <w:spacing w:after="0" w:line="282" w:lineRule="auto"/>
        <w:tabs>
          <w:tab w:leader="none" w:pos="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October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660" w:right="20" w:hanging="4"/>
        <w:spacing w:after="0" w:line="266" w:lineRule="auto"/>
        <w:tabs>
          <w:tab w:leader="none" w:pos="9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9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20" w:hanging="4"/>
        <w:spacing w:after="0" w:line="313" w:lineRule="auto"/>
        <w:tabs>
          <w:tab w:leader="none" w:pos="90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660" w:right="260" w:hanging="4"/>
        <w:spacing w:after="0" w:line="266" w:lineRule="auto"/>
        <w:tabs>
          <w:tab w:leader="none" w:pos="9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00" w:hanging="4"/>
        <w:spacing w:after="0" w:line="282" w:lineRule="auto"/>
        <w:tabs>
          <w:tab w:leader="none" w:pos="90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60" w:hanging="4"/>
        <w:spacing w:after="0" w:line="282" w:lineRule="auto"/>
        <w:tabs>
          <w:tab w:leader="none" w:pos="9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/s/ADELE M. SKOLITS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October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1614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14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 xml:space="preserve">EXHIBIT </w:t>
      </w:r>
      <w:r>
        <w:rPr>
          <w:rFonts w:ascii="Times New Roman" w:cs="Times New Roman" w:eastAsia="Times New Roman" w:hAnsi="Times New Roman"/>
          <w:sz w:val="21"/>
          <w:szCs w:val="21"/>
          <w:b w:val="1"/>
          <w:bCs w:val="1"/>
          <w:color w:val="auto"/>
        </w:rPr>
        <w:t>32</w:t>
      </w: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80" w:right="36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89" w:lineRule="exact"/>
        <w:rPr>
          <w:sz w:val="20"/>
          <w:szCs w:val="20"/>
          <w:color w:val="auto"/>
        </w:rPr>
      </w:pPr>
    </w:p>
    <w:p>
      <w:pPr>
        <w:ind w:left="80" w:right="160" w:firstLine="656"/>
        <w:spacing w:after="0" w:line="266" w:lineRule="auto"/>
        <w:tabs>
          <w:tab w:leader="none" w:pos="1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months ended September 30, 2015 filed on the date hereof with the Securities and Exchange Commission (the “Report”) fully complies with the requirements of Section 13(a) or 15(d) of the Securities Exchange Act of 1934; and</w:t>
      </w:r>
    </w:p>
    <w:p>
      <w:pPr>
        <w:spacing w:after="0" w:line="203" w:lineRule="exact"/>
        <w:rPr>
          <w:rFonts w:ascii="Times New Roman" w:cs="Times New Roman" w:eastAsia="Times New Roman" w:hAnsi="Times New Roman"/>
          <w:sz w:val="18"/>
          <w:szCs w:val="18"/>
          <w:color w:val="auto"/>
        </w:rPr>
      </w:pPr>
    </w:p>
    <w:p>
      <w:pPr>
        <w:ind w:left="1220" w:hanging="484"/>
        <w:spacing w:after="0"/>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 Company.</w:t>
      </w:r>
    </w:p>
    <w:p>
      <w:pPr>
        <w:spacing w:after="0" w:line="25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October 30, 2015</w:t>
      </w:r>
    </w:p>
    <w:p>
      <w:pPr>
        <w:spacing w:after="0" w:line="20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u w:val="single" w:color="auto"/>
          <w:color w:val="auto"/>
        </w:rPr>
        <w:t>/S/ADELE M. SKOLITS</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Adele M. Skolits</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Vice President - Finance and</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October 30, 2015</w:t>
      </w:r>
    </w:p>
    <w:p>
      <w:pPr>
        <w:spacing w:after="0" w:line="23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7301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1865" cy="38735"/>
                    </a:xfrm>
                    <a:prstGeom prst="rect">
                      <a:avLst/>
                    </a:prstGeom>
                    <a:noFill/>
                  </pic:spPr>
                </pic:pic>
              </a:graphicData>
            </a:graphic>
          </wp:anchor>
        </w:drawing>
      </w:r>
    </w:p>
    <w:sectPr>
      <w:pgSz w:w="11900" w:h="16838" w:orient="portrait"/>
      <w:cols w:equalWidth="0" w:num="1">
        <w:col w:w="11500"/>
      </w:cols>
      <w:pgMar w:left="160" w:top="2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1."/>
      <w:numFmt w:val="decimal"/>
      <w:start w:val="5"/>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8"/>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2019-12-29T15:32:10Z</dcterms:created>
  <dcterms:modified xsi:type="dcterms:W3CDTF">2019-12-29T15:32:10Z</dcterms:modified>
</cp:coreProperties>
</file>