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360" w:right="2220" w:hanging="258"/>
        <w:spacing w:after="0" w:line="222"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 For the quarterly period ended June 30, 2021</w:t>
      </w:r>
    </w:p>
    <w:p>
      <w:pPr>
        <w:ind w:left="360" w:right="2200" w:hanging="258"/>
        <w:spacing w:after="0" w:line="221" w:lineRule="auto"/>
        <w:tabs>
          <w:tab w:leader="none" w:pos="36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21"/>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Arial" w:cs="Arial" w:eastAsia="Arial" w:hAnsi="Arial"/>
                <w:sz w:val="18"/>
                <w:szCs w:val="18"/>
                <w:b w:val="1"/>
                <w:bCs w:val="1"/>
                <w:color w:val="auto"/>
                <w:w w:val="96"/>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8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center"/>
              <w:ind w:right="131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5"/>
        </w:trPr>
        <w:tc>
          <w:tcPr>
            <w:tcW w:w="18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640" w:type="dxa"/>
            <w:vAlign w:val="bottom"/>
          </w:tcPr>
          <w:p>
            <w:pPr>
              <w:jc w:val="center"/>
              <w:ind w:left="338"/>
              <w:spacing w:after="0"/>
              <w:rPr>
                <w:sz w:val="20"/>
                <w:szCs w:val="20"/>
                <w:color w:val="auto"/>
              </w:rPr>
            </w:pPr>
            <w:r>
              <w:rPr>
                <w:rFonts w:ascii="Arial" w:cs="Arial" w:eastAsia="Arial" w:hAnsi="Arial"/>
                <w:sz w:val="14"/>
                <w:szCs w:val="14"/>
                <w:color w:val="auto"/>
                <w:w w:val="97"/>
              </w:rPr>
              <w:t>SHEN</w:t>
            </w:r>
          </w:p>
        </w:tc>
        <w:tc>
          <w:tcPr>
            <w:tcW w:w="2800" w:type="dxa"/>
            <w:vAlign w:val="bottom"/>
            <w:gridSpan w:val="2"/>
          </w:tcPr>
          <w:p>
            <w:pPr>
              <w:jc w:val="center"/>
              <w:ind w:left="23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4"/>
              </w:rPr>
              <w:t>49,965,151</w:t>
            </w:r>
          </w:p>
        </w:tc>
        <w:tc>
          <w:tcPr>
            <w:tcW w:w="0" w:type="dxa"/>
            <w:vAlign w:val="bottom"/>
          </w:tcPr>
          <w:p>
            <w:pPr>
              <w:spacing w:after="0"/>
              <w:rPr>
                <w:sz w:val="1"/>
                <w:szCs w:val="1"/>
                <w:color w:val="auto"/>
              </w:rPr>
            </w:pPr>
          </w:p>
        </w:tc>
      </w:tr>
      <w:tr>
        <w:trPr>
          <w:trHeight w:val="147"/>
        </w:trPr>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40" w:type="dxa"/>
            <w:vAlign w:val="bottom"/>
            <w:vMerge w:val="restart"/>
          </w:tcPr>
          <w:p>
            <w:pPr>
              <w:jc w:val="center"/>
              <w:ind w:left="338"/>
              <w:spacing w:after="0"/>
              <w:rPr>
                <w:sz w:val="20"/>
                <w:szCs w:val="20"/>
                <w:color w:val="auto"/>
              </w:rPr>
            </w:pPr>
            <w:r>
              <w:rPr>
                <w:rFonts w:ascii="Arial" w:cs="Arial" w:eastAsia="Arial" w:hAnsi="Arial"/>
                <w:sz w:val="14"/>
                <w:szCs w:val="14"/>
                <w:color w:val="auto"/>
                <w:w w:val="94"/>
              </w:rPr>
              <w:t>(Trading Symbol)</w:t>
            </w:r>
          </w:p>
        </w:tc>
        <w:tc>
          <w:tcPr>
            <w:tcW w:w="280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3"/>
              </w:rPr>
              <w:t>(Name of Exchange on which Registered)</w:t>
            </w:r>
          </w:p>
        </w:tc>
        <w:tc>
          <w:tcPr>
            <w:tcW w:w="4460" w:type="dxa"/>
            <w:vAlign w:val="bottom"/>
          </w:tcPr>
          <w:p>
            <w:pPr>
              <w:jc w:val="center"/>
              <w:ind w:left="278"/>
              <w:spacing w:after="0" w:line="147" w:lineRule="exact"/>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3"/>
              </w:rPr>
              <w:t>July 23, 2021)</w:t>
            </w: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5" w:lineRule="exact"/>
        <w:tabs>
          <w:tab w:leader="none" w:pos="1660" w:val="left"/>
          <w:tab w:leader="none" w:pos="3320" w:val="left"/>
          <w:tab w:leader="none" w:pos="5280" w:val="left"/>
          <w:tab w:leader="none" w:pos="5660" w:val="left"/>
          <w:tab w:leader="none" w:pos="7640" w:val="left"/>
          <w:tab w:leader="none" w:pos="804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8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10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81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810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10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81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3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32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248,789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195,397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for doubtful accounts of $502 and $614, respectively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70,393</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1,101,193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22"/>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1,429,144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1,408,715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29"/>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50,387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672,601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688,463</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19,599</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16,413</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423,008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1,156,538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1,208,061</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Benefit plan obligations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14,645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46,095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270,907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241,252</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89"/>
              </w:rPr>
              <w:t>Common stock, no par value, authorized 96,000; 49,950 and 49,868 issued and outstanding at June 30, 2021 and</w:t>
            </w:r>
          </w:p>
        </w:tc>
        <w:tc>
          <w:tcPr>
            <w:tcW w:w="220" w:type="dxa"/>
            <w:vAlign w:val="bottom"/>
          </w:tcPr>
          <w:p>
            <w:pPr>
              <w:spacing w:after="0"/>
              <w:rPr>
                <w:sz w:val="15"/>
                <w:szCs w:val="15"/>
                <w:color w:val="auto"/>
              </w:rPr>
            </w:pPr>
          </w:p>
        </w:tc>
        <w:tc>
          <w:tcPr>
            <w:tcW w:w="12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539,783</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 net of taxes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687,787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582,394</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5"/>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440" w:type="dxa"/>
            <w:vAlign w:val="bottom"/>
          </w:tcPr>
          <w:p>
            <w:pPr>
              <w:spacing w:after="0"/>
              <w:rPr>
                <w:sz w:val="15"/>
                <w:szCs w:val="15"/>
                <w:color w:val="auto"/>
              </w:rPr>
            </w:pPr>
          </w:p>
        </w:tc>
        <w:tc>
          <w:tcPr>
            <w:tcW w:w="2560" w:type="dxa"/>
            <w:vAlign w:val="bottom"/>
            <w:gridSpan w:val="5"/>
          </w:tcPr>
          <w:p>
            <w:pPr>
              <w:ind w:left="200"/>
              <w:spacing w:after="0" w:line="182"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5"/>
                <w:szCs w:val="15"/>
                <w:color w:val="auto"/>
              </w:rPr>
            </w:pPr>
          </w:p>
        </w:tc>
        <w:tc>
          <w:tcPr>
            <w:tcW w:w="2600" w:type="dxa"/>
            <w:vAlign w:val="bottom"/>
            <w:gridSpan w:val="4"/>
          </w:tcPr>
          <w:p>
            <w:pPr>
              <w:jc w:val="right"/>
              <w:ind w:right="650"/>
              <w:spacing w:after="0" w:line="18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spacing w:after="0"/>
              <w:rPr>
                <w:sz w:val="20"/>
                <w:szCs w:val="20"/>
                <w:color w:val="auto"/>
              </w:rPr>
            </w:pPr>
            <w:r>
              <w:rPr>
                <w:rFonts w:ascii="Arial" w:cs="Arial" w:eastAsia="Arial" w:hAnsi="Arial"/>
                <w:sz w:val="18"/>
                <w:szCs w:val="18"/>
                <w:color w:val="auto"/>
              </w:rPr>
              <w:t>Service revenue and other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107,470</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44,188</w:t>
            </w:r>
          </w:p>
        </w:tc>
        <w:tc>
          <w:tcPr>
            <w:tcW w:w="0" w:type="dxa"/>
            <w:vAlign w:val="bottom"/>
          </w:tcPr>
          <w:p>
            <w:pPr>
              <w:spacing w:after="0"/>
              <w:rPr>
                <w:sz w:val="1"/>
                <w:szCs w:val="1"/>
                <w:color w:val="auto"/>
              </w:rPr>
            </w:pPr>
          </w:p>
        </w:tc>
      </w:tr>
      <w:tr>
        <w:trPr>
          <w:trHeight w:val="229"/>
        </w:trPr>
        <w:tc>
          <w:tcPr>
            <w:tcW w:w="530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110,701</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2"/>
        </w:trPr>
        <w:tc>
          <w:tcPr>
            <w:tcW w:w="530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2"/>
        </w:trPr>
        <w:tc>
          <w:tcPr>
            <w:tcW w:w="530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23"/>
        </w:trPr>
        <w:tc>
          <w:tcPr>
            <w:tcW w:w="53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Unrealized income (loss) on interest rate hedge, net of tax</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36,480</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8"/>
                <w:szCs w:val="18"/>
                <w:color w:val="auto"/>
              </w:rPr>
              <w:t>Net income per share, basic and diluted:</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Basic - Income (loss) from continuing operations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Basic - Income from discontinued operations,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Basic net income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300" w:type="dxa"/>
            <w:vAlign w:val="bottom"/>
          </w:tcPr>
          <w:p>
            <w:pPr>
              <w:ind w:left="120"/>
              <w:spacing w:after="0"/>
              <w:rPr>
                <w:sz w:val="20"/>
                <w:szCs w:val="20"/>
                <w:color w:val="auto"/>
              </w:rPr>
            </w:pPr>
            <w:r>
              <w:rPr>
                <w:rFonts w:ascii="Arial" w:cs="Arial" w:eastAsia="Arial" w:hAnsi="Arial"/>
                <w:sz w:val="18"/>
                <w:szCs w:val="18"/>
                <w:color w:val="auto"/>
              </w:rPr>
              <w:t>Diluted - Income (loss) from continuing operations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Diluted - Income from discontinued operations,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Diluted net income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60"/>
        <w:spacing w:after="0" w:line="266"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49,943</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46,583</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591,304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(3,933)</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633,954</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53,422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53,422</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(loss),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49,950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46,681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644,726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687,787</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49,868</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47,317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539,783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582,394</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104,943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104,943</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(loss),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49,950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46,681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644,726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687,787</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March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49,842</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43,158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443,290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ind w:left="720"/>
              <w:spacing w:after="0"/>
              <w:rPr>
                <w:sz w:val="20"/>
                <w:szCs w:val="20"/>
                <w:color w:val="auto"/>
              </w:rPr>
            </w:pPr>
            <w:r>
              <w:rPr>
                <w:rFonts w:ascii="Arial" w:cs="Arial" w:eastAsia="Arial" w:hAnsi="Arial"/>
                <w:sz w:val="14"/>
                <w:szCs w:val="14"/>
                <w:color w:val="auto"/>
                <w:w w:val="94"/>
              </w:rPr>
              <w:t>(5,798)</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480,650</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29,247</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gain (loss),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44,659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472,537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w w:val="94"/>
              </w:rPr>
              <w:t>(5,739)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511,457</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49,671</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430,010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472,428</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42,527</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Other comprehensive loss,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(6,047)</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4,716</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(2,182)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82"/>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2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44,659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472,537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511,457</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right="5320"/>
        <w:spacing w:after="0" w:line="278" w:lineRule="auto"/>
        <w:rPr>
          <w:sz w:val="20"/>
          <w:szCs w:val="20"/>
          <w:color w:val="auto"/>
        </w:rPr>
      </w:pPr>
      <w:r>
        <w:rPr>
          <w:rFonts w:ascii="Arial" w:cs="Arial" w:eastAsia="Arial" w:hAnsi="Arial"/>
          <w:sz w:val="16"/>
          <w:szCs w:val="16"/>
          <w:b w:val="1"/>
          <w:bCs w:val="1"/>
          <w:color w:val="auto"/>
        </w:rPr>
        <w:t>SHENANDOAH TELECOMMUNICATIONS COMPANY AND SUBSIDIARIES UNAUDITED CONDENSED CONSOLIDATED STATEMENTS OF CASH FLOWS</w:t>
      </w:r>
    </w:p>
    <w:p>
      <w:pPr>
        <w:ind w:left="9040"/>
        <w:spacing w:after="0" w:line="228" w:lineRule="auto"/>
        <w:rPr>
          <w:sz w:val="20"/>
          <w:szCs w:val="20"/>
          <w:color w:val="auto"/>
        </w:rPr>
      </w:pPr>
      <w:r>
        <w:rPr>
          <w:rFonts w:ascii="Arial" w:cs="Arial" w:eastAsia="Arial" w:hAnsi="Arial"/>
          <w:sz w:val="18"/>
          <w:szCs w:val="18"/>
          <w:b w:val="1"/>
          <w:bCs w:val="1"/>
          <w:color w:val="auto"/>
        </w:rPr>
        <w:t>Six Months Ended</w:t>
      </w:r>
    </w:p>
    <w:tbl>
      <w:tblPr>
        <w:tblLayout w:type="fixed"/>
        <w:tblInd w:w="20" w:type="dxa"/>
        <w:tblCellMar>
          <w:top w:w="0" w:type="dxa"/>
          <w:left w:w="0" w:type="dxa"/>
          <w:bottom w:w="0" w:type="dxa"/>
          <w:right w:w="0" w:type="dxa"/>
        </w:tblCellMar>
      </w:tblPr>
      <w:tr>
        <w:trPr>
          <w:trHeight w:val="214"/>
        </w:trPr>
        <w:tc>
          <w:tcPr>
            <w:tcW w:w="82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4"/>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6"/>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104,943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42,527</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100,038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42,913</w:t>
            </w: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23,694</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Stock 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Gain from patronage and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(3,621)</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r>
      <w:tr>
        <w:trPr>
          <w:trHeight w:val="209"/>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29,303</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99,636</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153,185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128,939</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(79,562)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(52,888)</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disbursed for deposit on FCC spectrum leases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09"/>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(53,824)</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(13,716)</w:t>
            </w:r>
          </w:p>
        </w:tc>
      </w:tr>
      <w:tr>
        <w:trPr>
          <w:trHeight w:val="209"/>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(80,301)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(67,540)</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(17,061)</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(19,338)</w:t>
            </w:r>
          </w:p>
        </w:tc>
      </w:tr>
      <w:tr>
        <w:trPr>
          <w:trHeight w:val="210"/>
        </w:trPr>
        <w:tc>
          <w:tcPr>
            <w:tcW w:w="8220" w:type="dxa"/>
            <w:vAlign w:val="bottom"/>
          </w:tcPr>
          <w:p>
            <w:pPr>
              <w:ind w:left="1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42,061</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101,651</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248,789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143,712</w:t>
            </w:r>
          </w:p>
        </w:tc>
      </w:tr>
      <w:tr>
        <w:trPr>
          <w:trHeight w:val="24"/>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6"/>
          <w:szCs w:val="16"/>
          <w:color w:val="000000"/>
        </w:rPr>
        <w:t>year ended December 31, 2020.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condensed consolidated financial statements. These estimates are inherently subject to judgment and actual results could differ.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2020 Annual Report on Form 10-K, that would be expected to impact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 The Company’s Wireless assets and operations were classified as discontinued operations after Sprint delivered notice to the Company exercising its option to purchase the Wireless assets and operations on August 26,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The assets and liabilities that transferred in the sale were presented as held for sale within our unaudited condensed consolidated balance sheets, and discontinued operations within our unaudited condensed consolidated statements of comprehensive income. This disposal group excludes the accounts receivable and certain current liabilities generated by our Wireless operations because they are expected to be settled separately from the sale. Such accounts receivable totaled $49.1 million and $51.7 million at June 30, 2021 and December 31, 2020, respectively, and such current liabilities totaled $8.0 million and $6.1 million at June 30, 2021 and December 31, 2020, respectively.</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The transaction is structured as an asset sale for income tax purposes. As a result, no current or deferred tax assets or liabilities are included within the disposal group. While our long-term debt does not transfer in the sale, its provisions required us to repay all of the debt upon consummation of the sale. Our debt is therefore presented outside of the disposal group as a current liability. Our related interest rate swap liabilities are also presented outside of the disposal group as a current liability, because management terminated them at consummation. Because repayment of the debt is contractually triggered by the sale, the related interest expense is presented within discontinued operations under the relevant authoritative guidance.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the major classes of assets and liabilities, which are classified as held for sale in the consolidated balance sheets, are as follows: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47,003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299,647</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176,459</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421,586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Deferred charges and other assets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Current assets held for sale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1,101,193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383,633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409,887</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 net of tax in the consolidated statements of comprehensive income consist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7"/>
                <w:szCs w:val="17"/>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Service revenue and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100,402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110,138</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201,076</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201,526</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22,360</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106,256</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213,329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223,886</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66,631</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18,278</w:t>
            </w:r>
          </w:p>
        </w:tc>
        <w:tc>
          <w:tcPr>
            <w:tcW w:w="0" w:type="dxa"/>
            <w:vAlign w:val="bottom"/>
          </w:tcPr>
          <w:p>
            <w:pPr>
              <w:spacing w:after="0"/>
              <w:rPr>
                <w:sz w:val="1"/>
                <w:szCs w:val="1"/>
                <w:color w:val="auto"/>
              </w:rPr>
            </w:pPr>
          </w:p>
        </w:tc>
      </w:tr>
      <w:tr>
        <w:trPr>
          <w:trHeight w:val="229"/>
        </w:trPr>
        <w:tc>
          <w:tcPr>
            <w:tcW w:w="510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47,727</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31,526</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74,878</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68,087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154,601</w:t>
            </w: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74,730</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69,285</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136,541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58,315</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Under the relevant authoritative guidance, consummation of the sale will trigger or accelerate the recognition of certain expense related to contingent deal advisory fees, severance costs, recognition of our interest rate swap losses in net income, and loss on debt extinguishment. We estimate these expenses to be approximately $34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Broadband segment provides broadband data, video and voice services to residential and commercial customers in portions of Virginia, West Virginia, Maryland, Pennsylvania and Kentucky, via fiber optic, hybrid fiber coaxial cable, and fixed wireless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networks. The Broadband segment also provides voice and DSL telephone services to customers in Virginia’s Shenandoah County and portions of adjacent counties as a Rural Local Exchange Carrier (“RLEC”).</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six years.</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$3.7 million at June 30, 2021, is expected to be recognized into revenue at the rate of approximately $0.2 million per year.</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Broadband segment also leases dedicated fiber optic strands to customers as part of “dark fiber” agreements, which are accounted for as leases under Accounting Standards Codification 842, Leases, ("ASC 842").</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Tower segment leases space on owned cell towers to our Wireless and Broadband segments, and to other wireless carriers. Revenue from these leases is accounted for under ASC 842.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these revenue streams.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and fulfillment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740" w:type="dxa"/>
            <w:vAlign w:val="bottom"/>
            <w:gridSpan w:val="4"/>
          </w:tcPr>
          <w:p>
            <w:pPr>
              <w:jc w:val="right"/>
              <w:ind w:right="7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15,215</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11,663</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Contract payments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Contract 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Note 4. Investments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SERP Investments at fair value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SERP Investments at Fair Value: </w:t>
      </w:r>
      <w:r>
        <w:rPr>
          <w:rFonts w:ascii="Arial" w:cs="Arial" w:eastAsia="Arial" w:hAnsi="Arial"/>
          <w:sz w:val="18"/>
          <w:szCs w:val="18"/>
          <w:color w:val="auto"/>
        </w:rPr>
        <w:t>The Supplemental Executive Retirement Plan (“SERP”) is a benefit plan that provides deferred compensation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Arial" w:cs="Arial" w:eastAsia="Arial" w:hAnsi="Arial"/>
          <w:sz w:val="18"/>
          <w:szCs w:val="18"/>
          <w:i w:val="1"/>
          <w:iCs w:val="1"/>
          <w:color w:val="auto"/>
        </w:rPr>
        <w:t>Compensation</w:t>
      </w:r>
      <w:r>
        <w:rPr>
          <w:rFonts w:ascii="Arial" w:cs="Arial" w:eastAsia="Arial" w:hAnsi="Arial"/>
          <w:sz w:val="18"/>
          <w:szCs w:val="18"/>
          <w:color w:val="auto"/>
        </w:rPr>
        <w:t>. Changes to the investments' fair value are presented in Other income (expense), while the reciprocal changes in the liability are presented in selling, general and administrative expense. At June 30, 2021, an additional $0.8 million of SERP investments were presented as prepaid expenses and other (current assets) as we intend to liquidate certain investments to pay the current portion of our SERP obligation.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Method Investments</w:t>
      </w:r>
      <w:r>
        <w:rPr>
          <w:rFonts w:ascii="Arial" w:cs="Arial" w:eastAsia="Arial" w:hAnsi="Arial"/>
          <w:sz w:val="18"/>
          <w:szCs w:val="18"/>
          <w:color w:val="auto"/>
        </w:rPr>
        <w:t>: Our investment in CoBank ACB’s Class A common stock represented substantially all of our cost method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$10.3 million and $9.8 million at June 30, 2021 and December 31, 2020, respectively. We recognized approximately $1.0 million of patronage income in Other income (expense) during both of the three months ended June 30, 2021 and 2020, respectively, and approximately $2.0 million during both of the six months ended June 30, 2021 and 2020, respectively. Historically, approximately 75% of the patronage distributions were collected in cash and 25% in equity.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Equity Method Investments: </w:t>
      </w:r>
      <w:r>
        <w:rPr>
          <w:rFonts w:ascii="Arial" w:cs="Arial" w:eastAsia="Arial" w:hAnsi="Arial"/>
          <w:sz w:val="17"/>
          <w:szCs w:val="17"/>
          <w:color w:val="auto"/>
        </w:rPr>
        <w:t>At June 30, 2021, the Company had a 20.0% ownership interest in Valley Network Partnership (“ValleyNet”).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ValleyNet purchase capacity on one another’s fiber network. We recognized revenue of $0.2 million and $0.3 million from providing service to ValleyNet during the three months ended June 30, 2021 and 2020, respectively, and $0.4 million and $0.5 million during the six months ended June 30, 2021 and 2020, respectively. We recognized cost of service of $0.6 million for the use of ValleyNet’s network during both of the three months ended June 30, 2021 and 2020, and $1.1 million and $1.4 million during the six months ended June 30, 2021 and 2020,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Estimated Useful</w:t>
            </w: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5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Lives</w:t>
            </w:r>
          </w:p>
        </w:tc>
        <w:tc>
          <w:tcPr>
            <w:tcW w:w="26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6580" w:type="dxa"/>
            <w:vAlign w:val="bottom"/>
          </w:tcPr>
          <w:p>
            <w:pPr>
              <w:ind w:left="20"/>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10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Buildings and structures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- 40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91,335</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Cable and fiber</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- 30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390,209</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- 8 years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351,556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331,047</w:t>
            </w:r>
          </w:p>
        </w:tc>
        <w:tc>
          <w:tcPr>
            <w:tcW w:w="0" w:type="dxa"/>
            <w:vAlign w:val="bottom"/>
          </w:tcPr>
          <w:p>
            <w:pPr>
              <w:spacing w:after="0"/>
              <w:rPr>
                <w:sz w:val="1"/>
                <w:szCs w:val="1"/>
                <w:color w:val="auto"/>
              </w:rPr>
            </w:pPr>
          </w:p>
        </w:tc>
      </w:tr>
      <w:tr>
        <w:trPr>
          <w:trHeight w:val="222"/>
        </w:trPr>
        <w:tc>
          <w:tcPr>
            <w:tcW w:w="6580" w:type="dxa"/>
            <w:vAlign w:val="bottom"/>
          </w:tcPr>
          <w:p>
            <w:pPr>
              <w:ind w:left="140"/>
              <w:spacing w:after="0"/>
              <w:rPr>
                <w:sz w:val="20"/>
                <w:szCs w:val="20"/>
                <w:color w:val="auto"/>
              </w:rPr>
            </w:pPr>
            <w:r>
              <w:rPr>
                <w:rFonts w:ascii="Arial" w:cs="Arial" w:eastAsia="Arial" w:hAnsi="Arial"/>
                <w:sz w:val="18"/>
                <w:szCs w:val="18"/>
                <w:color w:val="auto"/>
              </w:rPr>
              <w:t>Plant in service</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866,979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819,410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Plant under construction</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w:t>
            </w:r>
          </w:p>
        </w:tc>
        <w:tc>
          <w:tcPr>
            <w:tcW w:w="0" w:type="dxa"/>
            <w:vAlign w:val="bottom"/>
          </w:tcPr>
          <w:p>
            <w:pPr>
              <w:spacing w:after="0"/>
              <w:rPr>
                <w:sz w:val="1"/>
                <w:szCs w:val="1"/>
                <w:color w:val="auto"/>
              </w:rPr>
            </w:pPr>
          </w:p>
        </w:tc>
      </w:tr>
      <w:tr>
        <w:trPr>
          <w:trHeight w:val="222"/>
        </w:trPr>
        <w:tc>
          <w:tcPr>
            <w:tcW w:w="6580" w:type="dxa"/>
            <w:vAlign w:val="bottom"/>
          </w:tcPr>
          <w:p>
            <w:pPr>
              <w:ind w:left="140"/>
              <w:spacing w:after="0"/>
              <w:rPr>
                <w:sz w:val="20"/>
                <w:szCs w:val="20"/>
                <w:color w:val="auto"/>
              </w:rPr>
            </w:pPr>
            <w:r>
              <w:rPr>
                <w:rFonts w:ascii="Arial" w:cs="Arial" w:eastAsia="Arial" w:hAnsi="Arial"/>
                <w:sz w:val="18"/>
                <w:szCs w:val="18"/>
                <w:color w:val="auto"/>
              </w:rPr>
              <w:t>Total property, plant and equipment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868,827</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451,403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428,400</w:t>
            </w:r>
          </w:p>
        </w:tc>
        <w:tc>
          <w:tcPr>
            <w:tcW w:w="0" w:type="dxa"/>
            <w:vAlign w:val="bottom"/>
          </w:tcPr>
          <w:p>
            <w:pPr>
              <w:spacing w:after="0"/>
              <w:rPr>
                <w:sz w:val="1"/>
                <w:szCs w:val="1"/>
                <w:color w:val="auto"/>
              </w:rPr>
            </w:pPr>
          </w:p>
        </w:tc>
      </w:tr>
      <w:tr>
        <w:trPr>
          <w:trHeight w:val="223"/>
        </w:trPr>
        <w:tc>
          <w:tcPr>
            <w:tcW w:w="65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net, increased due primarily to capital expenditures in the Broadband segment driven by our Glo Fiber and Beam market expansions.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December 31, 2020</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Carrying</w:t>
            </w:r>
          </w:p>
        </w:tc>
        <w:tc>
          <w:tcPr>
            <w:tcW w:w="150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9"/>
              </w:rPr>
              <w:t>Amortization and</w:t>
            </w:r>
          </w:p>
        </w:tc>
        <w:tc>
          <w:tcPr>
            <w:tcW w:w="2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29,958</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0" w:type="dxa"/>
            <w:vAlign w:val="bottom"/>
          </w:tcPr>
          <w:p>
            <w:pPr>
              <w:spacing w:after="0"/>
              <w:rPr>
                <w:sz w:val="1"/>
                <w:szCs w:val="1"/>
                <w:color w:val="auto"/>
              </w:rPr>
            </w:pPr>
          </w:p>
        </w:tc>
      </w:tr>
      <w:tr>
        <w:trPr>
          <w:trHeight w:val="479"/>
        </w:trPr>
        <w:tc>
          <w:tcPr>
            <w:tcW w:w="372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For the </w:t>
      </w:r>
      <w:r>
        <w:rPr>
          <w:rFonts w:ascii="Arial" w:cs="Arial" w:eastAsia="Arial" w:hAnsi="Arial"/>
          <w:sz w:val="18"/>
          <w:szCs w:val="18"/>
          <w:color w:val="000000"/>
        </w:rPr>
        <w:t>six months ended June 30, 2021 and 2020, amortization expense was approximately $0.4 million and $0.3 million,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7.   Other Assets and Accrued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24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Prepaid maintenance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SERP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4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3"/>
        </w:trPr>
        <w:tc>
          <w:tcPr>
            <w:tcW w:w="8240" w:type="dxa"/>
            <w:vAlign w:val="bottom"/>
            <w:gridSpan w:val="2"/>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240" w:type="dxa"/>
            <w:vAlign w:val="bottom"/>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Accrued programming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Sales and property taxes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Restructuring accrual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240" w:type="dxa"/>
            <w:vAlign w:val="bottom"/>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FCC spectrum license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financing leases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2021, we implemented a restructuring plan whereby certain employees will leave the Company by 2022. At the onset of the plan we recognized a restructuring accrual for severance benefits payable to impacted employees totaling $0.8 million. During the three months ended June 30, 2021, we paid approximately $0.6 million of severance benefits and we recognized additional expenses of $0.04 million and $0.3 million, presented in continuing and discontinued operations, respectively. For the six months ended June 30, 2021, $0.7 million and $0.5 million of expense is presented in continuing and discontinued operations,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various telecommunications sites, fiber optic cable routes,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right of use asset.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June 30, 2021, our operating leases had a weighted average remaining lease term of 21.0 years and a weighted average discount rate of 4.5%. Our finance leases had a weighted average remaining lease term of 13.8 years and a weighted average discount rate of 5.2%.</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each of the three months ended June 30, 2021 and 2020, we recognized $2.0 million and $1.4 million of operating lease expense, respectively. We recognized $0.1 million and $0.1 million of interest and depreciation expense on finance leases during the three months ended June 30, 2021 and 2020, respectively. Operating lease expense is presented in cost of service or selling, general and administrative expense based on the use of the relevant facility. Variable lease payments and short-term lease expense were both immaterial. We remitted $1.3 million and $1.0 million of operating lease payments during the three months ended June 30, 2021 and 2020, respectively. We also obtained $2.4 million and $1.5 million of leased assets in exchange for new operating lease liabilities recognized during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790"/>
        </w:trPr>
        <w:tc>
          <w:tcPr>
            <w:tcW w:w="7180" w:type="dxa"/>
            <w:vAlign w:val="bottom"/>
            <w:gridSpan w:val="5"/>
          </w:tcPr>
          <w:p>
            <w:pPr>
              <w:spacing w:after="0"/>
              <w:rPr>
                <w:sz w:val="20"/>
                <w:szCs w:val="20"/>
                <w:color w:val="auto"/>
              </w:rPr>
            </w:pPr>
            <w:r>
              <w:rPr>
                <w:rFonts w:ascii="Arial" w:cs="Arial" w:eastAsia="Arial" w:hAnsi="Arial"/>
                <w:sz w:val="18"/>
                <w:szCs w:val="18"/>
                <w:color w:val="auto"/>
              </w:rPr>
              <w:t>The following table summarizes the expected maturity of lease liabilities at June 30, 2021:</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51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Leases</w:t>
            </w:r>
          </w:p>
        </w:tc>
        <w:tc>
          <w:tcPr>
            <w:tcW w:w="44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1280" w:type="dxa"/>
            <w:vAlign w:val="bottom"/>
          </w:tcPr>
          <w:p>
            <w:pPr>
              <w:ind w:left="20"/>
              <w:spacing w:after="0"/>
              <w:rPr>
                <w:sz w:val="20"/>
                <w:szCs w:val="20"/>
                <w:color w:val="auto"/>
              </w:rPr>
            </w:pPr>
            <w:r>
              <w:rPr>
                <w:rFonts w:ascii="Arial" w:cs="Arial" w:eastAsia="Arial" w:hAnsi="Arial"/>
                <w:sz w:val="18"/>
                <w:szCs w:val="18"/>
                <w:color w:val="auto"/>
              </w:rPr>
              <w:t>2021</w:t>
            </w:r>
          </w:p>
        </w:tc>
        <w:tc>
          <w:tcPr>
            <w:tcW w:w="38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5,156</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2023</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4,693</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68,094</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89,164</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35,963</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53,201</w:t>
            </w: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$2.3 million and $2.1 million of operating lease revenue during the three months ended June 30, 2021 and 2020, respectively, related to the cell site colocation space and dedicated fiber optic strands that we lease to our customers, which is included in Service revenue and other in the consolidated statements of comprehensive income. Substantially all of our lease revenue relates to fixed lease payments.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June 30, 2021:</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7,741</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6,202</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5,021</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3,934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34,510</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prior Credit Agreement included a $75 million, five-year undrawn revolving credit facility, as well as the following term loans: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160" w:type="dxa"/>
            <w:vAlign w:val="bottom"/>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Term loan A-1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214,870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229,437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Term loan A-2</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465,987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468,481</w:t>
            </w:r>
          </w:p>
        </w:tc>
        <w:tc>
          <w:tcPr>
            <w:tcW w:w="0" w:type="dxa"/>
            <w:vAlign w:val="bottom"/>
          </w:tcPr>
          <w:p>
            <w:pPr>
              <w:spacing w:after="0"/>
              <w:rPr>
                <w:sz w:val="1"/>
                <w:szCs w:val="1"/>
                <w:color w:val="auto"/>
              </w:rPr>
            </w:pPr>
          </w:p>
        </w:tc>
      </w:tr>
      <w:tr>
        <w:trPr>
          <w:trHeight w:val="222"/>
        </w:trPr>
        <w:tc>
          <w:tcPr>
            <w:tcW w:w="7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680,857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697,918</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688,463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 Loan A-1 bore interest at one-month LIBOR plus a margin of 1.50%, while Term Loan A-2 bore interest at one-month LIBOR plus a margin of 1.75%. LIBOR resets monthly. Our cash payments for interest were $7.7 million and $10.3 million during the six months ended June 30,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was in compliance with the financial covenants in its credit agreements.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upon consummation of the Transaction, the Company used approximately $681 million of the proceeds received from the sale to fully repay all outstanding principal amounts under, and terminate, the Credit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New Credit Agreement</w:t>
      </w:r>
      <w:r>
        <w:rPr>
          <w:rFonts w:ascii="Arial" w:cs="Arial" w:eastAsia="Arial" w:hAnsi="Arial"/>
          <w:sz w:val="16"/>
          <w:szCs w:val="16"/>
          <w:color w:val="auto"/>
        </w:rPr>
        <w:t>: On July 1, 2021, we entered into a new Credit Agreement (the “New Credit Agreement”) with various financial institutions party</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(the “Lenders”). The New Credit Agreement provides for three credit facilities (collectively, the “Facilities”), in an aggregate amount equal to $400 million: (i) a $100 million five-year revolving credit facility (the “Revolver”), (ii) a $150 million five-year delay draw amortizing term loan (the “Term Loan A-1”) and (iii) a $150 million seven-year delay draw amortizing term loan (the “Term Loan A-2” and, together with the Term Loan A-1, the “Term Loans”). The New Credit Agreement includes a provision under which the Company may request that additional term loans be made to it in an amount not to exceed the sum of (1) the greater of (a) $75 million and (b) 100% of Consolidated EBITDA (as defined in the New Credit Agreement), calculated on a pro forma basis in accordance with the New Credit Agreement, plus (2) an additional unlimited amount subject to a maximum Total Net Leverage Ratio (as defined in the New Credit Agreement) of 4.00:1.00, calculated on a pro forma basis in accordance with the New Credit Agreement, subject to the receipt of commitments from one or more lenders for any such additional term loans and other customary conditions.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availability of the Facilities to the Company is subject to the satisfaction or waiver of certain customary conditions set forth in the New Credit Agreement. The Company may use the proceeds from the Revolver and the Term Loans to finance capital expenditures, provide working capital, and for other general corporate purposes of the Company and its subsidiaries, including the payment of fees and expenses in connection with the foregoing.</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 quotations provided by a group of banks that sustain LIBOR will no longer be required after 2021. As a result, it is uncertain whether LIBOR will continue to be quoted after 2021. Our term loans and revolver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Our New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Company's interest rate swaps are pay-fixed (1.16%), receive-variable (one month LIBOR) that hedged approximately 27% of outstanding debt with outstanding notional amounts totaling $180.4 million and $289.4 million as of June 30, 2021 and December 31, 2020,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these instruments was estimated using an income approach and observable market inputs. The hedge was determined to be highly effective and therefore all of the change in its fair value was recognized through other comprehensive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upon consummation of the Transaction, the Company used approximately $3 million of the proceeds received from the sale to fully satisfy its obligations under, and terminate, the interest rate swaps.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4"/>
          </w:tcPr>
          <w:p>
            <w:pPr>
              <w:spacing w:after="0"/>
              <w:rPr>
                <w:sz w:val="20"/>
                <w:szCs w:val="20"/>
                <w:color w:val="auto"/>
              </w:rPr>
            </w:pPr>
            <w:r>
              <w:rPr>
                <w:rFonts w:ascii="Arial" w:cs="Arial" w:eastAsia="Arial" w:hAnsi="Arial"/>
                <w:sz w:val="18"/>
                <w:szCs w:val="18"/>
                <w:color w:val="auto"/>
                <w:w w:val="94"/>
              </w:rPr>
              <w:t>The table below summarizes changes in accumulated other comprehensive income (loss) by component: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Gains (Losses) on</w:t>
            </w:r>
          </w:p>
        </w:tc>
        <w:tc>
          <w:tcPr>
            <w:tcW w:w="240" w:type="dxa"/>
            <w:vAlign w:val="bottom"/>
          </w:tcPr>
          <w:p>
            <w:pPr>
              <w:spacing w:after="0"/>
              <w:rPr>
                <w:sz w:val="15"/>
                <w:szCs w:val="15"/>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175"/>
        </w:trPr>
        <w:tc>
          <w:tcPr>
            <w:tcW w:w="6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8"/>
              </w:rPr>
              <w:t>Cash Flow</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Income (Loss), net</w:t>
            </w:r>
          </w:p>
        </w:tc>
        <w:tc>
          <w:tcPr>
            <w:tcW w:w="0" w:type="dxa"/>
            <w:vAlign w:val="bottom"/>
          </w:tcPr>
          <w:p>
            <w:pPr>
              <w:spacing w:after="0"/>
              <w:rPr>
                <w:sz w:val="1"/>
                <w:szCs w:val="1"/>
                <w:color w:val="auto"/>
              </w:rPr>
            </w:pPr>
          </w:p>
        </w:tc>
      </w:tr>
      <w:tr>
        <w:trPr>
          <w:trHeight w:val="230"/>
        </w:trPr>
        <w:tc>
          <w:tcPr>
            <w:tcW w:w="6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taxes</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change in unrealized (loss) gain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 (loss) to interest</w:t>
            </w: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June 30, 2021. The Company's returns are generally open to examination from 2017 forward and the net operating losses acquired in the acquisition of nTelos are open to examination from 2002 forward.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 tax rates for the three months ended June 30, 2021 and 2020, differ from the statutory U.S. federal income tax rate of 21% primarily due to the state income taxes, excess tax benefits and other discrete items.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tax expense (benefit) at federal statutory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taxes, net of federal tax effect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Revaluation of deferred tax liabilities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Excess tax benefit from share based compensation and other expense, net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23"/>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2"/>
        </w:trPr>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1,046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23"/>
        </w:trPr>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2,185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380" w:space="560"/>
            <w:col w:w="6300"/>
          </w:cols>
          <w:pgMar w:left="320" w:top="125" w:right="339" w:bottom="1440" w:gutter="0" w:footer="0" w:header="0"/>
          <w:type w:val="continuous"/>
        </w:sectPr>
      </w:pP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cash payments for income taxes were approximately $21.0 million in the six months ended June 30, 2021. The Company had no significant cash payments or refunds for income taxes during the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utilize the treasury stock method to calculate the impact on diluted earnings per share that potentially dilutive stock-based compensation awards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Calculation of net income per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42,527</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net income (loss) per share - continuing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Basic net income per share - discontinued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Basic net income per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net income (loss) per share - continuing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8"/>
                <w:szCs w:val="18"/>
                <w:color w:val="auto"/>
              </w:rPr>
              <w:t>Diluted net income per share - discontinued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fewer than 200 thousand anti-dilutive awards outstanding during the three and six months ended June 30,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are committed to make payments to satisfy our lease liabilities. The scheduled payments under those obligations are summarized in Note 8, </w:t>
      </w:r>
      <w:r>
        <w:rPr>
          <w:rFonts w:ascii="Arial" w:cs="Arial" w:eastAsia="Arial" w:hAnsi="Arial"/>
          <w:sz w:val="17"/>
          <w:szCs w:val="17"/>
          <w:i w:val="1"/>
          <w:iCs w:val="1"/>
          <w:color w:val="auto"/>
        </w:rPr>
        <w:t>Leases</w:t>
      </w:r>
      <w:r>
        <w:rPr>
          <w:rFonts w:ascii="Arial" w:cs="Arial" w:eastAsia="Arial" w:hAnsi="Arial"/>
          <w:sz w:val="17"/>
          <w:szCs w:val="17"/>
          <w:color w:val="auto"/>
        </w:rPr>
        <w:t>. We are also committed to make annual payments of approximately $108.0 thousand on our FCC spectrum license obligation through 2039.</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divestiture of our Wireless operations represents a strategic shift in the Company’s business and qualifies as a discontinued operation. As a result, the operating results and cash flows related to the Wireless segment have been reflected as discontinued operations in our Unaudited Condensed Consolidated Statements of Comprehensive Income and the Unaudited Condensed Consolidated Statements of Cash Flows. The tables below reflect the results of operations of the Company's reportable segments in continuing operations, consistent with internal reporting used by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Three Months Ended June 30, 2021:</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9"/>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43,989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43,989</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56,144</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60,700</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24,335</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0"/>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37,684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37,684</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47,948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49,777</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54,336</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22,092</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Six Months Ended June 30, 2021:</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9"/>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86,919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86,919</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111,240</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5,110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111,381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120,391</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47,618</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1"/>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2020:</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4"/>
                <w:szCs w:val="24"/>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4"/>
                <w:szCs w:val="24"/>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0"/>
        </w:trPr>
        <w:tc>
          <w:tcPr>
            <w:tcW w:w="4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74,693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74,693</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95,201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98,827</w:t>
            </w: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107,470</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44,188</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4"/>
              </w:rPr>
              <w:t>(3,231)</w:t>
            </w: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2,020</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1"/>
              </w:rPr>
              <w:t>(1,211)</w:t>
            </w:r>
          </w:p>
        </w:tc>
      </w:tr>
      <w:tr>
        <w:trPr>
          <w:trHeight w:val="21"/>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Sale of Wireless assets and operations. </w:t>
      </w:r>
      <w:r>
        <w:rPr>
          <w:rFonts w:ascii="Arial" w:cs="Arial" w:eastAsia="Arial" w:hAnsi="Arial"/>
          <w:sz w:val="18"/>
          <w:szCs w:val="18"/>
          <w:color w:val="auto"/>
        </w:rPr>
        <w:t>On July 1, 2021, we completed the sale of Wireless assets and operations to T-Mobile. Refer to Note 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Termination of Prior Credit Agreement. </w:t>
      </w:r>
      <w:r>
        <w:rPr>
          <w:rFonts w:ascii="Arial" w:cs="Arial" w:eastAsia="Arial" w:hAnsi="Arial"/>
          <w:sz w:val="18"/>
          <w:szCs w:val="18"/>
          <w:color w:val="auto"/>
        </w:rPr>
        <w:t>On July 1, 2021, we terminated the prior credit agreement concurrent with the sale of Wireless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operations to T-Mobile. Refer to Note 9,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Entry into New Credit Agreement. </w:t>
      </w:r>
      <w:r>
        <w:rPr>
          <w:rFonts w:ascii="Arial" w:cs="Arial" w:eastAsia="Arial" w:hAnsi="Arial"/>
          <w:sz w:val="18"/>
          <w:szCs w:val="18"/>
          <w:color w:val="auto"/>
        </w:rPr>
        <w:t>On July 1, 2021, we entered into the New Credit Agreement post-termination of the prior credit agreement. Refer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Note 9,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Termination of Interest Rate Swaps. </w:t>
      </w:r>
      <w:r>
        <w:rPr>
          <w:rFonts w:ascii="Arial" w:cs="Arial" w:eastAsia="Arial" w:hAnsi="Arial"/>
          <w:sz w:val="18"/>
          <w:szCs w:val="18"/>
          <w:color w:val="auto"/>
        </w:rPr>
        <w:t>On July 1, 2021, we terminated the interest rate swaps. Refer to Note 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Declaration of the Special Dividend. </w:t>
      </w:r>
      <w:r>
        <w:rPr>
          <w:rFonts w:ascii="Arial" w:cs="Arial" w:eastAsia="Arial" w:hAnsi="Arial"/>
          <w:sz w:val="18"/>
          <w:szCs w:val="18"/>
          <w:color w:val="auto"/>
        </w:rPr>
        <w:t>On July 2, 2021, the Company’s Board of Directors declared a special dividend of $18.75 per share on the issued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the Company’s common stock (the “Special Dividend”). The Special Dividend is payable on August 2, 2021 to shareholders of record as of the close of business on July 13, 2021. Since the Special Dividend is more than 25% of the current share price, in accordance with NASDAQ rules, the ex-dividend date will be August 3, 2021, the first business day after the payment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expects approximately $14.5 million of the Special Dividend to be reinvested in shares of the Company’s common stock via the Company’s Dividend Reinvestment Plan. The reinvested dividends are expected to be used to purchase shares of the Company’s common stock in market transactions during the thirty days following the dividend payment 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total payout to Shentel shareholders, before any reinvestment via the Company’s Dividend Reinvestment Plan, will be approximately $937 million.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2020 as well as natural disasters, pandemics and outbreaks of contagious diseases and other adverse public health developments, such as COVID-19, changes in general economic conditions, increases in costs, changes in regulation and other competitive factors.</w:t>
      </w:r>
    </w:p>
    <w:p>
      <w:pPr>
        <w:spacing w:after="0" w:line="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2020,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Management’s Discussion and Analysis is organized around our reporting segments. Refer to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2021, pursuant to the previously announced Asset Purchase Agreement (the “Purchase Agreement”), dated May 28, 2021, between Shentel and T-Mobile USA, Inc. (“T-Mobile”), Shentel completed the sale to T-Mobile of its Wireless assets and operations for cash consideration of approximately $1.94 billion, inclusive of the approximately $60 million settlement of the waived management fees by Sprint Corporation, an indirect subsidiary of T-Mobile (“Sprint”), and net of certain transaction expenses (the “Transaction”). The Company’s Wireless assets and operations were classified as discontinued operations after Sprint delivered notice to the Company exercising its option to purchase the Wireless assets and operations on August 26,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with the Three Months Ended June 30, 2020</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Three Months Ended 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60,700</w:t>
            </w: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54,336</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2,703</w:t>
            </w:r>
          </w:p>
        </w:tc>
        <w:tc>
          <w:tcPr>
            <w:tcW w:w="12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w:t>
            </w: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244.8</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4,041</w:t>
            </w: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778.0</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3,741.7</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1,856</w:t>
            </w:r>
          </w:p>
        </w:tc>
        <w:tc>
          <w:tcPr>
            <w:tcW w:w="12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446.3</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29,783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21,783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29,247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increased approximately $6.4 million, or 11.7%, during the three months ended June 30, 2021 compared with the three months ended June 30, 2020, driven by growth of $6.1 million, or 12.2%, in the Broadband segment and $0.4 million, or 8.3%, in the Tower segment. Refer to the discussion of the results of operations for the Tower and Broadband segments, included within this quarterly report,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expenses increased approximately $1.8 million, or 3.2%, during the three months ended June 30, 2021 compared with the three months ended June 30, 2020, driven by $7.1 million in incremental Broadband operating expenses incurred primarily to support the expansion of our Glo Fiber and Beam fixed wireless services partially offset by a $5.6 million decline in Corporate expenses due to a combination of lower cash and stock compensation, legal, and transaction fees. The cash compensation expense decline was driven by lower expected incentive bonus and the workforce reduction. The decline in stock compensation expense was due to delay of annual restricted stock grants.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Earlier in the year, we implemented a workforce reduction plan whereby certain employees will leave the Company by 2022. We recognized a restructuring accrual for severance benefits payable to those employees totaling less than $0.1 million during the three months ended June 30, 2021, and expect to incur an additional $1.4 million of severance expense from continuing operations during the third quarter of 2021, following the sale of our Wireless assets and operations. The workforce reduction plan is expected to decrease the Company's annualized run-rate operating expenses for continuing operations by approximately $4.2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increased approximately $2.2 million during the three months ended June 30, 2021 compared with the three months ended June 30, 2020, primarily due to a $1.0 million non-cash charge related to the revaluation of deferred tax liabilities for a change in tax law in the state of West Virginia and changes in taxable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from discontinued operations, net of tax, increased by $21.8 million during the three months ended June 30, 2021 as compared with the three months ended June 30, 2020, primarily driven by a $22.9 million decline in depreciation and amortization primarily as a result of ceasing depreciation and amortization of assets held for sale during the third quarter of 2020, a $14.5 million decline in cost of services primarily due to ceasing amortization on our right of use assets under operating leases during the third quarter of 2020, a $3.5 million decline in selling, general and administrative due primarily to lower compensation and commissions, partially offset by a $9.7 million decline in service revenue and other related to the travel revenue settlement received from Sprint in 2020, and an $8.5 million of higher income tax driven by changes in taxable income.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Earlier in the year, we implemented a workforce reduction plan whereby certain employees will leave the Company by 2022. We recognized a restructuring accrual for severance benefits payable to those employees totaling $0.3 million during the three months ended June 30, 2021. Under our workforce reduction plan, we expect to incur an additional $2.6 million of severance expense within income from discontinued operations when the sale of our Wireless assets and operations is completed, in the third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with the Six Months Ended June 30,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8"/>
              </w:rPr>
              <w:t>Six Months Ended 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120,391</w:t>
            </w: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107,470</w:t>
            </w: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12,921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5,074</w:t>
            </w: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(3,231)</w:t>
            </w: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257.0</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8,012</w:t>
            </w: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761.6</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476.6</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4,905</w:t>
            </w: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w:t>
            </w:r>
          </w:p>
        </w:tc>
        <w:tc>
          <w:tcPr>
            <w:tcW w:w="1200" w:type="dxa"/>
            <w:vAlign w:val="bottom"/>
          </w:tcPr>
          <w:p>
            <w:pPr>
              <w:jc w:val="right"/>
              <w:spacing w:after="0"/>
              <w:rPr>
                <w:sz w:val="20"/>
                <w:szCs w:val="20"/>
                <w:color w:val="auto"/>
              </w:rPr>
            </w:pPr>
            <w:r>
              <w:rPr>
                <w:rFonts w:ascii="Arial" w:cs="Arial" w:eastAsia="Arial" w:hAnsi="Arial"/>
                <w:sz w:val="14"/>
                <w:szCs w:val="14"/>
                <w:color w:val="auto"/>
              </w:rPr>
              <w:t>(0.4)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1,370.7</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57,125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increased approximately $12.9 million, or 12.0%, during the six months ended June 30, 2021 compared with the six months ended June 30, 2020, driven by growth of $11.5 million, or 11.5%, in the Broadband segment and $1.3 million, or 16.1%, in the Tower segment. Refer to the discussion of the results of operations for the Tower and Broadband segments, included within this quarterly report,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Operating expenses increased approximately $4.6 million, or 4.2%, during the six months ended June 30, 2021 compared with the six months ended June 30, 2020, driven by $12.7 million incremental Broadband operating expenses incurred primarily to support the launch of our Glo Fiber and Beam fixed wireless services partially offset by an $8.6 million decline in Corporate expenses due to a combination of lower cash and stock compensation, professional services, depreciation, legal and transaction fees. The cash compensation expense decline was driven primarily by lower expected incentive bonus and the workforce reduction. The decline in stock compensation was due to the delay of annual restricted stock grants. The decline in professional fees was driven by a reduction in temporary labor and audit fees primarily as a result of improvements in our internal control over financial reporting.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Earlier in the year we implemented a workforce reduction plan whereby certain employees will leave the Company by 2022. We recognized a restructuring accrual for severance benefits payable to those employees totaling $0.7 million during the six months ended June 30, 2021, and expect to incur an additional $1.4 million of severance expense within income from continuing operations when the sale of our Wireless assets and operations is completed, in the third quarter of 2021. The workforce reduction plan is expected to decrease the Company's annualized run-rate operating expenses for continuing operations by approximately $4.2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Income tax expense of approximately $3.1 million increased approximately $3.9 million during the six months ended June 30, 2021 compared with the six months ended June 30, 2020, primarily due to a $1.0 million non-cash charge related to the revaluation of deferred tax liabilities for a change in tax law in the state of West Virginia and changes in taxable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Income from discontinued operations, net of tax, increased by $57.1 million during the six months ended June 30, 2021 as compared with the six months ended June 30, 2020, primarily driven by a $47.7 million decline in depreciation and amortization primarily as a result of ceasing depreciation and amortization of assets held for sale during the third quarter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2020, a $28.5 million decline in cost of services primarily due to ceasing amortization on our right of use assets under operating leases during the third quarter of 2020, $6.0 million reduction in selling, general and administrative from lower compensation and commissions and advertising, a $2.3 million decline in interest expense primarily driven by lower interest rates on our term loans, partially offset by $21.1 million of higher income tax driven by changes in taxable income and $6.0 million increase in transaction fees.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Earlier in the year we implemented a workforce reduction plan whereby certain employees will leave the Company by 2022. We recognized a restructuring accrual for severance benefits payable to those employees totaling $0.4 million during the six months ended June 30, 2021. Under our workforce reduction plan, we expect to incur an additional $2.6 million of severance expense within income from discontinued operations when the sale of our Wireless assets and operations is completed, in the third quarter of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over 7,000 fiber route mile network. This fiber optic network also supports our Wireless segment operations, which are currently classified as discontinued operations, and these intercompany transactions are reported at their market value.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our Broadband segment: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7"/>
                <w:szCs w:val="17"/>
                <w:color w:val="auto"/>
              </w:rPr>
            </w:pPr>
          </w:p>
        </w:tc>
        <w:tc>
          <w:tcPr>
            <w:tcW w:w="12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June 30,</w:t>
            </w:r>
          </w:p>
        </w:tc>
      </w:tr>
      <w:tr>
        <w:trPr>
          <w:trHeight w:val="230"/>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2"/>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278,952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220,442</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Incumbent Cable (2)</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210,787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207,269</w:t>
            </w:r>
          </w:p>
        </w:tc>
      </w:tr>
      <w:tr>
        <w:trPr>
          <w:trHeight w:val="22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Glo Fiber</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46,368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13,173</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Beam</w:t>
            </w: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21,797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338"/>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customer relationships (3)</w:t>
            </w: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116,987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101,816</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RGUs: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111,475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92,695</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 (2)</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103,465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91,364</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1,331</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 (2)</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51,355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53,153</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 (2)</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34,664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32,252</w:t>
            </w:r>
          </w:p>
        </w:tc>
      </w:tr>
      <w:tr>
        <w:trPr>
          <w:trHeight w:val="22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197,494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178,100</w:t>
            </w:r>
          </w:p>
        </w:tc>
      </w:tr>
      <w:tr>
        <w:trPr>
          <w:trHeight w:val="33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Penetration (4)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44.1 %</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24.1 %</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ARPU (5)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77.93</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77.90</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82.25</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100.06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93.49</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29.51</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Fiber route miles</w:t>
            </w: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6,478</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fiber miles (6)</w:t>
            </w: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440,236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346,969</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hanging="328"/>
        <w:spacing w:after="0" w:line="241"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network without further extending the distribution system. Homes passed is an estimate based upon the best available information. Homes passed will vary among video, broadband data and voice services.</w:t>
      </w: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acquired Canaan Cable on December 31, 2020 adding 1,100 homes passed, 512 data RGUs, 324 video RGUs and 164 voice RGUs.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1,000) / average RGUs / 3 months</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 June 30, 2021 Compared with the Three Months Ended June 30, 2020</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gridSpan w:val="2"/>
          </w:tcPr>
          <w:p>
            <w:pPr>
              <w:spacing w:after="0"/>
              <w:rPr>
                <w:sz w:val="20"/>
                <w:szCs w:val="20"/>
                <w:color w:val="auto"/>
              </w:rPr>
            </w:pPr>
            <w:r>
              <w:rPr>
                <w:rFonts w:ascii="Arial" w:cs="Arial" w:eastAsia="Arial" w:hAnsi="Arial"/>
                <w:sz w:val="18"/>
                <w:szCs w:val="18"/>
                <w:color w:val="auto"/>
                <w:w w:val="91"/>
              </w:rPr>
              <w:t>Broadband results from operations are summarized as follows: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6"/>
        </w:trPr>
        <w:tc>
          <w:tcPr>
            <w:tcW w:w="4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2"/>
                <w:szCs w:val="22"/>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36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1220" w:type="dxa"/>
            <w:vAlign w:val="bottom"/>
          </w:tcPr>
          <w:p>
            <w:pPr>
              <w:jc w:val="right"/>
              <w:ind w:right="46"/>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Residential &amp; SMB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43,989</w:t>
            </w:r>
          </w:p>
        </w:tc>
        <w:tc>
          <w:tcPr>
            <w:tcW w:w="1180" w:type="dxa"/>
            <w:vAlign w:val="bottom"/>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37,684</w:t>
            </w:r>
          </w:p>
        </w:tc>
        <w:tc>
          <w:tcPr>
            <w:tcW w:w="1220" w:type="dxa"/>
            <w:vAlign w:val="bottom"/>
          </w:tcPr>
          <w:p>
            <w:pPr>
              <w:jc w:val="right"/>
              <w:ind w:right="106"/>
              <w:spacing w:after="0"/>
              <w:rPr>
                <w:sz w:val="20"/>
                <w:szCs w:val="20"/>
                <w:color w:val="auto"/>
              </w:rPr>
            </w:pPr>
            <w:r>
              <w:rPr>
                <w:rFonts w:ascii="Arial" w:cs="Arial" w:eastAsia="Arial" w:hAnsi="Arial"/>
                <w:sz w:val="14"/>
                <w:szCs w:val="14"/>
                <w:color w:val="auto"/>
              </w:rPr>
              <w:t>75.2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8,523</w:t>
            </w: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8,376</w:t>
            </w:r>
          </w:p>
        </w:tc>
        <w:tc>
          <w:tcPr>
            <w:tcW w:w="1220" w:type="dxa"/>
            <w:vAlign w:val="bottom"/>
          </w:tcPr>
          <w:p>
            <w:pPr>
              <w:jc w:val="right"/>
              <w:ind w:right="106"/>
              <w:spacing w:after="0"/>
              <w:rPr>
                <w:sz w:val="20"/>
                <w:szCs w:val="20"/>
                <w:color w:val="auto"/>
              </w:rPr>
            </w:pPr>
            <w:r>
              <w:rPr>
                <w:rFonts w:ascii="Arial" w:cs="Arial" w:eastAsia="Arial" w:hAnsi="Arial"/>
                <w:sz w:val="14"/>
                <w:szCs w:val="14"/>
                <w:color w:val="auto"/>
              </w:rPr>
              <w:t>16.7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4,073</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2"/>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56,227</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50,133</w:t>
            </w:r>
          </w:p>
        </w:tc>
        <w:tc>
          <w:tcPr>
            <w:tcW w:w="1220" w:type="dxa"/>
            <w:vAlign w:val="bottom"/>
          </w:tcPr>
          <w:p>
            <w:pPr>
              <w:jc w:val="right"/>
              <w:spacing w:after="0"/>
              <w:rPr>
                <w:sz w:val="20"/>
                <w:szCs w:val="20"/>
                <w:color w:val="auto"/>
              </w:rPr>
            </w:pPr>
            <w:r>
              <w:rPr>
                <w:rFonts w:ascii="Arial" w:cs="Arial" w:eastAsia="Arial" w:hAnsi="Arial"/>
                <w:sz w:val="14"/>
                <w:szCs w:val="14"/>
                <w:color w:val="auto"/>
              </w:rPr>
              <w:t>100.0 %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23,127</w:t>
            </w:r>
          </w:p>
        </w:tc>
        <w:tc>
          <w:tcPr>
            <w:tcW w:w="118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20,861</w:t>
            </w:r>
          </w:p>
        </w:tc>
        <w:tc>
          <w:tcPr>
            <w:tcW w:w="1220" w:type="dxa"/>
            <w:vAlign w:val="bottom"/>
          </w:tcPr>
          <w:p>
            <w:pPr>
              <w:jc w:val="right"/>
              <w:ind w:right="106"/>
              <w:spacing w:after="0"/>
              <w:rPr>
                <w:sz w:val="20"/>
                <w:szCs w:val="20"/>
                <w:color w:val="auto"/>
              </w:rPr>
            </w:pPr>
            <w:r>
              <w:rPr>
                <w:rFonts w:ascii="Arial" w:cs="Arial" w:eastAsia="Arial" w:hAnsi="Arial"/>
                <w:sz w:val="14"/>
                <w:szCs w:val="14"/>
                <w:color w:val="auto"/>
              </w:rPr>
              <w:t>41.6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12,806</w:t>
            </w:r>
          </w:p>
        </w:tc>
        <w:tc>
          <w:tcPr>
            <w:tcW w:w="118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9,465</w:t>
            </w:r>
          </w:p>
        </w:tc>
        <w:tc>
          <w:tcPr>
            <w:tcW w:w="1220" w:type="dxa"/>
            <w:vAlign w:val="bottom"/>
          </w:tcPr>
          <w:p>
            <w:pPr>
              <w:jc w:val="right"/>
              <w:ind w:right="106"/>
              <w:spacing w:after="0"/>
              <w:rPr>
                <w:sz w:val="20"/>
                <w:szCs w:val="20"/>
                <w:color w:val="auto"/>
              </w:rPr>
            </w:pPr>
            <w:r>
              <w:rPr>
                <w:rFonts w:ascii="Arial" w:cs="Arial" w:eastAsia="Arial" w:hAnsi="Arial"/>
                <w:sz w:val="14"/>
                <w:szCs w:val="14"/>
                <w:color w:val="auto"/>
              </w:rPr>
              <w:t>18.9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10,307</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20.6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40,633</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9,500</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18.9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(small &amp; medium business)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revenue increased approximately $6.3 million, or 16.7%, during the three months ended June 30, 2021 primarily driven by 20.3% year-over-year growth in broadband revenue generating units ("RGUs") driven by demand for higher speed data service and the expansion of our Glo Fiber and Beam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Fiber revenue was comparable with the prior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RLEC &amp; Other revenue</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RLEC &amp; Other revenue decreased approximately $0.4 million, or 8.8%, compared with the three months ended June 30, 2020 due primarily driven by the migration of DSL subscribers to our broadband cable modem service and lower governmental support. We expect RLEC revenue to continue to decline in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services increased approximately $2.3 million, or 10.9%, compared with the three months ended June 30, 2020, primarily driven by the growth of our Glo Fiber and Beam fixed wireless products. This included a $0.7 million increase in compensation expense from increased staffing, as well as a $0.9 million increase in installation, maintenance, and other expenses. Higher video programming costs drove the remaining increase of $0.5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continued growth of our Broadband segment, our selling, general and administrative expense increased $3.3 million or 35.3% compared with the three months ended June 30, 2020, driven by a $1.1 million increase in Glo Fiber and Beam advertising and telemarketing expenses, a $1.0 million increase in software and professional fees from enhancements to our back-office systems, a $0.5 million increase in commissions expense from higher sales volume arising from our Glo Fiber service, and a $0.2 million increase in franchise and regulatory fees.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Depreciation and amortization increased $1.5 million or 14.2%, compared with the three months ended June 30, 2020, primarily as a result of our network expansion and the deployment of infrastructure necessary to support new fiber-to-the-home service, Glo Fiber, and Beam fixed wireless.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5"/>
          </w:tcPr>
          <w:p>
            <w:pPr>
              <w:spacing w:after="0"/>
              <w:rPr>
                <w:sz w:val="20"/>
                <w:szCs w:val="20"/>
                <w:color w:val="auto"/>
              </w:rPr>
            </w:pPr>
            <w:r>
              <w:rPr>
                <w:rFonts w:ascii="Arial" w:cs="Arial" w:eastAsia="Arial" w:hAnsi="Arial"/>
                <w:sz w:val="18"/>
                <w:szCs w:val="18"/>
                <w:b w:val="1"/>
                <w:bCs w:val="1"/>
                <w:color w:val="auto"/>
                <w:w w:val="91"/>
              </w:rPr>
              <w:t>Six Months Ended June 30, 2021 Compared with the Six Months Ended June 30, 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gridSpan w:val="2"/>
          </w:tcPr>
          <w:p>
            <w:pPr>
              <w:spacing w:after="0"/>
              <w:rPr>
                <w:sz w:val="20"/>
                <w:szCs w:val="20"/>
                <w:color w:val="auto"/>
              </w:rPr>
            </w:pPr>
            <w:r>
              <w:rPr>
                <w:rFonts w:ascii="Arial" w:cs="Arial" w:eastAsia="Arial" w:hAnsi="Arial"/>
                <w:sz w:val="18"/>
                <w:szCs w:val="18"/>
                <w:color w:val="auto"/>
                <w:w w:val="91"/>
              </w:rPr>
              <w:t>Broadband results from operations are summarized as follows: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ind w:right="46"/>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Residential &amp; SMB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86,919</w:t>
            </w:r>
          </w:p>
        </w:tc>
        <w:tc>
          <w:tcPr>
            <w:tcW w:w="118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74,693</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74.8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17,002</w:t>
            </w:r>
          </w:p>
        </w:tc>
        <w:tc>
          <w:tcPr>
            <w:tcW w:w="118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16,735</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16.7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8,491</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22"/>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111,381</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99,919</w:t>
            </w:r>
          </w:p>
        </w:tc>
        <w:tc>
          <w:tcPr>
            <w:tcW w:w="1260" w:type="dxa"/>
            <w:vAlign w:val="bottom"/>
          </w:tcPr>
          <w:p>
            <w:pPr>
              <w:jc w:val="right"/>
              <w:spacing w:after="0"/>
              <w:rPr>
                <w:sz w:val="20"/>
                <w:szCs w:val="20"/>
                <w:color w:val="auto"/>
              </w:rPr>
            </w:pPr>
            <w:r>
              <w:rPr>
                <w:rFonts w:ascii="Arial" w:cs="Arial" w:eastAsia="Arial" w:hAnsi="Arial"/>
                <w:sz w:val="14"/>
                <w:szCs w:val="14"/>
                <w:color w:val="auto"/>
              </w:rPr>
              <w:t>100.0 %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45,263</w:t>
            </w:r>
          </w:p>
        </w:tc>
        <w:tc>
          <w:tcPr>
            <w:tcW w:w="118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40,247</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40.3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23,531</w:t>
            </w:r>
          </w:p>
        </w:tc>
        <w:tc>
          <w:tcPr>
            <w:tcW w:w="118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19,169</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19.2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20,341</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79,757</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79.8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20,162</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(small &amp; medium business) revenue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Residential &amp; SMB revenue increased approximately $12.2 million, or 16.4%, during the six months ended June 30, 2021 primarily driven by 20.3% year-over-year growth in broadband RGUs, driven by demand for higher speed data service and the rollout of our Glo Fiber and Beam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Fiber revenue was comparable with the prior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RLEC &amp; Other 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RLEC &amp; Other revenue decreased approximately $1.0 million, or 12.1%, compared with the six months ended June 30, 2020 due primarily to a decline in residential DSL subscribers and lower governmental support. We expect RLEC revenue to continue to decline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services increased approximately $5.0 million, or 12.5%, compared with the six months ended June 30, 2020, primarily driven by the growth of our Glo Fiber and Beam fixed wireless products. This included a $2.3 million increase in compensation expense from increased staffing, as well as a $1.6 million increase in installation, maintenance, and other expenses. Higher video programming costs drove the remaining increase of $1.0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Selling, general and administrative expense increased $4.4 million, or 22.8%, compared with the six months ended June 30, 2020, driven by a $1.9 million increase in software and professional fees, a $0.7 million increase in commissions expense from higher sales volume arising from our Glo Fiber service, $0.5 million increase in telemarketing fees, $0.3 million increase in compensation expense from higher staffing to support our Glo Fiber and Beam fixed wireless services, and a $0.3 million increase in advertising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Earlier in the year, we implemented a workforce reduction program that impacted certain broadband employees and as a result we incurred $0.1 million of severance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Depreciation and amortization increased $3.2 million or 15.7%, compared with the six months ended June 30, 2020, primarily as a result of our network expansion and the deployment of infrastructure necessary to support new fiber-to-the-home service, Glo Fiber, and fixed wireless solution, Beam.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Tower segment owns cell towers and leases colocation space on the towers to wireless communications providers, including our Wireless segment that is currently classified as a discontinued operation. Substantially all of our owned towers are built on ground that we lease from the respective landlords. The colocation space that is leased to our discontinued Wireless operations is priced at our estimate of fair market value.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1080" w:type="dxa"/>
            <w:vAlign w:val="bottom"/>
          </w:tcPr>
          <w:p>
            <w:pPr>
              <w:ind w:left="400"/>
              <w:spacing w:after="0"/>
              <w:rPr>
                <w:sz w:val="20"/>
                <w:szCs w:val="20"/>
                <w:color w:val="auto"/>
              </w:rPr>
            </w:pPr>
            <w:r>
              <w:rPr>
                <w:rFonts w:ascii="Arial" w:cs="Arial" w:eastAsia="Arial" w:hAnsi="Arial"/>
                <w:sz w:val="18"/>
                <w:szCs w:val="18"/>
                <w:b w:val="1"/>
                <w:bCs w:val="1"/>
                <w:color w:val="auto"/>
                <w:w w:val="91"/>
              </w:rPr>
              <w:t>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r>
      <w:tr>
        <w:trPr>
          <w:trHeight w:val="230"/>
        </w:trPr>
        <w:tc>
          <w:tcPr>
            <w:tcW w:w="9340" w:type="dxa"/>
            <w:vAlign w:val="bottom"/>
            <w:gridSpan w:val="2"/>
          </w:tcPr>
          <w:p>
            <w:pPr>
              <w:ind w:left="880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color w:val="auto"/>
              </w:rPr>
              <w:t>Macro tower sites</w:t>
            </w:r>
          </w:p>
        </w:tc>
        <w:tc>
          <w:tcPr>
            <w:tcW w:w="10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Tenants (1)</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448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Average tenants per tower</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40" w:hanging="308"/>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239 and 206 intercompany tenants for our Wireless operations, (reported as a discontinued operation), and Broadband operations, as of June 30, 2021 and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with the Three Months Ended June 30, 2020</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20" w:type="dxa"/>
            <w:vAlign w:val="bottom"/>
          </w:tcPr>
          <w:p>
            <w:pPr>
              <w:jc w:val="right"/>
              <w:ind w:right="44"/>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4,259</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2,030</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2,229</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increased approximately $0.4 million, or 8.3%, during the three months ended June 30, 2021 compared with the three months ended June 30, 2020, due to an 8.5% increase in tenants.</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earned from leasing colocation space to our discontinued wireless operations was approximately $2.6 million and $2.4 million during the three months ended June 30,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with the Six Months Ended June 30,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Tower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ind w:right="44"/>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7,989</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1,290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3,965</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4,024</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increased approximately $1.3 million, or 16.1%, during the six months ended June 30, 2021 compared with the six months ended June 30, 2020, due to an 8.5% increase in tenants and a 6.2% increase in average revenue per tenant.</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 earned from leasing colocation space to our discontinued wireless operations was approximately $5.1 million and $4.4 million during the six months ended June 30,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 2021, pursuant to the Purchase Agreement, Shentel completed the sale to T-Mobile of its Wireless assets and operations for cash consideration of approximately $1.94 billion, inclusive of the approximately $60 million settlement of the waived management fees by Sprint, net of certain transaction expenses. The Company used approximately $684 million of the proceeds received from the sale to fully repay all outstanding principal amounts under, and terminate, the then-existing credit agreement (the "Prior Credit Agreement"), refer to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 for additional information, and to fully repay and terminate our interest rate swaps, refer to Note 10, </w:t>
      </w:r>
      <w:r>
        <w:rPr>
          <w:rFonts w:ascii="Arial" w:cs="Arial" w:eastAsia="Arial" w:hAnsi="Arial"/>
          <w:sz w:val="18"/>
          <w:szCs w:val="18"/>
          <w:i w:val="1"/>
          <w:iCs w:val="1"/>
          <w:color w:val="auto"/>
        </w:rPr>
        <w:t>Derivatives and Hedging.</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proceeds available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New Credit Agreement, and proceeds from the disposition of our Wireless assets and operations.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June 30, 2021 our cash and cash equivalents totaled $248.8 million. Giving effect to the closing of the Transaction, the Special Dividend, termination of the Prior Credit Agreement and the execution of the New Credit Agreement (as defined below) as if those events had occurred on June 30, 2021, the Company would have had approximately $480 million of liquidity as of June 30, 2021 on a pro forma basis.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from continuing operations generated approximately $28.2 million during the six months ended June 30, 2021, representing a decrease of $1.1 million compared with 2020, driven by changes in working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from discontinued operations generated $125.0 million during the six months ended June 30, 2021, as compared to $99.6 million during the six months ended June 30, 2020 driven by an increase in operating income.</w:t>
      </w:r>
    </w:p>
    <w:p>
      <w:pPr>
        <w:spacing w:after="0" w:line="19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Net cash used in investing activities for continuing operations increased $25.5 million during the six months ended June 30, 2021, compared with the six months ended June 30, 2020, primarily due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$26.7 million increase in capital expenditures due primarily to higher spending in the Broadband segment driven by our Glo Fiber and Beam market expansions.</w:t>
      </w:r>
    </w:p>
    <w:p>
      <w:pPr>
        <w:spacing w:after="0" w:line="26" w:lineRule="exact"/>
        <w:rPr>
          <w:rFonts w:ascii="Arial" w:cs="Arial" w:eastAsia="Arial" w:hAnsi="Arial"/>
          <w:sz w:val="18"/>
          <w:szCs w:val="18"/>
          <w:color w:val="auto"/>
        </w:rPr>
      </w:pPr>
    </w:p>
    <w:p>
      <w:pPr>
        <w:ind w:left="660" w:hanging="328"/>
        <w:spacing w:after="0" w:line="251"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17"/>
          <w:szCs w:val="17"/>
          <w:color w:val="auto"/>
        </w:rPr>
        <w:t>Net cash used in investing activities for discontinued operations decreased $12.8 million to $0.9 million during the six months ended June 30, 2021, due to postponement of expansion projects in contemplation of the pending sale of our Wireless assets and operations.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for continuing operations during the six months ended June 30, 2021 was consistent with the six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for discontinued operations during the six months ended June 30, 2021, was consistent with the prior year.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Indebtedness</w:t>
      </w:r>
      <w:r>
        <w:rPr>
          <w:rFonts w:ascii="Arial" w:cs="Arial" w:eastAsia="Arial" w:hAnsi="Arial"/>
          <w:sz w:val="17"/>
          <w:szCs w:val="17"/>
          <w:color w:val="auto"/>
        </w:rPr>
        <w:t>: On July 1, 2021, we entered into a new Credit Agreement (the “New Credit Agreement”) with various financial institutions party thereto.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New Credit Agreement provides for the following three credit facilities (collectively, the “Facilities”), in an aggregate amount equal to $400 million:</w:t>
      </w:r>
    </w:p>
    <w:p>
      <w:pPr>
        <w:spacing w:after="0" w:line="21" w:lineRule="exact"/>
        <w:rPr>
          <w:sz w:val="20"/>
          <w:szCs w:val="20"/>
          <w:color w:val="auto"/>
        </w:rPr>
      </w:pPr>
    </w:p>
    <w:p>
      <w:pPr>
        <w:jc w:val="both"/>
        <w:ind w:firstLine="8"/>
        <w:spacing w:after="0" w:line="269" w:lineRule="auto"/>
        <w:tabs>
          <w:tab w:leader="none" w:pos="218" w:val="left"/>
        </w:tabs>
        <w:numPr>
          <w:ilvl w:val="0"/>
          <w:numId w:val="6"/>
        </w:numPr>
        <w:rPr>
          <w:rFonts w:ascii="Arial" w:cs="Arial" w:eastAsia="Arial" w:hAnsi="Arial"/>
          <w:sz w:val="17"/>
          <w:szCs w:val="17"/>
          <w:color w:val="auto"/>
        </w:rPr>
      </w:pPr>
      <w:r>
        <w:rPr>
          <w:rFonts w:ascii="Arial" w:cs="Arial" w:eastAsia="Arial" w:hAnsi="Arial"/>
          <w:sz w:val="17"/>
          <w:szCs w:val="17"/>
          <w:color w:val="auto"/>
        </w:rPr>
        <w:t>a $100 million five-year revolving credit facility (the “Revolver”), (ii) a $150 million five-year delay draw amortizing term loan (the “Term Loan A-1”) and (iii) a $150 million seven-year delay draw amortizing term loan (the “Term Loan A-2” and, together with the Term Loan A-1, the “Term Loans”). The New Credit Agreement includes a provision under which the Company may request that additional term loans be made to it in an amount not to exceed the sum of (1) the greater of (a) $75 million and (b) 100% of Consolidated EBITDA (as defined in the New Credit Agreement), calculated on a pro forma basis in accordance with the New Credit Agreement, plus (2) an additional unlimited amount subject to a maximum Total Net Leverage Ratio (as defined in the New Credit Agreement) of 4.00:1.00, calculated on a pro forma basis in accordance with the New Credit Agreement, subject to the receipt of commitments from one or more lenders for any such additional term loans and other customary conditions.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availability of the Facilities to the Company is subject to the satisfaction or waiver of certain customary conditions set forth in the New Credit Agreement. The Company may use the proceeds from the Revolver and the Term Loans to finance capital expenditures, provide working capital, and for other general corporate purposes of the Company and its subsidiaries, including the payment of fees and expenses in connection with the foregoing. If drawn on, the Term Loans will be repaid in quarterly principal installments commencing on September 30, 2023, with the unpaid balance of the Term Loans due at maturity, as set forth in the New Credit Agreement.</w:t>
      </w:r>
    </w:p>
    <w:p>
      <w:pPr>
        <w:spacing w:after="0" w:line="21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have not made any borrowing under the New Credit Agreement as of this date. We do not expect to draw upon any portion of the New Credit Agreement until the fourth quarter of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Disposition of Wireless</w:t>
      </w:r>
      <w:r>
        <w:rPr>
          <w:rFonts w:ascii="Arial" w:cs="Arial" w:eastAsia="Arial" w:hAnsi="Arial"/>
          <w:sz w:val="16"/>
          <w:szCs w:val="16"/>
          <w:color w:val="auto"/>
        </w:rPr>
        <w:t>: We currently expect that the after-tax proceeds from the July 1, 2021, sale of our Wireless assets and operations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 billion. The transaction will be accounted for as an asset sale for income tax purposes. Cash proceeds from the sale were required to be used to immediately repay our outstanding indebtedness. Principal payments on our debt have thus been presented as cash used to finance our discontinued operations. The Company used a portion of the after-tax proceeds from the sale of our Wireless assets and operations to, among other things:</w:t>
      </w:r>
    </w:p>
    <w:p>
      <w:pPr>
        <w:spacing w:after="0" w:line="1" w:lineRule="exact"/>
        <w:rPr>
          <w:sz w:val="20"/>
          <w:szCs w:val="20"/>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 and terminate approximately $684 million of outstanding term loans under our Prior Credit Agreement, and associated interest rate swap liabilities, concurrent with the closing of the disposition;</w:t>
      </w: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a special dividend of $18.75 per share to Company shareholders, or approximately $937 million in the aggregate (the "Special Dividend"), payable on August 2, 2021, to shareholders of record as of the close of business on July 13, 2021.</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our cash on hand, proceeds received from the disposition of Wireless assets and operations, cash flow from continuing operations, and availability of funds from our New Credit Agreement,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our capital expenditures to exceed the cash flow provided from continuing operations through 2023, as we expand our Glo Fiber and Beam broadband services into new markets.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actual amount and timing of our future capital requirements may differ materially from our estimate depending on the demand for our products and services, new market developments and expansion opportunities.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cash flows from continuing operations could be adversely affected by events outside our control, including, without limitation, changes in overall economic conditions, regulatory requirements, changes in technologies,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2021, the Company had $680.9 million of gross variable rate debt outstanding, (i.e. outstanding principal on term loans under the Prior Credit Agreement), bearing interest at a weighted average rate of 2.2%. An increase in market interest rates of 1.00% would add approximately $6.7 million to annual interest expense, excluding the effect of our interest rate swaps. The swaps cover notional principal equal to $180.4 million, or approximately 26.5% of gross variable rate debt outstanding as of June 30, 2021. The Company is required to pay a combined fixed rate of approximately 1.16% and receive a variable rate based on one month LIBOR (0.09% at June 30, 2021), to manage a portion of its interest rate risk. Changes in the net interest paid or received under the swaps would offset a corresponding portion of the change in interest expense on the variable rate debt outstanding. The outstanding term loans under the Prior Credit Agreement, and associated interest rate swap liabilities, were repaid and terminated on July 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Senior Vice President - Finance and Chief Financial Officer, who is the Principal Financial and Principal Accounting Officer, conducted an evaluation of our disclosure controls and procedures, (as defined by Rule 13a-15(e) under the Securities Exchange Act of 1934), as of the end of the period covered by this Quarterly report on Form 10-Q.</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disclosed in our Annual Report on Form 10-K for our fiscal year ended </w:t>
      </w:r>
      <w:r>
        <w:rPr>
          <w:rFonts w:ascii="Arial" w:cs="Arial" w:eastAsia="Arial" w:hAnsi="Arial"/>
          <w:sz w:val="18"/>
          <w:szCs w:val="18"/>
          <w:color w:val="212529"/>
        </w:rPr>
        <w:t>December 31, 2020</w:t>
      </w:r>
      <w:r>
        <w:rPr>
          <w:rFonts w:ascii="Arial" w:cs="Arial" w:eastAsia="Arial" w:hAnsi="Arial"/>
          <w:sz w:val="18"/>
          <w:szCs w:val="18"/>
          <w:color w:val="auto"/>
        </w:rPr>
        <w:t>, we identified material weaknesses in internal control over financial reporting. The material weaknesses will not be considered remediated until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have concluded that our disclosure controls and procedures continued to be ineffective as of June 30,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the three months ended June 30, 2021, the Company began to evaluate the impact of the sale of the Wireless segment and associated subsequent events on its control framework. The Company also continued execution of Management's Remediation Plan as disclosed in “Part II. Item 9A. Controls and Procedures” of our Annual Report on Form 10-K. Aside from these continued improvements,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ind w:left="820"/>
        <w:spacing w:after="0" w:line="22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June 30, 2021, the Company has not identified any needed updates to the risk factors included in our most recent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the vesting of shares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second quarter ended June 30, 2021, to settle employee tax withholding obligations related to the vesting of stock awards.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i w:val="1"/>
                <w:iCs w:val="1"/>
                <w:color w:val="auto"/>
              </w:rPr>
              <w:t>($ in thousands, except per share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Average Price</w:t>
            </w:r>
          </w:p>
        </w:tc>
      </w:t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rPr>
              <w:t>amounts)</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Surrendered</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Paid per Share</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April 1 to April 30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May 1 to May 31</w:t>
            </w:r>
          </w:p>
        </w:tc>
        <w:tc>
          <w:tcPr>
            <w:tcW w:w="1480" w:type="dxa"/>
            <w:vAlign w:val="bottom"/>
          </w:tcPr>
          <w:p>
            <w:pPr>
              <w:jc w:val="right"/>
              <w:spacing w:after="0"/>
              <w:rPr>
                <w:sz w:val="20"/>
                <w:szCs w:val="20"/>
                <w:color w:val="auto"/>
              </w:rPr>
            </w:pPr>
            <w:r>
              <w:rPr>
                <w:rFonts w:ascii="Arial" w:cs="Arial" w:eastAsia="Arial" w:hAnsi="Arial"/>
                <w:sz w:val="18"/>
                <w:szCs w:val="18"/>
                <w:color w:val="auto"/>
              </w:rPr>
              <w:t>588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50.62</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June 1 to June 30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
        </w:trPr>
        <w:tc>
          <w:tcPr>
            <w:tcW w:w="2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Reinvestment Plan</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current number of shares enrolled in the DRIP, the Company currently expects approximately $14.5 million of the Special Dividend to be reinvested in shares of the Company’s common stock via the DRIP. The reinvested dividends are expected to be used to purchase shares of the Company’s common stock in market transactions during the thirty days following the dividend payment date. Participation in the DRIP is subject to change at the discretion of the shareholders.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322" w:lineRule="exact"/>
        <w:rPr>
          <w:sz w:val="20"/>
          <w:szCs w:val="20"/>
          <w:color w:val="auto"/>
        </w:rPr>
      </w:pPr>
    </w:p>
    <w:p>
      <w:pPr>
        <w:ind w:left="480"/>
        <w:spacing w:after="0"/>
        <w:tabs>
          <w:tab w:leader="none" w:pos="120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2.1</w:t>
        </w:r>
      </w:hyperlink>
      <w:r>
        <w:rPr>
          <w:rFonts w:ascii="Arial" w:cs="Arial" w:eastAsia="Arial" w:hAnsi="Arial"/>
          <w:sz w:val="18"/>
          <w:szCs w:val="18"/>
          <w:color w:val="0000FF"/>
        </w:rPr>
        <w:tab/>
      </w:r>
      <w:r>
        <w:rPr>
          <w:rFonts w:ascii="Arial" w:cs="Arial" w:eastAsia="Arial" w:hAnsi="Arial"/>
          <w:sz w:val="16"/>
          <w:szCs w:val="16"/>
          <w:color w:val="0000FF"/>
        </w:rPr>
        <w:t>Asset Purchase Agreement, dated May 28, 2021, between Shenandoah Telecommunications Company and T-Mobile USA, Inc.</w:t>
      </w:r>
    </w:p>
    <w:p>
      <w:pPr>
        <w:ind w:left="1220"/>
        <w:spacing w:after="0"/>
        <w:rPr>
          <w:sz w:val="20"/>
          <w:szCs w:val="20"/>
          <w:color w:val="auto"/>
        </w:rPr>
      </w:pPr>
      <w:r>
        <w:rPr>
          <w:rFonts w:ascii="Arial" w:cs="Arial" w:eastAsia="Arial" w:hAnsi="Arial"/>
          <w:sz w:val="18"/>
          <w:szCs w:val="18"/>
          <w:color w:val="auto"/>
        </w:rPr>
        <w:t>(incorporated by reference from Exhibit 2.1 to the Company's Current Report on Form 8-K filed on June 1, 2021).</w:t>
      </w:r>
    </w:p>
    <w:p>
      <w:pPr>
        <w:spacing w:after="0" w:line="317" w:lineRule="exact"/>
        <w:rPr>
          <w:sz w:val="20"/>
          <w:szCs w:val="20"/>
          <w:color w:val="auto"/>
        </w:rPr>
      </w:pPr>
    </w:p>
    <w:p>
      <w:pPr>
        <w:ind w:left="1220" w:right="140" w:hanging="768"/>
        <w:spacing w:after="0" w:line="224" w:lineRule="auto"/>
        <w:tabs>
          <w:tab w:leader="none" w:pos="120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10.1</w:t>
        </w:r>
      </w:hyperlink>
      <w:r>
        <w:rPr>
          <w:rFonts w:ascii="Arial" w:cs="Arial" w:eastAsia="Arial" w:hAnsi="Arial"/>
          <w:sz w:val="18"/>
          <w:szCs w:val="18"/>
          <w:color w:val="0000FF"/>
        </w:rPr>
        <w:tab/>
        <w:t>Credit Agreement, dated July 1, 2021, by and among Shenandoah Telecommunications Company, certain of its subsidiaries as guarantors, CoBank ACB, as administrative agent, and the other lenders party thereto (incorporated by reference from Exhibit 10.1 to the Company's Current Report on Form 8-K filed on July 1, 2021).</w:t>
      </w:r>
    </w:p>
    <w:p>
      <w:pPr>
        <w:spacing w:after="0" w:line="271"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33">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34">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and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Formatted in Inline XBRL (Extensible Business Reporting Language)</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w:t>
            </w:r>
          </w:p>
        </w:tc>
      </w:tr>
      <w:tr>
        <w:trPr>
          <w:trHeight w:val="230"/>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tags are embedded within the Inline XBRL document</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right="4240" w:firstLine="467"/>
        <w:spacing w:after="0" w:line="641" w:lineRule="auto"/>
        <w:tabs>
          <w:tab w:leader="none" w:pos="1206"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660" w:hanging="652"/>
        <w:spacing w:after="0" w:line="263" w:lineRule="auto"/>
        <w:tabs>
          <w:tab w:leader="none" w:pos="4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-902335</wp:posOffset>
            </wp:positionV>
            <wp:extent cx="54864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and Chief Financial Officer</w:t>
      </w:r>
    </w:p>
    <w:p>
      <w:pPr>
        <w:ind w:left="1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right="80" w:hanging="652"/>
        <w:spacing w:after="0" w:line="342" w:lineRule="auto"/>
        <w:tabs>
          <w:tab w:leader="none" w:pos="6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2"/>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54"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ind w:right="140" w:firstLine="656"/>
        <w:spacing w:after="0" w:line="342" w:lineRule="auto"/>
        <w:tabs>
          <w:tab w:leader="none" w:pos="121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2021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July 29, 2021</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July 29, 2021</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decimal"/>
      <w:start w:val="5"/>
    </w:lvl>
    <w:lvl w:ilvl="1">
      <w:lvlJc w:val="left"/>
      <w:lvlText w:val="(%2)"/>
      <w:numFmt w:val="decimal"/>
      <w:start w:val="1"/>
    </w:lvl>
  </w:abstractNum>
  <w:abstractNum w:abstractNumId="12">
    <w:nsid w:val="109CF92E"/>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6" Type="http://schemas.openxmlformats.org/officeDocument/2006/relationships/hyperlink" Target="https://www.sec.gov/ix?doc=/Archives/edgar/data/354963/000117184321003912/f8k_060121.htm" TargetMode="External"/><Relationship Id="rId47" Type="http://schemas.openxmlformats.org/officeDocument/2006/relationships/hyperlink" Target="https://www.sec.gov/ix?doc=/Archives/edgar/data/354963/000117184321004676/f8k_070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2021-07-29T16:51:33Z</dcterms:created>
  <dcterms:modified xsi:type="dcterms:W3CDTF">2021-07-29T16:51:33Z</dcterms:modified>
</cp:coreProperties>
</file>