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quarterly period ended June 30, 2017</w:t>
      </w:r>
    </w:p>
    <w:p>
      <w:pPr>
        <w:spacing w:after="0" w:line="198"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July 27, 2017 was 49,125,226.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7"/>
          </w:tcPr>
          <w:p>
            <w:pPr>
              <w:jc w:val="center"/>
              <w:ind w:right="100"/>
              <w:spacing w:after="0"/>
              <w:rPr>
                <w:sz w:val="20"/>
                <w:szCs w:val="20"/>
                <w:color w:val="auto"/>
              </w:rPr>
            </w:pPr>
            <w:r>
              <w:rPr>
                <w:rFonts w:ascii="Arial" w:cs="Arial" w:eastAsia="Arial" w:hAnsi="Arial"/>
                <w:sz w:val="18"/>
                <w:szCs w:val="18"/>
                <w:color w:val="auto"/>
                <w:w w:val="85"/>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9"/>
          </w:tcPr>
          <w:p>
            <w:pPr>
              <w:jc w:val="center"/>
              <w:ind w:left="390"/>
              <w:spacing w:after="0"/>
              <w:rPr>
                <w:sz w:val="20"/>
                <w:szCs w:val="20"/>
                <w:color w:val="auto"/>
              </w:rPr>
            </w:pPr>
            <w:r>
              <w:rPr>
                <w:rFonts w:ascii="Arial" w:cs="Arial" w:eastAsia="Arial" w:hAnsi="Arial"/>
                <w:sz w:val="18"/>
                <w:szCs w:val="18"/>
                <w:color w:val="auto"/>
                <w:w w:val="90"/>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9200" w:type="dxa"/>
            <w:vAlign w:val="bottom"/>
            <w:gridSpan w:val="15"/>
          </w:tcPr>
          <w:p>
            <w:pPr>
              <w:spacing w:after="0"/>
              <w:rPr>
                <w:sz w:val="20"/>
                <w:szCs w:val="20"/>
                <w:color w:val="auto"/>
              </w:rPr>
            </w:pPr>
            <w:r>
              <w:rPr>
                <w:rFonts w:ascii="Arial" w:cs="Arial" w:eastAsia="Arial" w:hAnsi="Arial"/>
                <w:sz w:val="18"/>
                <w:szCs w:val="18"/>
                <w:color w:val="auto"/>
              </w:rPr>
              <w:t>FINANCIAL INFORMATION</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69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2017 and December 31, 2016</w:t>
              </w:r>
            </w:hyperlink>
          </w:p>
        </w:tc>
        <w:tc>
          <w:tcPr>
            <w:tcW w:w="226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and Comprehensive Income (Loss) for the Three and Six Months</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2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2017 and 2016</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1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Shareholders’ Equity for the Six Months Ended June 30, 2017 and the Year</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20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December 31, 2016</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Six Months Ended June 30, 2017 and 2016</w:t>
              </w:r>
            </w:hyperlink>
          </w:p>
        </w:tc>
        <w:tc>
          <w:tcPr>
            <w:tcW w:w="1020" w:type="dxa"/>
            <w:vAlign w:val="bottom"/>
            <w:gridSpan w:val="2"/>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400" w:type="dxa"/>
            <w:vAlign w:val="bottom"/>
            <w:gridSpan w:val="5"/>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4"/>
          </w:tcPr>
          <w:p>
            <w:pPr>
              <w:jc w:val="right"/>
              <w:ind w:right="8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8"/>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1">
              <w:r>
                <w:rPr>
                  <w:rFonts w:ascii="Arial" w:cs="Arial" w:eastAsia="Arial" w:hAnsi="Arial"/>
                  <w:sz w:val="15"/>
                  <w:szCs w:val="15"/>
                  <w:color w:val="0000EE"/>
                  <w:w w:val="71"/>
                </w:rPr>
                <w:t>41</w:t>
              </w:r>
            </w:hyperlink>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2540" w:type="dxa"/>
            <w:vAlign w:val="bottom"/>
            <w:gridSpan w:val="3"/>
          </w:tcPr>
          <w:p>
            <w:pPr>
              <w:spacing w:after="0"/>
              <w:rPr>
                <w:sz w:val="24"/>
                <w:szCs w:val="24"/>
                <w:color w:val="auto"/>
              </w:rPr>
            </w:pPr>
          </w:p>
        </w:tc>
        <w:tc>
          <w:tcPr>
            <w:tcW w:w="48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2">
              <w:r>
                <w:rPr>
                  <w:rFonts w:ascii="Arial" w:cs="Arial" w:eastAsia="Arial" w:hAnsi="Arial"/>
                  <w:sz w:val="15"/>
                  <w:szCs w:val="15"/>
                  <w:color w:val="0000EE"/>
                  <w:w w:val="71"/>
                </w:rPr>
                <w:t>42</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200" w:type="dxa"/>
            <w:vAlign w:val="bottom"/>
            <w:gridSpan w:val="15"/>
          </w:tcPr>
          <w:p>
            <w:pPr>
              <w:spacing w:after="0"/>
              <w:rPr>
                <w:sz w:val="20"/>
                <w:szCs w:val="20"/>
                <w:color w:val="auto"/>
              </w:rPr>
            </w:pPr>
            <w:r>
              <w:rPr>
                <w:rFonts w:ascii="Arial" w:cs="Arial" w:eastAsia="Arial" w:hAnsi="Arial"/>
                <w:sz w:val="18"/>
                <w:szCs w:val="18"/>
                <w:color w:val="auto"/>
              </w:rPr>
              <w:t>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Risk Factors</w:t>
              </w:r>
            </w:hyperlink>
          </w:p>
        </w:tc>
        <w:tc>
          <w:tcPr>
            <w:tcW w:w="828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44</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Unregistered Sales of Equity Securities and Use of Proceeds</w:t>
              </w:r>
            </w:hyperlink>
          </w:p>
        </w:tc>
        <w:tc>
          <w:tcPr>
            <w:tcW w:w="48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44</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48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44</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46</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Exhibit Index</w:t>
              </w:r>
            </w:hyperlink>
          </w:p>
        </w:tc>
        <w:tc>
          <w:tcPr>
            <w:tcW w:w="82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47</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9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8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40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36,193</w:t>
            </w: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of $436 and $449, respectively</w:t>
            </w:r>
          </w:p>
        </w:tc>
        <w:tc>
          <w:tcPr>
            <w:tcW w:w="2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65,797</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69,789</w:t>
            </w: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13,994</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39,043</w:t>
            </w: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16,765</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16,440</w:t>
            </w: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158,069</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161,465</w:t>
            </w:r>
          </w:p>
        </w:tc>
      </w:tr>
      <w:tr>
        <w:trPr>
          <w:trHeight w:val="54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including $3,137 and $2,907 carried at fair value</w:t>
            </w:r>
          </w:p>
        </w:tc>
        <w:tc>
          <w:tcPr>
            <w:tcW w:w="2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10,849</w:t>
            </w:r>
          </w:p>
        </w:tc>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10,276</w:t>
            </w: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679,463</w:t>
            </w:r>
          </w:p>
        </w:tc>
        <w:tc>
          <w:tcPr>
            <w:tcW w:w="2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698,122</w:t>
            </w:r>
          </w:p>
        </w:tc>
      </w:tr>
      <w:tr>
        <w:trPr>
          <w:trHeight w:val="59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436,656</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454,532</w:t>
            </w: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146,497</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145,256</w:t>
            </w: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11,465</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14,756</w:t>
            </w:r>
          </w:p>
        </w:tc>
      </w:tr>
      <w:tr>
        <w:trPr>
          <w:trHeight w:val="264"/>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1,442,999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1,484,407</w:t>
            </w: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512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BALANCE SHEETS </w:t>
      </w:r>
      <w:r>
        <w:rPr>
          <w:rFonts w:ascii="Arial" w:cs="Arial" w:eastAsia="Arial" w:hAnsi="Arial"/>
          <w:sz w:val="18"/>
          <w:szCs w:val="18"/>
          <w:b w:val="1"/>
          <w:bCs w:val="1"/>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420" w:type="dxa"/>
            <w:vAlign w:val="bottom"/>
          </w:tcPr>
          <w:p>
            <w:pPr>
              <w:jc w:val="center"/>
              <w:ind w:left="1970"/>
              <w:spacing w:after="0"/>
              <w:rPr>
                <w:sz w:val="20"/>
                <w:szCs w:val="20"/>
                <w:color w:val="auto"/>
              </w:rPr>
            </w:pPr>
            <w:r>
              <w:rPr>
                <w:rFonts w:ascii="Arial" w:cs="Arial" w:eastAsia="Arial" w:hAnsi="Arial"/>
                <w:sz w:val="18"/>
                <w:szCs w:val="18"/>
                <w:color w:val="auto"/>
                <w:w w:val="86"/>
              </w:rPr>
              <w:t>June 30,</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88"/>
              </w:rPr>
              <w:t>December 31,</w:t>
            </w:r>
          </w:p>
        </w:tc>
      </w:tr>
      <w:tr>
        <w:trPr>
          <w:trHeight w:val="230"/>
        </w:trPr>
        <w:tc>
          <w:tcPr>
            <w:tcW w:w="6360" w:type="dxa"/>
            <w:vAlign w:val="bottom"/>
          </w:tcPr>
          <w:p>
            <w:pPr>
              <w:spacing w:after="0"/>
              <w:rPr>
                <w:sz w:val="20"/>
                <w:szCs w:val="20"/>
                <w:color w:val="auto"/>
              </w:rPr>
            </w:pPr>
          </w:p>
        </w:tc>
        <w:tc>
          <w:tcPr>
            <w:tcW w:w="34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6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80" w:right="2720"/>
        <w:spacing w:after="0" w:line="313" w:lineRule="auto"/>
        <w:rPr>
          <w:sz w:val="20"/>
          <w:szCs w:val="20"/>
          <w:color w:val="auto"/>
        </w:rPr>
      </w:pPr>
      <w:r>
        <w:rPr>
          <w:rFonts w:ascii="Arial" w:cs="Arial" w:eastAsia="Arial" w:hAnsi="Arial"/>
          <w:sz w:val="18"/>
          <w:szCs w:val="18"/>
          <w:color w:val="auto"/>
        </w:rPr>
        <w:t>Current maturities of long-term debt, net of unamortized loan fees Accounts payable</w:t>
      </w:r>
    </w:p>
    <w:p>
      <w:pPr>
        <w:ind w:left="180"/>
        <w:spacing w:after="0"/>
        <w:rPr>
          <w:sz w:val="20"/>
          <w:szCs w:val="20"/>
          <w:color w:val="auto"/>
        </w:rPr>
      </w:pPr>
      <w:r>
        <w:rPr>
          <w:rFonts w:ascii="Arial" w:cs="Arial" w:eastAsia="Arial" w:hAnsi="Arial"/>
          <w:sz w:val="18"/>
          <w:szCs w:val="18"/>
          <w:color w:val="auto"/>
        </w:rPr>
        <w:t>Advanced billings and customer deposits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compensation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 and 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current liabilities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less current maturities, net of unamortized loan fees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retirement obligations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Retirement plan obligations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other long-term liabilities</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Retained earnings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income, net of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44,247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32,041</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22,433</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72,810</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20,883</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20,427</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7,100</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9,465</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17,552</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29,085</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112,215</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164,263</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6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799,782</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3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143,197</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151,837</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20,303</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18,042</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18,367</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15,666</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17,973</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17,738</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32,499</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23,743</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232,339</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227,026</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46,766</w:t>
      </w:r>
      <w:r>
        <w:rPr>
          <w:sz w:val="20"/>
          <w:szCs w:val="20"/>
          <w:color w:val="auto"/>
        </w:rPr>
        <w:tab/>
      </w:r>
      <w:r>
        <w:rPr>
          <w:rFonts w:ascii="Arial" w:cs="Arial" w:eastAsia="Arial" w:hAnsi="Arial"/>
          <w:sz w:val="18"/>
          <w:szCs w:val="18"/>
          <w:color w:val="auto"/>
        </w:rPr>
        <w:t>45,482</w:t>
      </w:r>
    </w:p>
    <w:p>
      <w:pPr>
        <w:spacing w:after="0" w:line="63"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245,885</w:t>
      </w:r>
      <w:r>
        <w:rPr>
          <w:sz w:val="20"/>
          <w:szCs w:val="20"/>
          <w:color w:val="auto"/>
        </w:rPr>
        <w:tab/>
      </w:r>
      <w:r>
        <w:rPr>
          <w:rFonts w:ascii="Arial" w:cs="Arial" w:eastAsia="Arial" w:hAnsi="Arial"/>
          <w:sz w:val="18"/>
          <w:szCs w:val="18"/>
          <w:color w:val="auto"/>
        </w:rPr>
        <w:t>243,624</w:t>
      </w:r>
    </w:p>
    <w:p>
      <w:pPr>
        <w:spacing w:after="0" w:line="63" w:lineRule="exact"/>
        <w:rPr>
          <w:sz w:val="20"/>
          <w:szCs w:val="20"/>
          <w:color w:val="auto"/>
        </w:rPr>
      </w:pPr>
    </w:p>
    <w:p>
      <w:pPr>
        <w:ind w:left="960"/>
        <w:spacing w:after="0"/>
        <w:tabs>
          <w:tab w:leader="none" w:pos="2520" w:val="left"/>
        </w:tabs>
        <w:rPr>
          <w:sz w:val="20"/>
          <w:szCs w:val="20"/>
          <w:color w:val="auto"/>
        </w:rPr>
      </w:pPr>
      <w:r>
        <w:rPr>
          <w:rFonts w:ascii="Arial" w:cs="Arial" w:eastAsia="Arial" w:hAnsi="Arial"/>
          <w:sz w:val="18"/>
          <w:szCs w:val="18"/>
          <w:color w:val="auto"/>
        </w:rPr>
        <w:t>6,012</w:t>
      </w:r>
      <w:r>
        <w:rPr>
          <w:sz w:val="20"/>
          <w:szCs w:val="20"/>
          <w:color w:val="auto"/>
        </w:rPr>
        <w:tab/>
      </w:r>
      <w:r>
        <w:rPr>
          <w:rFonts w:ascii="Arial" w:cs="Arial" w:eastAsia="Arial" w:hAnsi="Arial"/>
          <w:sz w:val="18"/>
          <w:szCs w:val="18"/>
          <w:color w:val="auto"/>
        </w:rPr>
        <w:t>6,788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946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70"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298,663</w:t>
      </w:r>
      <w:r>
        <w:rPr>
          <w:sz w:val="20"/>
          <w:szCs w:val="20"/>
          <w:color w:val="auto"/>
        </w:rPr>
        <w:tab/>
      </w:r>
      <w:r>
        <w:rPr>
          <w:rFonts w:ascii="Arial" w:cs="Arial" w:eastAsia="Arial" w:hAnsi="Arial"/>
          <w:sz w:val="18"/>
          <w:szCs w:val="18"/>
          <w:color w:val="auto"/>
        </w:rPr>
        <w:t>295,894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19469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218" w:lineRule="exact"/>
        <w:rPr>
          <w:sz w:val="20"/>
          <w:szCs w:val="20"/>
          <w:color w:val="auto"/>
        </w:rPr>
      </w:pPr>
    </w:p>
    <w:p>
      <w:pPr>
        <w:ind w:left="380"/>
        <w:spacing w:after="0"/>
        <w:tabs>
          <w:tab w:leader="none" w:pos="8360" w:val="left"/>
          <w:tab w:leader="none" w:pos="9000" w:val="left"/>
          <w:tab w:leader="none" w:pos="9960" w:val="left"/>
          <w:tab w:leader="none" w:pos="10580" w:val="left"/>
        </w:tabs>
        <w:rPr>
          <w:sz w:val="20"/>
          <w:szCs w:val="20"/>
          <w:color w:val="auto"/>
        </w:rPr>
      </w:pPr>
      <w:r>
        <w:rPr>
          <w:rFonts w:ascii="Arial" w:cs="Arial" w:eastAsia="Arial" w:hAnsi="Arial"/>
          <w:sz w:val="18"/>
          <w:szCs w:val="18"/>
          <w:b w:val="1"/>
          <w:bCs w:val="1"/>
          <w:color w:val="auto"/>
        </w:rPr>
        <w:t>Total liabilities and shareholders’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1,442,999</w:t>
        <w:tab/>
        <w:t>$</w:t>
      </w:r>
      <w:r>
        <w:rPr>
          <w:sz w:val="20"/>
          <w:szCs w:val="20"/>
          <w:color w:val="auto"/>
        </w:rPr>
        <w:tab/>
      </w:r>
      <w:r>
        <w:rPr>
          <w:rFonts w:ascii="Arial" w:cs="Arial" w:eastAsia="Arial" w:hAnsi="Arial"/>
          <w:sz w:val="16"/>
          <w:szCs w:val="16"/>
          <w:color w:val="auto"/>
        </w:rPr>
        <w:t>1,484,407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ind w:left="3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520" w:type="dxa"/>
            <w:vAlign w:val="bottom"/>
            <w:gridSpan w:val="3"/>
          </w:tcPr>
          <w:p>
            <w:pPr>
              <w:jc w:val="right"/>
              <w:ind w:right="6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562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153,258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130,309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307,138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222,880</w:t>
            </w:r>
          </w:p>
        </w:tc>
        <w:tc>
          <w:tcPr>
            <w:tcW w:w="0" w:type="dxa"/>
            <w:vAlign w:val="bottom"/>
          </w:tcPr>
          <w:p>
            <w:pPr>
              <w:spacing w:after="0"/>
              <w:rPr>
                <w:sz w:val="1"/>
                <w:szCs w:val="1"/>
                <w:color w:val="auto"/>
              </w:rPr>
            </w:pPr>
          </w:p>
        </w:tc>
      </w:tr>
      <w:tr>
        <w:trPr>
          <w:trHeight w:val="540"/>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180"/>
              <w:spacing w:after="0"/>
              <w:rPr>
                <w:sz w:val="20"/>
                <w:szCs w:val="20"/>
                <w:color w:val="auto"/>
              </w:rPr>
            </w:pPr>
            <w:r>
              <w:rPr>
                <w:rFonts w:ascii="Arial" w:cs="Arial" w:eastAsia="Arial" w:hAnsi="Arial"/>
                <w:sz w:val="18"/>
                <w:szCs w:val="18"/>
                <w:color w:val="auto"/>
                <w:w w:val="96"/>
              </w:rPr>
              <w:t>Cost of goods and services, exclusive of depreciation and amortization</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3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53,381</w:t>
            </w:r>
          </w:p>
        </w:tc>
        <w:tc>
          <w:tcPr>
            <w:tcW w:w="4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107,142</w:t>
            </w:r>
          </w:p>
        </w:tc>
        <w:tc>
          <w:tcPr>
            <w:tcW w:w="4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82,057</w:t>
            </w:r>
          </w:p>
        </w:tc>
        <w:tc>
          <w:tcPr>
            <w:tcW w:w="0" w:type="dxa"/>
            <w:vAlign w:val="bottom"/>
          </w:tcPr>
          <w:p>
            <w:pPr>
              <w:spacing w:after="0"/>
              <w:rPr>
                <w:sz w:val="1"/>
                <w:szCs w:val="1"/>
                <w:color w:val="auto"/>
              </w:rPr>
            </w:pPr>
          </w:p>
        </w:tc>
      </w:tr>
      <w:tr>
        <w:trPr>
          <w:trHeight w:val="256"/>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 exclusive of depreciation and</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shown separately below</w:t>
            </w:r>
          </w:p>
        </w:tc>
        <w:tc>
          <w:tcPr>
            <w:tcW w:w="3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43,022</w:t>
            </w:r>
          </w:p>
        </w:tc>
        <w:tc>
          <w:tcPr>
            <w:tcW w:w="4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33,694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83,175</w:t>
            </w:r>
          </w:p>
        </w:tc>
        <w:tc>
          <w:tcPr>
            <w:tcW w:w="4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55,120</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Integration and acquisition expenses</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3,678</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8,167</w:t>
            </w:r>
          </w:p>
        </w:tc>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304"/>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44,925</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32,415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89,729</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50,154</w:t>
            </w:r>
          </w:p>
        </w:tc>
        <w:tc>
          <w:tcPr>
            <w:tcW w:w="0" w:type="dxa"/>
            <w:vAlign w:val="bottom"/>
          </w:tcPr>
          <w:p>
            <w:pPr>
              <w:spacing w:after="0"/>
              <w:rPr>
                <w:sz w:val="1"/>
                <w:szCs w:val="1"/>
                <w:color w:val="auto"/>
              </w:rPr>
            </w:pPr>
          </w:p>
        </w:tc>
      </w:tr>
      <w:tr>
        <w:trPr>
          <w:trHeight w:val="27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145,006</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136,459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288,213</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207,717</w:t>
            </w:r>
          </w:p>
        </w:tc>
        <w:tc>
          <w:tcPr>
            <w:tcW w:w="0" w:type="dxa"/>
            <w:vAlign w:val="bottom"/>
          </w:tcPr>
          <w:p>
            <w:pPr>
              <w:spacing w:after="0"/>
              <w:rPr>
                <w:sz w:val="1"/>
                <w:szCs w:val="1"/>
                <w:color w:val="auto"/>
              </w:rPr>
            </w:pPr>
          </w:p>
        </w:tc>
      </w:tr>
      <w:tr>
        <w:trPr>
          <w:trHeight w:val="27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8,252</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18,925</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15,163</w:t>
            </w:r>
          </w:p>
        </w:tc>
        <w:tc>
          <w:tcPr>
            <w:tcW w:w="0" w:type="dxa"/>
            <w:vAlign w:val="bottom"/>
          </w:tcPr>
          <w:p>
            <w:pPr>
              <w:spacing w:after="0"/>
              <w:rPr>
                <w:sz w:val="1"/>
                <w:szCs w:val="1"/>
                <w:color w:val="auto"/>
              </w:rPr>
            </w:pPr>
          </w:p>
        </w:tc>
      </w:tr>
      <w:tr>
        <w:trPr>
          <w:trHeight w:val="540"/>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(9,389)</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(18,489)</w:t>
            </w: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Gain on investments, net</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04"/>
        </w:trPr>
        <w:tc>
          <w:tcPr>
            <w:tcW w:w="5620" w:type="dxa"/>
            <w:vAlign w:val="bottom"/>
          </w:tcPr>
          <w:p>
            <w:pPr>
              <w:ind w:left="180"/>
              <w:spacing w:after="0"/>
              <w:rPr>
                <w:sz w:val="20"/>
                <w:szCs w:val="20"/>
                <w:color w:val="auto"/>
              </w:rPr>
            </w:pPr>
            <w:r>
              <w:rPr>
                <w:rFonts w:ascii="Arial" w:cs="Arial" w:eastAsia="Arial" w:hAnsi="Arial"/>
                <w:sz w:val="18"/>
                <w:szCs w:val="18"/>
                <w:color w:val="auto"/>
              </w:rPr>
              <w:t>Non-operating income, net</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1,224</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2,479</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3,108</w:t>
            </w: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601"/>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847</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2,261</w:t>
            </w: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180"/>
              <w:spacing w:after="0"/>
              <w:rPr>
                <w:sz w:val="20"/>
                <w:szCs w:val="20"/>
                <w:color w:val="auto"/>
              </w:rPr>
            </w:pPr>
            <w:r>
              <w:rPr>
                <w:rFonts w:ascii="Arial" w:cs="Arial" w:eastAsia="Arial" w:hAnsi="Arial"/>
                <w:sz w:val="18"/>
                <w:szCs w:val="18"/>
                <w:color w:val="auto"/>
              </w:rPr>
              <w:t>Unrealized loss on interest rate hedge, net of tax</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0"/>
        </w:trPr>
        <w:tc>
          <w:tcPr>
            <w:tcW w:w="5620" w:type="dxa"/>
            <w:vAlign w:val="bottom"/>
          </w:tcPr>
          <w:p>
            <w:pPr>
              <w:ind w:left="380"/>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49,115</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48,830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49,083</w:t>
            </w:r>
          </w:p>
        </w:tc>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48,696</w:t>
            </w:r>
          </w:p>
        </w:tc>
        <w:tc>
          <w:tcPr>
            <w:tcW w:w="0" w:type="dxa"/>
            <w:vAlign w:val="bottom"/>
          </w:tcPr>
          <w:p>
            <w:pPr>
              <w:spacing w:after="0"/>
              <w:rPr>
                <w:sz w:val="1"/>
                <w:szCs w:val="1"/>
                <w:color w:val="auto"/>
              </w:rPr>
            </w:pPr>
          </w:p>
        </w:tc>
      </w:tr>
      <w:tr>
        <w:trPr>
          <w:trHeight w:val="270"/>
        </w:trPr>
        <w:tc>
          <w:tcPr>
            <w:tcW w:w="5620" w:type="dxa"/>
            <w:vAlign w:val="bottom"/>
          </w:tcPr>
          <w:p>
            <w:pPr>
              <w:ind w:left="380"/>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49,115</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48,830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49,850</w:t>
            </w:r>
          </w:p>
        </w:tc>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5"/>
              </w:rPr>
              <w:t>Accumulated</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89"/>
              </w:rPr>
              <w:t>Other</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89"/>
              </w:rPr>
              <w:t>Comprehensive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Common</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Retained</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1"/>
              </w:rPr>
              <w:t>Income,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080" w:type="dxa"/>
            <w:vAlign w:val="bottom"/>
          </w:tcPr>
          <w:p>
            <w:pPr>
              <w:jc w:val="right"/>
              <w:ind w:right="250"/>
              <w:spacing w:after="0"/>
              <w:rPr>
                <w:sz w:val="20"/>
                <w:szCs w:val="20"/>
                <w:color w:val="auto"/>
              </w:rPr>
            </w:pPr>
            <w:r>
              <w:rPr>
                <w:rFonts w:ascii="Arial" w:cs="Arial" w:eastAsia="Arial" w:hAnsi="Arial"/>
                <w:sz w:val="16"/>
                <w:szCs w:val="16"/>
                <w:color w:val="auto"/>
              </w:rPr>
              <w:t>Shares</w:t>
            </w:r>
          </w:p>
        </w:tc>
        <w:tc>
          <w:tcPr>
            <w:tcW w:w="30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color w:val="auto"/>
              </w:rPr>
              <w:t>Stock</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1"/>
              </w:rPr>
              <w:t>net of tax</w:t>
            </w:r>
          </w:p>
        </w:tc>
        <w:tc>
          <w:tcPr>
            <w:tcW w:w="360" w:type="dxa"/>
            <w:vAlign w:val="bottom"/>
          </w:tcPr>
          <w:p>
            <w:pPr>
              <w:spacing w:after="0"/>
              <w:rPr>
                <w:sz w:val="17"/>
                <w:szCs w:val="17"/>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color w:val="auto"/>
              </w:rPr>
              <w:t>Total</w:t>
            </w:r>
          </w:p>
        </w:tc>
      </w:tr>
      <w:tr>
        <w:trPr>
          <w:trHeight w:val="40"/>
        </w:trPr>
        <w:tc>
          <w:tcPr>
            <w:tcW w:w="4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48,475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32,776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256,747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289,938</w:t>
            </w: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gain, net of tax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6,373</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6,373</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Dividends declared ($0.25 per share)</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(12,228)</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(12,228)</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3,506</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3,506</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3,359</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3,359</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56"/>
        </w:trPr>
        <w:tc>
          <w:tcPr>
            <w:tcW w:w="4700" w:type="dxa"/>
            <w:vAlign w:val="bottom"/>
          </w:tcPr>
          <w:p>
            <w:pPr>
              <w:ind w:left="40"/>
              <w:spacing w:after="0"/>
              <w:rPr>
                <w:sz w:val="20"/>
                <w:szCs w:val="20"/>
                <w:color w:val="auto"/>
              </w:rPr>
            </w:pPr>
            <w:r>
              <w:rPr>
                <w:rFonts w:ascii="Arial" w:cs="Arial" w:eastAsia="Arial" w:hAnsi="Arial"/>
                <w:sz w:val="18"/>
                <w:szCs w:val="18"/>
                <w:color w:val="auto"/>
                <w:w w:val="97"/>
              </w:rPr>
              <w:t>Common stock issued to acquire non-controlling interests of</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nTelos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10,400</w:t>
            </w:r>
          </w:p>
        </w:tc>
        <w:tc>
          <w:tcPr>
            <w:tcW w:w="2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10,400</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34"/>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48,935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45,482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243,624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6,788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295,894</w:t>
            </w: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2,261</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Unrealized loss on interest rate hedge, net of tax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2,805</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6"/>
        </w:trPr>
        <w:tc>
          <w:tcPr>
            <w:tcW w:w="4700" w:type="dxa"/>
            <w:vAlign w:val="bottom"/>
          </w:tcPr>
          <w:p>
            <w:pPr>
              <w:ind w:left="40"/>
              <w:spacing w:after="0"/>
              <w:rPr>
                <w:sz w:val="20"/>
                <w:szCs w:val="20"/>
                <w:color w:val="auto"/>
              </w:rPr>
            </w:pPr>
            <w:r>
              <w:rPr>
                <w:rFonts w:ascii="Arial" w:cs="Arial" w:eastAsia="Arial" w:hAnsi="Arial"/>
                <w:sz w:val="18"/>
                <w:szCs w:val="18"/>
                <w:color w:val="auto"/>
                <w:w w:val="97"/>
              </w:rPr>
              <w:t>Common stock issued to acquire non-controlling interests of</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nTelos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2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34"/>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June 30, 2017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49,125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46,766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245,885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6,012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298,663</w:t>
            </w:r>
          </w:p>
        </w:tc>
      </w:tr>
      <w:tr>
        <w:trPr>
          <w:trHeight w:val="27"/>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2,261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6,885</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76,779</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42,753</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operating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12,950</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7,401</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contra revenue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10,321</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3,290</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rent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Provision for bad debt</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886</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Straight line adjustment to management fee revenue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8,640</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3,406</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Stock based compensation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2,418</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1,957</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(11,954)</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(53,238)</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Net (gain) loss on disposal of equipment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Unrealized (gain) on investments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Net (gains) from patronage and equity investments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2,385</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0"/>
        </w:trPr>
        <w:tc>
          <w:tcPr>
            <w:tcW w:w="88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5,196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(4,332)</w:t>
            </w: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25,049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(11,424)</w:t>
            </w: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(1,908)</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7,694</w:t>
            </w: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2,066</w:t>
            </w:r>
          </w:p>
        </w:tc>
      </w:tr>
      <w:tr>
        <w:trPr>
          <w:trHeight w:val="270"/>
        </w:trPr>
        <w:tc>
          <w:tcPr>
            <w:tcW w:w="8800" w:type="dxa"/>
            <w:vAlign w:val="bottom"/>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(40,558)</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5,529</w:t>
            </w: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34,195</w:t>
            </w:r>
          </w:p>
        </w:tc>
      </w:tr>
      <w:tr>
        <w:trPr>
          <w:trHeight w:val="270"/>
        </w:trPr>
        <w:tc>
          <w:tcPr>
            <w:tcW w:w="8800" w:type="dxa"/>
            <w:vAlign w:val="bottom"/>
          </w:tcPr>
          <w:p>
            <w:pPr>
              <w:ind w:left="820"/>
              <w:spacing w:after="0"/>
              <w:rPr>
                <w:sz w:val="20"/>
                <w:szCs w:val="20"/>
                <w:color w:val="auto"/>
              </w:rPr>
            </w:pPr>
            <w:r>
              <w:rPr>
                <w:rFonts w:ascii="Arial" w:cs="Arial" w:eastAsia="Arial" w:hAnsi="Arial"/>
                <w:sz w:val="18"/>
                <w:szCs w:val="18"/>
                <w:color w:val="auto"/>
              </w:rPr>
              <w:t>Deferred lease payable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2,493</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1,228</w:t>
            </w:r>
          </w:p>
        </w:tc>
      </w:tr>
      <w:tr>
        <w:trPr>
          <w:trHeight w:val="304"/>
        </w:trPr>
        <w:tc>
          <w:tcPr>
            <w:tcW w:w="8800" w:type="dxa"/>
            <w:vAlign w:val="bottom"/>
          </w:tcPr>
          <w:p>
            <w:pPr>
              <w:ind w:left="820"/>
              <w:spacing w:after="0"/>
              <w:rPr>
                <w:sz w:val="20"/>
                <w:szCs w:val="20"/>
                <w:color w:val="auto"/>
              </w:rPr>
            </w:pPr>
            <w:r>
              <w:rPr>
                <w:rFonts w:ascii="Arial" w:cs="Arial" w:eastAsia="Arial" w:hAnsi="Arial"/>
                <w:sz w:val="18"/>
                <w:szCs w:val="18"/>
                <w:color w:val="auto"/>
              </w:rPr>
              <w:t>Other deferrals and accruals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77"/>
        </w:trPr>
        <w:tc>
          <w:tcPr>
            <w:tcW w:w="8800" w:type="dxa"/>
            <w:vAlign w:val="bottom"/>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86,794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50,393</w:t>
            </w:r>
          </w:p>
        </w:tc>
      </w:tr>
      <w:tr>
        <w:trPr>
          <w:trHeight w:val="540"/>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(68,766)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(60,123)</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distributions from investments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Additional contributions to investments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disbursed for acquisition, net of cash acquired</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(644,432)</w:t>
            </w: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Acquisition of Expansion Area</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(74,490)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(201,257)</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Amounts borrowed under debt agreements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paid for debt issuance costs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7"/>
        </w:trPr>
        <w:tc>
          <w:tcPr>
            <w:tcW w:w="880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11,277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617,683</w:t>
            </w:r>
          </w:p>
        </w:tc>
        <w:tc>
          <w:tcPr>
            <w:tcW w:w="0" w:type="dxa"/>
            <w:vAlign w:val="bottom"/>
          </w:tcPr>
          <w:p>
            <w:pPr>
              <w:spacing w:after="0"/>
              <w:rPr>
                <w:sz w:val="1"/>
                <w:szCs w:val="1"/>
                <w:color w:val="auto"/>
              </w:rPr>
            </w:pPr>
          </w:p>
        </w:tc>
      </w:tr>
      <w:tr>
        <w:trPr>
          <w:trHeight w:val="540"/>
        </w:trPr>
        <w:tc>
          <w:tcPr>
            <w:tcW w:w="880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23,581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(36,241)</w:t>
            </w:r>
          </w:p>
        </w:tc>
        <w:tc>
          <w:tcPr>
            <w:tcW w:w="0" w:type="dxa"/>
            <w:vAlign w:val="bottom"/>
          </w:tcPr>
          <w:p>
            <w:pPr>
              <w:spacing w:after="0"/>
              <w:rPr>
                <w:sz w:val="1"/>
                <w:szCs w:val="1"/>
                <w:color w:val="auto"/>
              </w:rPr>
            </w:pPr>
          </w:p>
        </w:tc>
      </w:tr>
      <w:tr>
        <w:trPr>
          <w:trHeight w:val="567"/>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36,193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76,812</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59,774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40,571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payments for:</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800" w:type="dxa"/>
            <w:vAlign w:val="bottom"/>
          </w:tcPr>
          <w:p>
            <w:pPr>
              <w:ind w:left="380"/>
              <w:spacing w:after="0"/>
              <w:rPr>
                <w:sz w:val="20"/>
                <w:szCs w:val="20"/>
                <w:color w:val="auto"/>
              </w:rPr>
            </w:pPr>
            <w:r>
              <w:rPr>
                <w:rFonts w:ascii="Arial" w:cs="Arial" w:eastAsia="Arial" w:hAnsi="Arial"/>
                <w:sz w:val="18"/>
                <w:szCs w:val="18"/>
                <w:color w:val="auto"/>
              </w:rPr>
              <w:t>Interest, net of capitalized interest of $1,035 and $454, respectively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17,085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15,150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2017 and 2016, accounts payable included approximately $4.6 million and $5.2 million, respectively, associated with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accounts payable and acquisition of property, plant and equipment exclude this activity.</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During the six months ended June 30, 2017, the Company recorded a decrease in the fair value of interest rate swaps of $1.3 million, a decrease in deferred tax liabilities of $0.4 million, and a decrease to accumulated other comprehensive income of $0.8 million.</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During the six months ended June 30, 2016, in conjunction with the acquisition of nTelos, the Company issued common stock to acquire non-controlling interests held by third parties in a subsidiary of nTelos. The transaction was valued at $10.4 million.</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During the six months ended June 30, 2016, the Company adopted Accounting Standards Update 2015-15 and reclassified $4.3 million of unamortized loan fees and costs previously included in deferred charges and other assets to long term debt in connection with the new Term loan A-1 an A-2 borrowing related to the acquisition of nTelos.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Prior year amounts have been reclassified in some cases to conform to the current year presentation. These financial statements should be read in conjunction with the audited consolidated financial statements and related notes in the Company’s Annual Report on Form 10-K for the year ended December 31, 2016. The accompanying balance sheet information at December 31, 2016 was derived from the audited December 31, 2016 consolidated balance sheet. Operating revenues and income (loss) from operations for any interim period are not necessarily indicative of results that may be expected for the entire year.</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has made an immaterial error correction to the accompanying prior period unaudited condensed consolidated statement of cash flows for the six months ended June 30, 2016 to decrease both the amount of net cash provided by operating activities and the amount of net cash used in investing activities by approximately $10.4 million to properly reflect the common stock issued (non-cash) by the Company to acquire non-controlling interests in a subsidiary of nTelos held by third parties in conjunction with the nTelos acquisition. This immaterial error correction had no effect on the net increase (decrease) in cash and cash equivalents for the period or the beginning or ending balance of cash and cash equivalents for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estimated effects on the Company's consolidated financial statements and note disclosures, from those disclosed in the Company's 2016 Annual Report on Form 10-K, that would be expected to impact the Company except for the following:</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The Company plans to adopt the standard effective January 1, 2018. The Company plans to adopt this standard using the modified retrospective transition approach. The Company is continuing to assess all potential impacts of the standard, including the impact to the pattern with which revenue is recognized, the impact of the standard on current accounting policies, practices and system of internal controls, in order to identify material differences, if any that would result from applying the new requirements. In 2016, the Company identified a project team and commenced an initial impact assessment process for ASU 2014-09. The Company is continuing its work toward establishing new policies and processes, and is implementing necessary changes to data and procedures necessary to comply with the new requirements. Based on the results of the project team’s assessment to date, the Company anticipates this standard will have an impact, which could be significant, to the consolidated financial statements. While continuing to assess all potential impacts of the standard, the Company believes the most significant impact relates to additional disclosures required for qualitative and quantitative information concerning the nature, amount, timing, and any uncertainty of revenue and cash flows from contracts with customers, the capitalization of costs of commissions, upfront contract costs, the pattern with which revenue is recognized, and other contract acquisition-based and contract fulfillment costs.</w:t>
      </w:r>
    </w:p>
    <w:p>
      <w:pPr>
        <w:spacing w:after="0" w:line="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February 2016, the FASB issued ASU No. 2016-02, “Leases”,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The Company is currently evaluating the ASU and expects that it will have a material impact on our consolidated financial statements.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quarter of 2017, the Company adopted: ASU No. 2015-11, "Inventory: Simplifying the Measurement of Inventory". This ASU changes the measurement principle for inventory from the lower of cost or market to lower of cost and net realizable value. The ASU also eliminates the requirement for entities to consider replacement cost or net realizable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less an approximate normal profit margin when measuring inventory. The adoption of this ASU did not have a significant impact on our financial statements.</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2017, the FASB issued ASU No. 2017-07, "Improving the Presentation of Net Periodic Pension Cost and Net Periodic Postretirement Benefit Cost". The update requires employers to present the service cost component of the net periodic benefit cost in the same income statement line item as other employee compensation costs arising from services rendered during the period. The other components of net benefit cost, including interest cost, expected return on plan assets, amortization of prior service cost/credit and actuarial gain/loss, and settlement and curtailment effects, are to be presented outside of any subtotal of operating income. Employers will have to disclose the line(s) used to present the other components of net periodic benefit cost, if the components are not presented separately in the income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ASU 2017-07 is effective for fiscal years and interim periods beginning after December 15, 2017, and early adoption is permitted. The Company is currently assessing the impact that adopting this new accounting standard will have on its consolidated financial statements. The Company does not expect the adoption of ASU 2017-07 to have a material impact on its consolidated financial statements, nor does the Company expect to early adopt ASU 2017-07.</w:t>
      </w:r>
    </w:p>
    <w:p>
      <w:pPr>
        <w:spacing w:after="0" w:line="17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NTELOS Holdings Corp. and Exchange with Sprint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May 6, 2016, (the "acquisition date"), the Company completed its acquisition of NTELOS Holdings Corp. (nTelos). nTelos, was a leading regional provider of wireless telecommunications solutions and was acquired to expand the Company's wireless service area and subscriber base, thus strengthening the Company's relationship with Sprint Corporation (Sprint).</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Pursuant to the terms of the Agreement and Plan of Merger between the Company and nTelos (the "Merger Agreement"), nTelos became a direct wholly owned subsidiary of the Company. Pursuant to the terms of the Merger Agreement, the Company acquired all of the issued and outstanding capital stock of nTelos for an aggregate purchase price of $667.8 million. The purchase price was financed by a credit facility arranged by CoBank, ACB, Royal Bank of Canada, Fifth Third Bank, Bank of America, N.A., Capital One, National Association, Citizens Bank N.A., and Toronto Dominion (Texas) LLC.</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Transaction costs in connection with the acquisition were expensed as incurred and are included in integration and acquisition expenses in the condensed consolidated statement of operations. The results of operations related to nTelos are included in our consolidated statements of operations beginning from the date of acquisition.</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accounted for the acquisition of nTelos under the acquisition method of accounting, in accordance with FASB's Accounting Standards Codification (“ASC”) 805, “Business Combinations”, and has accounted for measurement period adjustments under ASU 2015-16, “Simplifying the Accounting for Measurement Period Adjustments”. Estimates of fair value included in the consolidated financial statements, in conformity with ASC 820, "Fair Value Measurements and Disclosures", represent the Company's best estimates and valuations. In accordance with ASC 805, "Business Combinations", the allocation of the consideration value was subject to adjustment until the Company completed its analysis, in a period of time, but not to exceed one year after the date of acquisition, or May 6, 2017, in order to provide the Company with the time to complete the valuation of its assets and liabilities. As of May 6, 2017, the Company has completed and finalized its analysis and allocation of the consideration value to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to assets acquired and liabilities assumed, including measurement period adjustments: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color w:val="auto"/>
                <w:w w:val="96"/>
              </w:rPr>
              <w:t>Measurement Period</w:t>
            </w:r>
          </w:p>
        </w:tc>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Initial Estimate</w:t>
            </w:r>
          </w:p>
        </w:tc>
        <w:tc>
          <w:tcPr>
            <w:tcW w:w="300" w:type="dxa"/>
            <w:vAlign w:val="bottom"/>
          </w:tcPr>
          <w:p>
            <w:pPr>
              <w:spacing w:after="0"/>
              <w:rPr>
                <w:sz w:val="20"/>
                <w:szCs w:val="20"/>
                <w:color w:val="auto"/>
              </w:rPr>
            </w:pPr>
          </w:p>
        </w:tc>
        <w:tc>
          <w:tcPr>
            <w:tcW w:w="2020" w:type="dxa"/>
            <w:vAlign w:val="bottom"/>
          </w:tcPr>
          <w:p>
            <w:pPr>
              <w:jc w:val="right"/>
              <w:ind w:right="59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0"/>
                <w:szCs w:val="20"/>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Purchase Price Allocation</w:t>
            </w:r>
          </w:p>
        </w:tc>
      </w:tr>
      <w:tr>
        <w:trPr>
          <w:trHeight w:val="34"/>
        </w:trPr>
        <w:tc>
          <w:tcPr>
            <w:tcW w:w="3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48,476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(1,242)</w:t>
            </w:r>
          </w:p>
        </w:tc>
        <w:tc>
          <w:tcPr>
            <w:tcW w:w="380" w:type="dxa"/>
            <w:vAlign w:val="bottom"/>
          </w:tcPr>
          <w:p>
            <w:pPr>
              <w:spacing w:after="0"/>
              <w:rPr>
                <w:sz w:val="21"/>
                <w:szCs w:val="21"/>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47,234</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4,572</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2,167</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2,167</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1,501</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14,835</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14,835</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Building held for sale</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4,950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4,950</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223,900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227,247</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Spectrum licenses (1), (2)</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198,200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198,200</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Acquired subscribers - wireless (1), (2)</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198,200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205,946</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Favorable lease intangible assets (2)</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6,029</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17,029</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Goodwill (3)</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151,627</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(5,244)</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146,383</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Other long term assets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10,288</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10,843</w:t>
            </w:r>
          </w:p>
        </w:tc>
      </w:tr>
      <w:tr>
        <w:trPr>
          <w:trHeight w:val="34"/>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868,954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11,953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880,907</w:t>
            </w:r>
          </w:p>
        </w:tc>
      </w:tr>
      <w:tr>
        <w:trPr>
          <w:trHeight w:val="34"/>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513"/>
        </w:trPr>
        <w:tc>
          <w:tcPr>
            <w:tcW w:w="3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8,648</w:t>
            </w:r>
          </w:p>
        </w:tc>
        <w:tc>
          <w:tcPr>
            <w:tcW w:w="3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8,543</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Advanced billings and customer deposits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12,477</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12,477</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25,230</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(2,089)</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23,141</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Capital lease liability</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418</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124,964</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4,327</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129,291</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19,461</w:t>
            </w:r>
          </w:p>
        </w:tc>
        <w:tc>
          <w:tcPr>
            <w:tcW w:w="3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19,198</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14,056</w:t>
            </w:r>
          </w:p>
        </w:tc>
        <w:tc>
          <w:tcPr>
            <w:tcW w:w="3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6,029</w:t>
            </w:r>
          </w:p>
        </w:tc>
        <w:tc>
          <w:tcPr>
            <w:tcW w:w="380" w:type="dxa"/>
            <w:vAlign w:val="bottom"/>
          </w:tcPr>
          <w:p>
            <w:pPr>
              <w:spacing w:after="0"/>
              <w:rPr>
                <w:sz w:val="23"/>
                <w:szCs w:val="23"/>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20,085</w:t>
            </w:r>
          </w:p>
        </w:tc>
      </w:tr>
      <w:tr>
        <w:trPr>
          <w:trHeight w:val="34"/>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205,254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7,899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213,153</w:t>
            </w:r>
          </w:p>
        </w:tc>
      </w:tr>
      <w:tr>
        <w:trPr>
          <w:trHeight w:val="34"/>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513"/>
        </w:trPr>
        <w:tc>
          <w:tcPr>
            <w:tcW w:w="36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663,700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4,054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667,754</w:t>
            </w:r>
          </w:p>
        </w:tc>
      </w:tr>
      <w:tr>
        <w:trPr>
          <w:trHeight w:val="27"/>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8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Concurrently with acquiring nTelos, the Company completed its previously announced transaction with SprintCom, Inc., a subsidiary of Sprint. Pursuant to this transaction, among other things, the Company exchanged spectrum licenses, valued at $198.2 million and acquired subscribers - wireless, valued at $206.0 million, acquired from nTelos with Sprint, and received an expansion of its affiliate service territory to include most of the service area served by nTelos, valued at $283.3 million, as well as additional acquired subscribers - wireless, valued at $120.9 million, relating to nTelos’ and Sprint’s legacy customers in the Company’s affiliate service territory. These exchanges were accounted for in accordance with ASC 845, “Nonmonetary Transactions”. The transfer of spectrum to Sprint resulted in a taxable gain to the Company which will be recognized as the Company recognizes the cash benefit of the waived management fees over the remaining approximately five years.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Identifiable intangible assets were measured using a combination of an income approach and a market approach.</w:t>
      </w:r>
    </w:p>
    <w:p>
      <w:pPr>
        <w:spacing w:after="0" w:line="9" w:lineRule="exact"/>
        <w:rPr>
          <w:rFonts w:ascii="Arial" w:cs="Arial" w:eastAsia="Arial" w:hAnsi="Arial"/>
          <w:sz w:val="18"/>
          <w:szCs w:val="18"/>
          <w:color w:val="auto"/>
        </w:rPr>
      </w:pPr>
    </w:p>
    <w:p>
      <w:pPr>
        <w:ind w:left="660" w:right="3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is the excess of the consideration transferred over the net assets recognized and represents the future economic benefits, primarily as a result of other assets acquired that could not be individually identified and separately recognized. The Company has recorded goodwill in its Wireless segment as a result of the nTelos acquisition. Goodwill is not amortized. The goodwill that arose from the acquisition of nTelos is not deductible for tax purposes.</w:t>
      </w:r>
    </w:p>
    <w:p>
      <w:pPr>
        <w:spacing w:after="0" w:line="1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to the changes in the balances reflected above, the Company revised provisional estimated useful lives of certain assets and recorded an adjustment to amortization expense of $0.1 million during the three and six months ended June 30, 2017, and recorded an adjustment during 2016 of $4.6 million to depreciation expense relating to the three and six months ended June 30, 2016.</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Acquisition-related costs primarily related to legal services, professional services, and severance accruals, were expensed as incurred. For the three and six months ended June 30, 2016, the Company incurred acquisition-related costs of $14.8 million and $15.1 million, respectively.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333" w:lineRule="exact"/>
        <w:rPr>
          <w:sz w:val="20"/>
          <w:szCs w:val="20"/>
          <w:color w:val="auto"/>
        </w:rPr>
      </w:pPr>
    </w:p>
    <w:p>
      <w:pPr>
        <w:jc w:val="both"/>
        <w:ind w:right="1000"/>
        <w:spacing w:after="0" w:line="334"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pro forma information, based on estimates and assumptions that the Company believes to be reasonable, for the Company as if the acquisition of nTelos had occurred at the beginning of 2016: (in millions)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w w:val="93"/>
              </w:rPr>
              <w:t>Six Months Ended</w:t>
            </w:r>
          </w:p>
        </w:tc>
      </w:tr>
      <w:tr>
        <w:trPr>
          <w:trHeight w:val="230"/>
        </w:trPr>
        <w:tc>
          <w:tcPr>
            <w:tcW w:w="3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2016</w:t>
            </w:r>
          </w:p>
        </w:tc>
        <w:tc>
          <w:tcPr>
            <w:tcW w:w="14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June 30, 2016</w:t>
            </w:r>
          </w:p>
        </w:tc>
      </w:tr>
      <w:tr>
        <w:trPr>
          <w:trHeight w:val="34"/>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334.4</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 forma information provided in the table above is not necessarily indicative of the consolidated results of operations for future periods or the results that actually would have been realized had the acquisition been completed at the beginning of the periods presented.</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pro forma information provided in the table above is based upon estimated valuations of the assets acquired and liabilities assumed as well as estimates of depreciation and amortization charges thereon. Other estimated pro forma adjustments include the following:</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right="1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including fees charged under the affiliate agreement on revenues from former nTelos customers, a reduction of the net service fee charged by Sprint, the straight-line impact of the waived management fee, and the amortization of the affiliate agreement expansion intangible asset; and the elimination of non-recurring transaction related expenses incurred by the Company and nTelos;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right="12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incremental amortization due to the Acquired subscribers - wireless intangible asset.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nTelos, the Company incurs costs which include the nTelos back office staff and support functions until the nTelos legacy customers are migrated to the Sprint billing platform; costs of the handsets to be provided to nTelos legacy customers as they migrate to the Sprint billing platform; severance costs for back office and other former nTelos employees who will not be retained permanently; and costs to shut down certain cell sites and related backhaul contracts. The Company has incurred these costs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54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4"/>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30"/>
        </w:trPr>
        <w:tc>
          <w:tcPr>
            <w:tcW w:w="4200" w:type="dxa"/>
            <w:vAlign w:val="bottom"/>
          </w:tcPr>
          <w:p>
            <w:pPr>
              <w:spacing w:after="0"/>
              <w:rPr>
                <w:sz w:val="20"/>
                <w:szCs w:val="20"/>
                <w:color w:val="auto"/>
              </w:rPr>
            </w:pPr>
          </w:p>
        </w:tc>
        <w:tc>
          <w:tcPr>
            <w:tcW w:w="1600" w:type="dxa"/>
            <w:vAlign w:val="bottom"/>
            <w:gridSpan w:val="3"/>
          </w:tcPr>
          <w:p>
            <w:pPr>
              <w:jc w:val="center"/>
              <w:ind w:left="79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left="79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20"/>
                <w:szCs w:val="20"/>
                <w:color w:val="auto"/>
              </w:rPr>
            </w:pPr>
          </w:p>
        </w:tc>
      </w:tr>
      <w:tr>
        <w:trPr>
          <w:trHeight w:val="34"/>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8"/>
                <w:szCs w:val="18"/>
                <w:color w:val="auto"/>
              </w:rPr>
              <w:t>Statement of Operations location:</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4200" w:type="dxa"/>
            <w:vAlign w:val="bottom"/>
          </w:tcPr>
          <w:p>
            <w:pPr>
              <w:spacing w:after="0"/>
              <w:rPr>
                <w:sz w:val="20"/>
                <w:szCs w:val="20"/>
                <w:color w:val="auto"/>
              </w:rPr>
            </w:pPr>
            <w:r>
              <w:rPr>
                <w:rFonts w:ascii="Arial" w:cs="Arial" w:eastAsia="Arial" w:hAnsi="Arial"/>
                <w:sz w:val="18"/>
                <w:szCs w:val="18"/>
                <w:color w:val="auto"/>
              </w:rPr>
              <w:t>Integration and acquisition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64"/>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4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discussed above is based on changes to the amended affiliate agreement that include:</w:t>
      </w:r>
    </w:p>
    <w:p>
      <w:pPr>
        <w:spacing w:after="0" w:line="14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price to be paid by Sprint from 80% to 90% of the entire business value if the affiliate agreement is not renewed;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$251.8 million, as well as an additional waiver of the management fee charged with respect to the former nTelos customers until the earlier of migration to the Sprint back-office billing and related systems or six months following the acquisition; not to exceed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resulting from the acquisition of nTelos and the Sprint exchange, both described above, are noted below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Useful Life</w:t>
            </w:r>
          </w:p>
        </w:tc>
        <w:tc>
          <w:tcPr>
            <w:tcW w:w="44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Basis</w:t>
            </w:r>
          </w:p>
        </w:tc>
      </w:tr>
      <w:tr>
        <w:trPr>
          <w:trHeight w:val="27"/>
        </w:trPr>
        <w:tc>
          <w:tcPr>
            <w:tcW w:w="3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Affiliate contract expansion</w:t>
            </w:r>
          </w:p>
        </w:tc>
        <w:tc>
          <w:tcPr>
            <w:tcW w:w="2160" w:type="dxa"/>
            <w:vAlign w:val="bottom"/>
          </w:tcPr>
          <w:p>
            <w:pPr>
              <w:jc w:val="right"/>
              <w:spacing w:after="0"/>
              <w:rPr>
                <w:sz w:val="20"/>
                <w:szCs w:val="20"/>
                <w:color w:val="auto"/>
              </w:rPr>
            </w:pPr>
            <w:r>
              <w:rPr>
                <w:rFonts w:ascii="Arial" w:cs="Arial" w:eastAsia="Arial" w:hAnsi="Arial"/>
                <w:sz w:val="18"/>
                <w:szCs w:val="18"/>
                <w:color w:val="auto"/>
              </w:rPr>
              <w:t>14 years</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283,302</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Acquired subscribers - wireless</w:t>
            </w:r>
          </w:p>
        </w:tc>
        <w:tc>
          <w:tcPr>
            <w:tcW w:w="2160" w:type="dxa"/>
            <w:vAlign w:val="bottom"/>
          </w:tcPr>
          <w:p>
            <w:pPr>
              <w:jc w:val="right"/>
              <w:spacing w:after="0"/>
              <w:rPr>
                <w:sz w:val="20"/>
                <w:szCs w:val="20"/>
                <w:color w:val="auto"/>
              </w:rPr>
            </w:pPr>
            <w:r>
              <w:rPr>
                <w:rFonts w:ascii="Arial" w:cs="Arial" w:eastAsia="Arial" w:hAnsi="Arial"/>
                <w:sz w:val="18"/>
                <w:szCs w:val="18"/>
                <w:color w:val="auto"/>
              </w:rPr>
              <w:t>4-10 years</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120,855</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Favorable lease intangible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3-19 years</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17,029</w:t>
            </w: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affiliate contract expansion intangible asset is amortized on a straight-line basis and recorded as a contra-revenue over the remaining 14 year initial contract term. The Acquired subscribers rights - wireless intangible is amortized over the life of the customers, gradually decreasing over the expected life of this asset, and recorded through amortization expense. The favorable lease intangible assets are amortized on a straight-line basis and recorded through rent expense. The value of these intangible assets includes measurement period adjustments.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Expansion Area</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April 6, 2017, the Company expanded its affiliate service territory, under its agreements with Sprint, to include certain areas in North Carolina, Kentucky, Maryland, Ohio and West Virginia. The expanded territory includes the Parkersburg, WV, Huntington, WV, and Cumberland, MD, basic trading</w:t>
      </w:r>
    </w:p>
    <w:p>
      <w:pPr>
        <w:ind w:right="100"/>
        <w:spacing w:after="0" w:line="277" w:lineRule="auto"/>
        <w:rPr>
          <w:sz w:val="20"/>
          <w:szCs w:val="20"/>
          <w:color w:val="auto"/>
        </w:rPr>
      </w:pPr>
      <w:r>
        <w:rPr>
          <w:rFonts w:ascii="Arial" w:cs="Arial" w:eastAsia="Arial" w:hAnsi="Arial"/>
          <w:sz w:val="17"/>
          <w:szCs w:val="17"/>
          <w:color w:val="auto"/>
        </w:rPr>
        <w:t>areas. Approximately 25,000 Sprint retail and former nTelos postpaid and prepaid subscribers in the new basic trading areas will become Sprint-branded affiliate customers managed by the Company. The Company plans to upgrade and expand the existing wireless network coverage in those regions. Once the expansion is complete, the Company plans to open multiple Sprint-branded retail locations in the new area.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allocation of the fair values of the assets acquired: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Estimated Useful Life</w:t>
            </w:r>
          </w:p>
        </w:tc>
        <w:tc>
          <w:tcPr>
            <w:tcW w:w="380" w:type="dxa"/>
            <w:vAlign w:val="bottom"/>
          </w:tcPr>
          <w:p>
            <w:pPr>
              <w:spacing w:after="0"/>
              <w:rPr>
                <w:sz w:val="20"/>
                <w:szCs w:val="20"/>
                <w:color w:val="auto"/>
              </w:rPr>
            </w:pPr>
          </w:p>
        </w:tc>
        <w:tc>
          <w:tcPr>
            <w:tcW w:w="1860" w:type="dxa"/>
            <w:vAlign w:val="bottom"/>
          </w:tcPr>
          <w:p>
            <w:pPr>
              <w:jc w:val="right"/>
              <w:ind w:right="550"/>
              <w:spacing w:after="0"/>
              <w:rPr>
                <w:sz w:val="20"/>
                <w:szCs w:val="20"/>
                <w:color w:val="auto"/>
              </w:rPr>
            </w:pPr>
            <w:r>
              <w:rPr>
                <w:rFonts w:ascii="Arial" w:cs="Arial" w:eastAsia="Arial" w:hAnsi="Arial"/>
                <w:sz w:val="18"/>
                <w:szCs w:val="18"/>
                <w:color w:val="auto"/>
              </w:rPr>
              <w:t>April 6, 2017</w:t>
            </w:r>
          </w:p>
        </w:tc>
      </w:tr>
      <w:tr>
        <w:trPr>
          <w:trHeight w:val="34"/>
        </w:trPr>
        <w:tc>
          <w:tcPr>
            <w:tcW w:w="47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304"/>
        </w:trPr>
        <w:tc>
          <w:tcPr>
            <w:tcW w:w="4760" w:type="dxa"/>
            <w:vAlign w:val="bottom"/>
          </w:tcPr>
          <w:p>
            <w:pPr>
              <w:spacing w:after="0"/>
              <w:rPr>
                <w:sz w:val="20"/>
                <w:szCs w:val="20"/>
                <w:color w:val="auto"/>
              </w:rPr>
            </w:pPr>
            <w:r>
              <w:rPr>
                <w:rFonts w:ascii="Arial" w:cs="Arial" w:eastAsia="Arial" w:hAnsi="Arial"/>
                <w:sz w:val="18"/>
                <w:szCs w:val="18"/>
                <w:color w:val="auto"/>
              </w:rPr>
              <w:t>Acquired subscribers - wireless</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2 - 7 years</w:t>
            </w: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r>
      <w:tr>
        <w:trPr>
          <w:trHeight w:val="264"/>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0"/>
        </w:trPr>
        <w:tc>
          <w:tcPr>
            <w:tcW w:w="4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Identifiable intangible assets were measured using a combination of an income approach and a market approach. The fair values of the assets acquired were based on management's preliminary estimates or assumptions. While substantially complete, the allocation of value among the intangible assets is not yet final. If the final allocation of value among the intangible assets differs significantly from the Company's estimate provided above, then changes concerning amortization expense could result. Amortization expense of $0.2 million was recorded for the three-month period ended June 30, 2017.</w:t>
      </w:r>
    </w:p>
    <w:p>
      <w:pPr>
        <w:spacing w:after="0" w:line="15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4520" w:type="dxa"/>
            <w:vAlign w:val="bottom"/>
            <w:vMerge w:val="restart"/>
          </w:tcPr>
          <w:p>
            <w:pPr>
              <w:spacing w:after="0"/>
              <w:rPr>
                <w:sz w:val="20"/>
                <w:szCs w:val="20"/>
                <w:color w:val="auto"/>
              </w:rPr>
            </w:pPr>
            <w:r>
              <w:rPr>
                <w:rFonts w:ascii="Arial" w:cs="Arial" w:eastAsia="Arial" w:hAnsi="Arial"/>
                <w:sz w:val="18"/>
                <w:szCs w:val="18"/>
                <w:color w:val="auto"/>
              </w:rPr>
              <w:t>Plant in service</w:t>
            </w:r>
          </w:p>
        </w:tc>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vMerge w:val="continue"/>
          </w:tcPr>
          <w:p>
            <w:pPr>
              <w:spacing w:after="0"/>
              <w:rPr>
                <w:sz w:val="21"/>
                <w:szCs w:val="21"/>
                <w:color w:val="auto"/>
              </w:rPr>
            </w:pPr>
          </w:p>
        </w:tc>
        <w:tc>
          <w:tcPr>
            <w:tcW w:w="3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1,145,594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1,085,318</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3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68,707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73,759</w:t>
            </w:r>
          </w:p>
        </w:tc>
        <w:tc>
          <w:tcPr>
            <w:tcW w:w="0" w:type="dxa"/>
            <w:vAlign w:val="bottom"/>
          </w:tcPr>
          <w:p>
            <w:pPr>
              <w:spacing w:after="0"/>
              <w:rPr>
                <w:sz w:val="1"/>
                <w:szCs w:val="1"/>
                <w:color w:val="auto"/>
              </w:rPr>
            </w:pPr>
          </w:p>
        </w:tc>
      </w:tr>
      <w:tr>
        <w:trPr>
          <w:trHeight w:val="34"/>
        </w:trPr>
        <w:tc>
          <w:tcPr>
            <w:tcW w:w="4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1,214,301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1,159,077</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3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534,838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460,955</w:t>
            </w:r>
          </w:p>
        </w:tc>
        <w:tc>
          <w:tcPr>
            <w:tcW w:w="0" w:type="dxa"/>
            <w:vAlign w:val="bottom"/>
          </w:tcPr>
          <w:p>
            <w:pPr>
              <w:spacing w:after="0"/>
              <w:rPr>
                <w:sz w:val="1"/>
                <w:szCs w:val="1"/>
                <w:color w:val="auto"/>
              </w:rPr>
            </w:pPr>
          </w:p>
        </w:tc>
      </w:tr>
      <w:tr>
        <w:trPr>
          <w:trHeight w:val="34"/>
        </w:trPr>
        <w:tc>
          <w:tcPr>
            <w:tcW w:w="4520" w:type="dxa"/>
            <w:vAlign w:val="bottom"/>
            <w:vMerge w:val="restart"/>
          </w:tcPr>
          <w:p>
            <w:pPr>
              <w:ind w:left="140"/>
              <w:spacing w:after="0"/>
              <w:rPr>
                <w:sz w:val="20"/>
                <w:szCs w:val="20"/>
                <w:color w:val="auto"/>
              </w:rPr>
            </w:pPr>
            <w:r>
              <w:rPr>
                <w:rFonts w:ascii="Arial" w:cs="Arial" w:eastAsia="Arial" w:hAnsi="Arial"/>
                <w:sz w:val="18"/>
                <w:szCs w:val="18"/>
                <w:color w:val="auto"/>
              </w:rPr>
              <w:t>Net property, plant and equipment</w:t>
            </w:r>
          </w:p>
        </w:tc>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vMerge w:val="continue"/>
          </w:tcPr>
          <w:p>
            <w:pPr>
              <w:spacing w:after="0"/>
              <w:rPr>
                <w:sz w:val="21"/>
                <w:szCs w:val="21"/>
                <w:color w:val="auto"/>
              </w:rPr>
            </w:pPr>
          </w:p>
        </w:tc>
        <w:tc>
          <w:tcPr>
            <w:tcW w:w="3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679,463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560" w:type="dxa"/>
            <w:vAlign w:val="bottom"/>
            <w:vMerge w:val="restart"/>
          </w:tcPr>
          <w:p>
            <w:pPr>
              <w:jc w:val="right"/>
              <w:ind w:right="223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5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 ("EPS")</w:t>
      </w:r>
    </w:p>
    <w:p>
      <w:pPr>
        <w:spacing w:after="0" w:line="22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Basic net income (loss) per share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 thousands, except per share amounts)</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Basic income (loss) per share</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Net income (loss)</w:t>
      </w:r>
    </w:p>
    <w:p>
      <w:pPr>
        <w:spacing w:after="0" w:line="90" w:lineRule="exact"/>
        <w:rPr>
          <w:sz w:val="20"/>
          <w:szCs w:val="20"/>
          <w:color w:val="auto"/>
        </w:rPr>
      </w:pPr>
    </w:p>
    <w:p>
      <w:pPr>
        <w:ind w:left="1180" w:right="620" w:firstLine="135"/>
        <w:spacing w:after="0" w:line="407" w:lineRule="auto"/>
        <w:rPr>
          <w:sz w:val="20"/>
          <w:szCs w:val="20"/>
          <w:color w:val="auto"/>
        </w:rPr>
      </w:pPr>
      <w:r>
        <w:rPr>
          <w:rFonts w:ascii="Arial" w:cs="Arial" w:eastAsia="Arial" w:hAnsi="Arial"/>
          <w:sz w:val="17"/>
          <w:szCs w:val="17"/>
          <w:color w:val="auto"/>
        </w:rPr>
        <w:t>Basic weighted average shares outstanding Basic income (loss) per share</w:t>
      </w:r>
    </w:p>
    <w:p>
      <w:pPr>
        <w:spacing w:after="0" w:line="255" w:lineRule="exact"/>
        <w:rPr>
          <w:sz w:val="20"/>
          <w:szCs w:val="20"/>
          <w:color w:val="auto"/>
        </w:rPr>
      </w:pPr>
    </w:p>
    <w:p>
      <w:pPr>
        <w:jc w:val="center"/>
        <w:ind w:left="760"/>
        <w:spacing w:after="0"/>
        <w:rPr>
          <w:sz w:val="20"/>
          <w:szCs w:val="20"/>
          <w:color w:val="auto"/>
        </w:rPr>
      </w:pPr>
      <w:r>
        <w:rPr>
          <w:rFonts w:ascii="Arial" w:cs="Arial" w:eastAsia="Arial" w:hAnsi="Arial"/>
          <w:sz w:val="16"/>
          <w:szCs w:val="16"/>
          <w:color w:val="auto"/>
        </w:rPr>
        <w:t>Effect of stock options and awards outstanding:</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4236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34"/>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34"/>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48,830</w:t>
            </w:r>
          </w:p>
        </w:tc>
      </w:tr>
      <w:tr>
        <w:trPr>
          <w:trHeight w:val="34"/>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13893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34"/>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7"/>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4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6,885</w:t>
            </w:r>
          </w:p>
        </w:tc>
      </w:tr>
      <w:tr>
        <w:trPr>
          <w:trHeight w:val="34"/>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48,696</w:t>
            </w:r>
          </w:p>
        </w:tc>
      </w:tr>
      <w:tr>
        <w:trPr>
          <w:trHeight w:val="34"/>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06" w:lineRule="exact"/>
        <w:rPr>
          <w:sz w:val="20"/>
          <w:szCs w:val="20"/>
          <w:color w:val="auto"/>
        </w:rPr>
      </w:pPr>
    </w:p>
    <w:p>
      <w:pPr>
        <w:sectPr>
          <w:pgSz w:w="11900" w:h="16838" w:orient="portrait"/>
          <w:cols w:equalWidth="0" w:num="3">
            <w:col w:w="5020" w:space="720"/>
            <w:col w:w="2240" w:space="120"/>
            <w:col w:w="3320"/>
          </w:cols>
          <w:pgMar w:left="240" w:top="125" w:right="239" w:bottom="1440" w:gutter="0" w:footer="0" w:header="0"/>
          <w:type w:val="continuous"/>
        </w:sectPr>
      </w:pPr>
    </w:p>
    <w:tbl>
      <w:tblPr>
        <w:tblLayout w:type="fixed"/>
        <w:tblInd w:w="1180" w:type="dxa"/>
        <w:tblCellMar>
          <w:top w:w="0" w:type="dxa"/>
          <w:left w:w="0" w:type="dxa"/>
          <w:bottom w:w="0" w:type="dxa"/>
          <w:right w:w="0" w:type="dxa"/>
        </w:tblCellMar>
      </w:tblP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49,115</w:t>
            </w: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48,830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49,083</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48,696</w:t>
            </w:r>
          </w:p>
        </w:tc>
      </w:tr>
      <w:tr>
        <w:trPr>
          <w:trHeight w:val="304"/>
        </w:trPr>
        <w:tc>
          <w:tcPr>
            <w:tcW w:w="456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49,115</w:t>
            </w: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48,830</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49,850</w:t>
            </w:r>
          </w:p>
        </w:tc>
        <w:tc>
          <w:tcPr>
            <w:tcW w:w="3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49,415</w:t>
            </w:r>
          </w:p>
        </w:tc>
      </w:tr>
      <w:tr>
        <w:trPr>
          <w:trHeight w:val="264"/>
        </w:trPr>
        <w:tc>
          <w:tcPr>
            <w:tcW w:w="456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Due to the net loss for the three months ended June 30, 2017 and 2016, no adjustment was made to basic shares, as such an adjustment would have been anti-dilutive.</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computation of diluted EPS does not include certain unvested awards, on a weighted average basis, for the three months ended June 30, 2017 and 2016, respectively, because their inclusion would have an anti-dilutive effect on EPS. The awards excluded because of their anti-dilutive effect are as follows: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7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1720" w:type="dxa"/>
            <w:vAlign w:val="bottom"/>
          </w:tcPr>
          <w:p>
            <w:pPr>
              <w:jc w:val="center"/>
              <w:ind w:left="83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ind w:left="85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1720" w:type="dxa"/>
            <w:vAlign w:val="bottom"/>
          </w:tcPr>
          <w:p>
            <w:pPr>
              <w:jc w:val="right"/>
              <w:ind w:right="830"/>
              <w:spacing w:after="0"/>
              <w:rPr>
                <w:sz w:val="20"/>
                <w:szCs w:val="20"/>
                <w:color w:val="auto"/>
              </w:rPr>
            </w:pPr>
            <w:r>
              <w:rPr>
                <w:rFonts w:ascii="Arial" w:cs="Arial" w:eastAsia="Arial" w:hAnsi="Arial"/>
                <w:sz w:val="18"/>
                <w:szCs w:val="18"/>
                <w:color w:val="auto"/>
              </w:rPr>
              <w:t>2017</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2017</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40" w:type="dxa"/>
            <w:vAlign w:val="bottom"/>
            <w:vMerge w:val="restart"/>
          </w:tcPr>
          <w:p>
            <w:pPr>
              <w:spacing w:after="0"/>
              <w:rPr>
                <w:sz w:val="20"/>
                <w:szCs w:val="20"/>
                <w:color w:val="auto"/>
              </w:rPr>
            </w:pPr>
            <w:r>
              <w:rPr>
                <w:rFonts w:ascii="Arial" w:cs="Arial" w:eastAsia="Arial" w:hAnsi="Arial"/>
                <w:sz w:val="18"/>
                <w:szCs w:val="18"/>
                <w:color w:val="auto"/>
                <w:w w:val="94"/>
              </w:rPr>
              <w:t>Awards excluded from the computation of diluted net income per share because</w:t>
            </w: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720" w:type="dxa"/>
            <w:vAlign w:val="bottom"/>
            <w:vMerge w:val="restart"/>
          </w:tcPr>
          <w:p>
            <w:pPr>
              <w:jc w:val="right"/>
              <w:ind w:right="490"/>
              <w:spacing w:after="0"/>
              <w:rPr>
                <w:sz w:val="20"/>
                <w:szCs w:val="20"/>
                <w:color w:val="auto"/>
              </w:rPr>
            </w:pPr>
            <w:r>
              <w:rPr>
                <w:rFonts w:ascii="Arial" w:cs="Arial" w:eastAsia="Arial" w:hAnsi="Arial"/>
                <w:sz w:val="18"/>
                <w:szCs w:val="18"/>
                <w:color w:val="auto"/>
              </w:rPr>
              <w:t>786</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1700" w:type="dxa"/>
            <w:vAlign w:val="bottom"/>
            <w:vMerge w:val="restart"/>
          </w:tcPr>
          <w:p>
            <w:pPr>
              <w:jc w:val="right"/>
              <w:ind w:right="470"/>
              <w:spacing w:after="0"/>
              <w:rPr>
                <w:sz w:val="20"/>
                <w:szCs w:val="20"/>
                <w:color w:val="auto"/>
              </w:rPr>
            </w:pPr>
            <w:r>
              <w:rPr>
                <w:rFonts w:ascii="Arial" w:cs="Arial" w:eastAsia="Arial" w:hAnsi="Arial"/>
                <w:sz w:val="18"/>
                <w:szCs w:val="18"/>
                <w:color w:val="auto"/>
              </w:rPr>
              <w:t>87</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their inclusion would have been anti-dilutive</w:t>
            </w:r>
          </w:p>
        </w:tc>
        <w:tc>
          <w:tcPr>
            <w:tcW w:w="17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Investments include $3.1 million and $2.9 million of investments carried at fair value as of June 30, 2017 and December 31, 2016,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six months ended June 30, 2017, the Company recognized $45 thousand in dividend and interest income from investments, and recorded net unrealized gains of $187 thousand on these investments. Fair values for these investments held under the rabbi trust were determined by Level 1 quoted market prices for the underlying mutual funds. Changes in carrying value of investments are recorded within gain on investments, net on the Statement of Operations and Comprehensive Income (Loss).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2017 and December 31, 2016, other investments, comprised of equity securities which do not have readily determinable fair values, consist of the following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color w:val="auto"/>
              </w:rPr>
              <w:t>Cost method:</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CoBank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Other – Equity in other telecommunications partners</w:t>
            </w:r>
          </w:p>
        </w:tc>
        <w:tc>
          <w:tcPr>
            <w:tcW w:w="3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color w:val="auto"/>
              </w:rPr>
              <w:t>Equity method:</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Total other investments</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gridSpan w:val="3"/>
            <w:vMerge w:val="continue"/>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6.</w:t>
            </w:r>
          </w:p>
        </w:tc>
        <w:tc>
          <w:tcPr>
            <w:tcW w:w="240" w:type="dxa"/>
            <w:vAlign w:val="bottom"/>
          </w:tcPr>
          <w:p>
            <w:pPr>
              <w:spacing w:after="0"/>
              <w:rPr>
                <w:sz w:val="2"/>
                <w:szCs w:val="2"/>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Financial Instruments</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Financial instruments on the condensed consolidated balance sheets that approximate fair value include: cash and cash equivalents, receivables, investments carried at fair value, payables, accrued liabilities, interest rate swaps and variable rate long-term debt.</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has certain non-marketable long-term investments for which it is not practicable to estimate fair value with a total carrying value of $7.7 million and $7.4 million as of June 30, 2017 and December 31, 2016, respectively, of which $6.5 million and $6.2 million, respectively, represents the Company’s investment in CoBank. This investment is primarily related to patronage distributions of restricted equity and is a required investment related to the portion of the Credit Facility held by CoBank. This investment is carried under the cost method.</w:t>
      </w:r>
    </w:p>
    <w:p>
      <w:pPr>
        <w:spacing w:after="0" w:line="16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Hedging Activities and Accumulated Other Comprehensive Income</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these objectives,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outstanding notional amount of this cash flow hedge was $126.6 million as of June 30, 2017. The outstanding notional amount decreases based upon scheduled principal payments on the 2012 debt.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2016, the Company entered into a pay-fixed, receive-variable interest rate swap of $256.6 million of notional principal with three counterparties. This interest rate swap was designated as a cash flow hedge. The outstanding notional amount of this cash flow hedge was $302.4 million as of June 30, 2017. The outstanding notional amount increases based upon draws expected to be made under a portion of the Company's Term Loan A-2 debt and as the 2012 interest rate swap's notional principal decreases, and the outstanding notional amount will decrease as the Company makes scheduled principal payments on the 2016 debt. In combination with the swap entered into in 2012 described above, the Company is hedging approximately 50% of the expected outstanding debt.</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Amounts reported in accumulated other comprehensive income related to the interest rate swaps designated and qualified as a cash flow hedge, are reclassified to interest expense as interest payments are made on the Company’s variable-rate debt. As of June 30, 2017, the Company estimates that $783 thousand will be reclassified as a reduction of interest expense during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 as well as its classification on the condensed consolidated balance sheet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6600" w:type="dxa"/>
            <w:vAlign w:val="bottom"/>
            <w:vMerge w:val="restart"/>
          </w:tcPr>
          <w:p>
            <w:pPr>
              <w:spacing w:after="0"/>
              <w:rPr>
                <w:sz w:val="20"/>
                <w:szCs w:val="20"/>
                <w:color w:val="auto"/>
              </w:rPr>
            </w:pPr>
            <w:r>
              <w:rPr>
                <w:rFonts w:ascii="Arial" w:cs="Arial" w:eastAsia="Arial" w:hAnsi="Arial"/>
                <w:sz w:val="17"/>
                <w:szCs w:val="17"/>
                <w:color w:val="auto"/>
              </w:rPr>
              <w:t>Balance Sheet Location:</w:t>
            </w: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60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600" w:type="dxa"/>
            <w:vAlign w:val="bottom"/>
          </w:tcPr>
          <w:p>
            <w:pPr>
              <w:ind w:left="340"/>
              <w:spacing w:after="0"/>
              <w:rPr>
                <w:sz w:val="20"/>
                <w:szCs w:val="20"/>
                <w:color w:val="auto"/>
              </w:rPr>
            </w:pPr>
            <w:r>
              <w:rPr>
                <w:rFonts w:ascii="Arial" w:cs="Arial" w:eastAsia="Arial" w:hAnsi="Arial"/>
                <w:sz w:val="17"/>
                <w:szCs w:val="17"/>
                <w:color w:val="auto"/>
              </w:rPr>
              <w:t>Prepaid expenses and other</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340"/>
              <w:spacing w:after="0"/>
              <w:rPr>
                <w:sz w:val="20"/>
                <w:szCs w:val="20"/>
                <w:color w:val="auto"/>
              </w:rPr>
            </w:pPr>
            <w:r>
              <w:rPr>
                <w:rFonts w:ascii="Arial" w:cs="Arial" w:eastAsia="Arial" w:hAnsi="Arial"/>
                <w:sz w:val="17"/>
                <w:szCs w:val="17"/>
                <w:color w:val="auto"/>
              </w:rPr>
              <w:t>Deferred charges and other assets, net</w:t>
            </w:r>
          </w:p>
        </w:tc>
        <w:tc>
          <w:tcPr>
            <w:tcW w:w="16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9,180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304"/>
        </w:trPr>
        <w:tc>
          <w:tcPr>
            <w:tcW w:w="6600" w:type="dxa"/>
            <w:vAlign w:val="bottom"/>
          </w:tcPr>
          <w:p>
            <w:pPr>
              <w:ind w:left="340"/>
              <w:spacing w:after="0"/>
              <w:rPr>
                <w:sz w:val="20"/>
                <w:szCs w:val="20"/>
                <w:color w:val="auto"/>
              </w:rPr>
            </w:pPr>
            <w:r>
              <w:rPr>
                <w:rFonts w:ascii="Arial" w:cs="Arial" w:eastAsia="Arial" w:hAnsi="Arial"/>
                <w:sz w:val="17"/>
                <w:szCs w:val="17"/>
                <w:color w:val="auto"/>
              </w:rPr>
              <w:t>Accrued liabilities and other</w:t>
            </w:r>
          </w:p>
        </w:tc>
        <w:tc>
          <w:tcPr>
            <w:tcW w:w="16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0"/>
                <w:szCs w:val="20"/>
                <w:color w:val="auto"/>
              </w:rPr>
            </w:pPr>
            <w:r>
              <w:rPr>
                <w:rFonts w:ascii="Arial" w:cs="Arial" w:eastAsia="Arial" w:hAnsi="Arial"/>
                <w:sz w:val="17"/>
                <w:szCs w:val="17"/>
                <w:color w:val="auto"/>
              </w:rPr>
              <w:t>Total derivatives designated as hedging instruments</w:t>
            </w:r>
          </w:p>
        </w:tc>
        <w:tc>
          <w:tcPr>
            <w:tcW w:w="160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9,963</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change in accumulated other comprehensive income by component for the six months ended June 30, 2017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Gains on</w:t>
            </w:r>
          </w:p>
        </w:tc>
        <w:tc>
          <w:tcPr>
            <w:tcW w:w="30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Cash Flow</w:t>
            </w:r>
          </w:p>
        </w:tc>
        <w:tc>
          <w:tcPr>
            <w:tcW w:w="30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Hedges</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Expense</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0"/>
              </w:rPr>
              <w:t>Income, net of taxes</w:t>
            </w:r>
          </w:p>
        </w:tc>
        <w:tc>
          <w:tcPr>
            <w:tcW w:w="0" w:type="dxa"/>
            <w:vAlign w:val="bottom"/>
          </w:tcPr>
          <w:p>
            <w:pPr>
              <w:spacing w:after="0"/>
              <w:rPr>
                <w:sz w:val="1"/>
                <w:szCs w:val="1"/>
                <w:color w:val="auto"/>
              </w:rPr>
            </w:pPr>
          </w:p>
        </w:tc>
      </w:tr>
      <w:tr>
        <w:trPr>
          <w:trHeight w:val="34"/>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70"/>
        </w:trPr>
        <w:tc>
          <w:tcPr>
            <w:tcW w:w="6320" w:type="dxa"/>
            <w:vAlign w:val="bottom"/>
          </w:tcPr>
          <w:p>
            <w:pPr>
              <w:ind w:left="340"/>
              <w:spacing w:after="0"/>
              <w:rPr>
                <w:sz w:val="20"/>
                <w:szCs w:val="20"/>
                <w:color w:val="auto"/>
              </w:rPr>
            </w:pPr>
            <w:r>
              <w:rPr>
                <w:rFonts w:ascii="Arial" w:cs="Arial" w:eastAsia="Arial" w:hAnsi="Arial"/>
                <w:sz w:val="18"/>
                <w:szCs w:val="18"/>
                <w:color w:val="auto"/>
              </w:rPr>
              <w:t>Net change in unrealized losses</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56"/>
        </w:trPr>
        <w:tc>
          <w:tcPr>
            <w:tcW w:w="6320" w:type="dxa"/>
            <w:vAlign w:val="bottom"/>
          </w:tcPr>
          <w:p>
            <w:pPr>
              <w:ind w:left="340"/>
              <w:spacing w:after="0"/>
              <w:rPr>
                <w:sz w:val="20"/>
                <w:szCs w:val="20"/>
                <w:color w:val="auto"/>
              </w:rPr>
            </w:pPr>
            <w:r>
              <w:rPr>
                <w:rFonts w:ascii="Arial" w:cs="Arial" w:eastAsia="Arial" w:hAnsi="Arial"/>
                <w:sz w:val="18"/>
                <w:szCs w:val="18"/>
                <w:color w:val="auto"/>
                <w:w w:val="93"/>
              </w:rPr>
              <w:t>Amounts reclassified from accumulated other comprehensive income to interest</w:t>
            </w:r>
          </w:p>
        </w:tc>
        <w:tc>
          <w:tcPr>
            <w:tcW w:w="260" w:type="dxa"/>
            <w:vAlign w:val="bottom"/>
          </w:tcPr>
          <w:p>
            <w:pPr>
              <w:spacing w:after="0"/>
              <w:rPr>
                <w:sz w:val="22"/>
                <w:szCs w:val="22"/>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51"/>
        </w:trPr>
        <w:tc>
          <w:tcPr>
            <w:tcW w:w="6320" w:type="dxa"/>
            <w:vAlign w:val="bottom"/>
          </w:tcPr>
          <w:p>
            <w:pPr>
              <w:ind w:left="34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20" w:type="dxa"/>
            <w:vAlign w:val="bottom"/>
          </w:tcPr>
          <w:p>
            <w:pPr>
              <w:ind w:left="340"/>
              <w:spacing w:after="0"/>
              <w:rPr>
                <w:sz w:val="20"/>
                <w:szCs w:val="20"/>
                <w:color w:val="auto"/>
              </w:rPr>
            </w:pPr>
            <w:r>
              <w:rPr>
                <w:rFonts w:ascii="Arial" w:cs="Arial" w:eastAsia="Arial" w:hAnsi="Arial"/>
                <w:sz w:val="18"/>
                <w:szCs w:val="18"/>
                <w:color w:val="auto"/>
              </w:rPr>
              <w:t>Net current period accumulated other comprehensive income (loss)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0"/>
                <w:szCs w:val="20"/>
                <w:color w:val="auto"/>
              </w:rPr>
            </w:pPr>
            <w:r>
              <w:rPr>
                <w:rFonts w:ascii="Arial" w:cs="Arial" w:eastAsia="Arial" w:hAnsi="Arial"/>
                <w:sz w:val="18"/>
                <w:szCs w:val="18"/>
                <w:color w:val="auto"/>
              </w:rPr>
              <w:t>Balance as of June 30, 2017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8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amount of goodwill during the six months ended June 30, 2017 are shown below (in thousands):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Goodwill - Wireline segment</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 Cable segment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 Wireless segment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as of June 30, 2017</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8"/>
                <w:szCs w:val="18"/>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color w:val="auto"/>
                <w:w w:val="94"/>
              </w:rPr>
              <w:t>Measurement Period</w:t>
            </w:r>
          </w:p>
        </w:tc>
        <w:tc>
          <w:tcPr>
            <w:tcW w:w="480" w:type="dxa"/>
            <w:vAlign w:val="bottom"/>
          </w:tcPr>
          <w:p>
            <w:pPr>
              <w:spacing w:after="0"/>
              <w:rPr>
                <w:sz w:val="18"/>
                <w:szCs w:val="18"/>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June 30,</w:t>
            </w:r>
          </w:p>
        </w:tc>
      </w:tr>
      <w:tr>
        <w:trPr>
          <w:trHeight w:val="230"/>
        </w:trPr>
        <w:tc>
          <w:tcPr>
            <w:tcW w:w="320" w:type="dxa"/>
            <w:vAlign w:val="bottom"/>
          </w:tcPr>
          <w:p>
            <w:pPr>
              <w:spacing w:after="0"/>
              <w:rPr>
                <w:sz w:val="20"/>
                <w:szCs w:val="20"/>
                <w:color w:val="auto"/>
              </w:rPr>
            </w:pPr>
          </w:p>
        </w:tc>
        <w:tc>
          <w:tcPr>
            <w:tcW w:w="1800" w:type="dxa"/>
            <w:vAlign w:val="bottom"/>
          </w:tcPr>
          <w:p>
            <w:pPr>
              <w:jc w:val="right"/>
              <w:ind w:right="7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20"/>
                <w:szCs w:val="20"/>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color w:val="auto"/>
              </w:rPr>
              <w:t>2017</w:t>
            </w:r>
          </w:p>
        </w:tc>
      </w:tr>
      <w:tr>
        <w:trPr>
          <w:trHeight w:val="34"/>
        </w:trPr>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0"/>
        </w:trPr>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70"/>
        </w:trPr>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145,142</w:t>
            </w:r>
          </w:p>
        </w:tc>
        <w:tc>
          <w:tcPr>
            <w:tcW w:w="26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1,241</w:t>
            </w:r>
          </w:p>
        </w:tc>
        <w:tc>
          <w:tcPr>
            <w:tcW w:w="48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146,383</w:t>
            </w:r>
          </w:p>
        </w:tc>
      </w:tr>
      <w:tr>
        <w:trPr>
          <w:trHeight w:val="34"/>
        </w:trPr>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145,256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1,241</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146,497</w:t>
            </w:r>
          </w:p>
        </w:tc>
      </w:tr>
      <w:tr>
        <w:trPr>
          <w:trHeight w:val="27"/>
        </w:trPr>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200" w:space="720"/>
            <w:col w:w="6480"/>
          </w:cols>
          <w:pgMar w:left="240" w:top="125" w:right="2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at June 30, 2017 and December 31, 2016:</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20" w:type="dxa"/>
            <w:vAlign w:val="bottom"/>
            <w:gridSpan w:val="2"/>
          </w:tcPr>
          <w:p>
            <w:pPr>
              <w:jc w:val="right"/>
              <w:ind w:right="91"/>
              <w:spacing w:after="0"/>
              <w:rPr>
                <w:sz w:val="20"/>
                <w:szCs w:val="20"/>
                <w:color w:val="auto"/>
              </w:rPr>
            </w:pPr>
            <w:r>
              <w:rPr>
                <w:rFonts w:ascii="Arial" w:cs="Arial" w:eastAsia="Arial" w:hAnsi="Arial"/>
                <w:sz w:val="18"/>
                <w:szCs w:val="18"/>
                <w:color w:val="auto"/>
              </w:rPr>
              <w:t>June 30, 2017</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w w:val="92"/>
              </w:rPr>
              <w:t>December 31, 2016</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88"/>
              </w:rPr>
              <w:t>Gross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12"/>
              <w:spacing w:after="0"/>
              <w:rPr>
                <w:sz w:val="20"/>
                <w:szCs w:val="20"/>
                <w:color w:val="auto"/>
              </w:rPr>
            </w:pPr>
            <w:r>
              <w:rPr>
                <w:rFonts w:ascii="Arial" w:cs="Arial" w:eastAsia="Arial" w:hAnsi="Arial"/>
                <w:sz w:val="16"/>
                <w:szCs w:val="16"/>
                <w:color w:val="auto"/>
                <w:w w:val="88"/>
              </w:rPr>
              <w:t>Gross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5"/>
              </w:rPr>
              <w:t>Carrying</w:t>
            </w:r>
          </w:p>
        </w:tc>
        <w:tc>
          <w:tcPr>
            <w:tcW w:w="2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color w:val="auto"/>
                <w:w w:val="95"/>
              </w:rPr>
              <w:t>Accumulated</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12"/>
              <w:spacing w:after="0"/>
              <w:rPr>
                <w:sz w:val="20"/>
                <w:szCs w:val="20"/>
                <w:color w:val="auto"/>
              </w:rPr>
            </w:pPr>
            <w:r>
              <w:rPr>
                <w:rFonts w:ascii="Arial" w:cs="Arial" w:eastAsia="Arial" w:hAnsi="Arial"/>
                <w:sz w:val="16"/>
                <w:szCs w:val="16"/>
                <w:color w:val="auto"/>
                <w:w w:val="95"/>
              </w:rPr>
              <w:t>Carrying</w:t>
            </w:r>
          </w:p>
        </w:tc>
        <w:tc>
          <w:tcPr>
            <w:tcW w:w="300" w:type="dxa"/>
            <w:vAlign w:val="bottom"/>
          </w:tcPr>
          <w:p>
            <w:pPr>
              <w:spacing w:after="0"/>
              <w:rPr>
                <w:sz w:val="17"/>
                <w:szCs w:val="17"/>
                <w:color w:val="auto"/>
              </w:rPr>
            </w:pPr>
          </w:p>
        </w:tc>
        <w:tc>
          <w:tcPr>
            <w:tcW w:w="1200" w:type="dxa"/>
            <w:vAlign w:val="bottom"/>
          </w:tcPr>
          <w:p>
            <w:pPr>
              <w:jc w:val="right"/>
              <w:ind w:right="211"/>
              <w:spacing w:after="0"/>
              <w:rPr>
                <w:sz w:val="20"/>
                <w:szCs w:val="20"/>
                <w:color w:val="auto"/>
              </w:rPr>
            </w:pPr>
            <w:r>
              <w:rPr>
                <w:rFonts w:ascii="Arial" w:cs="Arial" w:eastAsia="Arial" w:hAnsi="Arial"/>
                <w:sz w:val="16"/>
                <w:szCs w:val="16"/>
                <w:color w:val="auto"/>
                <w:w w:val="95"/>
              </w:rPr>
              <w:t>Accumulated</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7"/>
              </w:rPr>
              <w:t>Amount</w:t>
            </w:r>
          </w:p>
        </w:tc>
        <w:tc>
          <w:tcPr>
            <w:tcW w:w="2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color w:val="auto"/>
                <w:w w:val="98"/>
              </w:rPr>
              <w:t>Amortization</w:t>
            </w:r>
          </w:p>
        </w:tc>
        <w:tc>
          <w:tcPr>
            <w:tcW w:w="36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Net</w:t>
            </w:r>
          </w:p>
        </w:tc>
        <w:tc>
          <w:tcPr>
            <w:tcW w:w="240" w:type="dxa"/>
            <w:vAlign w:val="bottom"/>
          </w:tcPr>
          <w:p>
            <w:pPr>
              <w:spacing w:after="0"/>
              <w:rPr>
                <w:sz w:val="17"/>
                <w:szCs w:val="17"/>
                <w:color w:val="auto"/>
              </w:rPr>
            </w:pPr>
          </w:p>
        </w:tc>
        <w:tc>
          <w:tcPr>
            <w:tcW w:w="980" w:type="dxa"/>
            <w:vAlign w:val="bottom"/>
          </w:tcPr>
          <w:p>
            <w:pPr>
              <w:jc w:val="center"/>
              <w:ind w:right="112"/>
              <w:spacing w:after="0"/>
              <w:rPr>
                <w:sz w:val="20"/>
                <w:szCs w:val="20"/>
                <w:color w:val="auto"/>
              </w:rPr>
            </w:pPr>
            <w:r>
              <w:rPr>
                <w:rFonts w:ascii="Arial" w:cs="Arial" w:eastAsia="Arial" w:hAnsi="Arial"/>
                <w:sz w:val="16"/>
                <w:szCs w:val="16"/>
                <w:color w:val="auto"/>
                <w:w w:val="97"/>
              </w:rPr>
              <w:t>Amount</w:t>
            </w:r>
          </w:p>
        </w:tc>
        <w:tc>
          <w:tcPr>
            <w:tcW w:w="300" w:type="dxa"/>
            <w:vAlign w:val="bottom"/>
          </w:tcPr>
          <w:p>
            <w:pPr>
              <w:spacing w:after="0"/>
              <w:rPr>
                <w:sz w:val="17"/>
                <w:szCs w:val="17"/>
                <w:color w:val="auto"/>
              </w:rPr>
            </w:pPr>
          </w:p>
        </w:tc>
        <w:tc>
          <w:tcPr>
            <w:tcW w:w="1200" w:type="dxa"/>
            <w:vAlign w:val="bottom"/>
          </w:tcPr>
          <w:p>
            <w:pPr>
              <w:jc w:val="right"/>
              <w:ind w:right="211"/>
              <w:spacing w:after="0"/>
              <w:rPr>
                <w:sz w:val="20"/>
                <w:szCs w:val="20"/>
                <w:color w:val="auto"/>
              </w:rPr>
            </w:pPr>
            <w:r>
              <w:rPr>
                <w:rFonts w:ascii="Arial" w:cs="Arial" w:eastAsia="Arial" w:hAnsi="Arial"/>
                <w:sz w:val="16"/>
                <w:szCs w:val="16"/>
                <w:color w:val="auto"/>
                <w:w w:val="98"/>
              </w:rPr>
              <w:t>Amortization</w:t>
            </w:r>
          </w:p>
        </w:tc>
        <w:tc>
          <w:tcPr>
            <w:tcW w:w="300" w:type="dxa"/>
            <w:vAlign w:val="bottom"/>
          </w:tcPr>
          <w:p>
            <w:pPr>
              <w:spacing w:after="0"/>
              <w:rPr>
                <w:sz w:val="17"/>
                <w:szCs w:val="17"/>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40"/>
        </w:trPr>
        <w:tc>
          <w:tcPr>
            <w:tcW w:w="3280" w:type="dxa"/>
            <w:vAlign w:val="bottom"/>
            <w:vMerge w:val="restart"/>
          </w:tcPr>
          <w:p>
            <w:pPr>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64,334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64,334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304"/>
        </w:trPr>
        <w:tc>
          <w:tcPr>
            <w:tcW w:w="328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64,431</w:t>
            </w: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64,431</w:t>
            </w:r>
          </w:p>
        </w:tc>
        <w:tc>
          <w:tcPr>
            <w:tcW w:w="3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64,431</w:t>
            </w:r>
          </w:p>
        </w:tc>
        <w:tc>
          <w:tcPr>
            <w:tcW w:w="0" w:type="dxa"/>
            <w:vAlign w:val="bottom"/>
          </w:tcPr>
          <w:p>
            <w:pPr>
              <w:spacing w:after="0"/>
              <w:rPr>
                <w:sz w:val="1"/>
                <w:szCs w:val="1"/>
                <w:color w:val="auto"/>
              </w:rPr>
            </w:pPr>
          </w:p>
        </w:tc>
      </w:tr>
      <w:tr>
        <w:trPr>
          <w:trHeight w:val="34"/>
        </w:trPr>
        <w:tc>
          <w:tcPr>
            <w:tcW w:w="328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Affiliate contract expansion</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287,102</w:t>
            </w: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(24,351)</w:t>
            </w:r>
          </w:p>
        </w:tc>
        <w:tc>
          <w:tcPr>
            <w:tcW w:w="3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262,751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284,102</w:t>
            </w:r>
          </w:p>
        </w:tc>
        <w:tc>
          <w:tcPr>
            <w:tcW w:w="30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(14,030)</w:t>
            </w: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270,072</w:t>
            </w: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Acquired subscribers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123,055</w:t>
            </w: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(31,258)</w:t>
            </w:r>
          </w:p>
        </w:tc>
        <w:tc>
          <w:tcPr>
            <w:tcW w:w="3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91,797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120,855</w:t>
            </w:r>
          </w:p>
        </w:tc>
        <w:tc>
          <w:tcPr>
            <w:tcW w:w="30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(18,738)</w:t>
            </w: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102,117</w:t>
            </w: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(1,955)</w:t>
            </w:r>
          </w:p>
        </w:tc>
        <w:tc>
          <w:tcPr>
            <w:tcW w:w="3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16,950</w:t>
            </w:r>
          </w:p>
        </w:tc>
        <w:tc>
          <w:tcPr>
            <w:tcW w:w="30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25,265</w:t>
            </w: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(24,974)</w:t>
            </w:r>
          </w:p>
        </w:tc>
        <w:tc>
          <w:tcPr>
            <w:tcW w:w="3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25,265</w:t>
            </w:r>
          </w:p>
        </w:tc>
        <w:tc>
          <w:tcPr>
            <w:tcW w:w="30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(24,631)</w:t>
            </w: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304"/>
        </w:trPr>
        <w:tc>
          <w:tcPr>
            <w:tcW w:w="328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3,229</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(754)</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0"/>
                <w:szCs w:val="20"/>
                <w:color w:val="auto"/>
              </w:rPr>
            </w:pPr>
            <w:r>
              <w:rPr>
                <w:rFonts w:ascii="Arial" w:cs="Arial" w:eastAsia="Arial" w:hAnsi="Arial"/>
                <w:sz w:val="18"/>
                <w:szCs w:val="18"/>
                <w:color w:val="auto"/>
              </w:rPr>
              <w:t>Total finite-lived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455,601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(83,376)</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372,225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449,384</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(59,283)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390,101</w:t>
            </w:r>
          </w:p>
        </w:tc>
        <w:tc>
          <w:tcPr>
            <w:tcW w:w="0" w:type="dxa"/>
            <w:vAlign w:val="bottom"/>
          </w:tcPr>
          <w:p>
            <w:pPr>
              <w:spacing w:after="0"/>
              <w:rPr>
                <w:sz w:val="1"/>
                <w:szCs w:val="1"/>
                <w:color w:val="auto"/>
              </w:rPr>
            </w:pPr>
          </w:p>
        </w:tc>
      </w:tr>
      <w:tr>
        <w:trPr>
          <w:trHeight w:val="264"/>
        </w:trPr>
        <w:tc>
          <w:tcPr>
            <w:tcW w:w="32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520,032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(83,376)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436,656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(59,283)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454,532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gridSpan w:val="2"/>
          </w:tcPr>
          <w:p>
            <w:pPr>
              <w:spacing w:after="0"/>
              <w:rPr>
                <w:rFonts w:ascii="Arial" w:cs="Arial" w:eastAsia="Arial" w:hAnsi="Arial"/>
                <w:sz w:val="18"/>
                <w:szCs w:val="18"/>
                <w:i w:val="1"/>
                <w:iCs w:val="1"/>
                <w:color w:val="0000EE"/>
                <w:w w:val="99"/>
              </w:rPr>
            </w:pPr>
            <w:hyperlink w:anchor="page2">
              <w:r>
                <w:rPr>
                  <w:rFonts w:ascii="Arial" w:cs="Arial" w:eastAsia="Arial" w:hAnsi="Arial"/>
                  <w:sz w:val="18"/>
                  <w:szCs w:val="18"/>
                  <w:i w:val="1"/>
                  <w:iCs w:val="1"/>
                  <w:color w:val="0000EE"/>
                  <w:w w:val="99"/>
                </w:rPr>
                <w:t>Index</w:t>
              </w:r>
            </w:hyperlink>
          </w:p>
        </w:tc>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4"/>
                <w:szCs w:val="24"/>
                <w:color w:val="auto"/>
              </w:rPr>
            </w:pPr>
          </w:p>
        </w:tc>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Accrued and Other liabilities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3"/>
          </w:tcPr>
          <w:p>
            <w:pPr>
              <w:spacing w:after="0"/>
              <w:rPr>
                <w:sz w:val="20"/>
                <w:szCs w:val="20"/>
                <w:color w:val="auto"/>
              </w:rPr>
            </w:pPr>
            <w:r>
              <w:rPr>
                <w:rFonts w:ascii="Arial" w:cs="Arial" w:eastAsia="Arial" w:hAnsi="Arial"/>
                <w:sz w:val="18"/>
                <w:szCs w:val="18"/>
                <w:color w:val="auto"/>
              </w:rPr>
              <w:t>Accrued liabilities and other include the following (in thousands):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Sales and property taxes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0"/>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Severance accrual, current portion</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0"/>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Asset retirement obligations, current portion</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0"/>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Accrued programming costs</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304"/>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64"/>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Accrued liabilities and other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17,552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Non-current portion of deferred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10,531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0"/>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Straight-line management fee waiver</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20,614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304"/>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88"/>
              </w:rPr>
              <w:t>Other</w:t>
            </w:r>
          </w:p>
        </w:tc>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64"/>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32,499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10. Long-Term Debt and Revolving Lines of Credit</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color w:val="auto"/>
              </w:rPr>
              <w:t>Total debt at June 30, 2017 and December 31, 2016 consists of the following:</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6900" w:type="dxa"/>
            <w:vAlign w:val="bottom"/>
          </w:tcPr>
          <w:p>
            <w:pPr>
              <w:ind w:left="30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r>
      <w:tr>
        <w:trPr>
          <w:trHeight w:val="34"/>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900" w:type="dxa"/>
            <w:vAlign w:val="bottom"/>
          </w:tcPr>
          <w:p>
            <w:pPr>
              <w:ind w:left="300"/>
              <w:spacing w:after="0"/>
              <w:rPr>
                <w:sz w:val="20"/>
                <w:szCs w:val="20"/>
                <w:color w:val="auto"/>
              </w:rPr>
            </w:pPr>
            <w:r>
              <w:rPr>
                <w:rFonts w:ascii="Arial" w:cs="Arial" w:eastAsia="Arial" w:hAnsi="Arial"/>
                <w:sz w:val="18"/>
                <w:szCs w:val="18"/>
                <w:color w:val="auto"/>
              </w:rPr>
              <w:t>Term loan A-1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460,750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472,875</w:t>
            </w:r>
          </w:p>
        </w:tc>
      </w:tr>
      <w:tr>
        <w:trPr>
          <w:trHeight w:val="304"/>
        </w:trPr>
        <w:tc>
          <w:tcPr>
            <w:tcW w:w="6900" w:type="dxa"/>
            <w:vAlign w:val="bottom"/>
          </w:tcPr>
          <w:p>
            <w:pPr>
              <w:ind w:left="300"/>
              <w:spacing w:after="0"/>
              <w:rPr>
                <w:sz w:val="20"/>
                <w:szCs w:val="20"/>
                <w:color w:val="auto"/>
              </w:rPr>
            </w:pPr>
            <w:r>
              <w:rPr>
                <w:rFonts w:ascii="Arial" w:cs="Arial" w:eastAsia="Arial" w:hAnsi="Arial"/>
                <w:sz w:val="18"/>
                <w:szCs w:val="18"/>
                <w:color w:val="auto"/>
              </w:rPr>
              <w:t>Term loan A-2</w:t>
            </w: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r>
      <w:tr>
        <w:trPr>
          <w:trHeight w:val="243"/>
        </w:trPr>
        <w:tc>
          <w:tcPr>
            <w:tcW w:w="6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860,750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847,875</w:t>
            </w:r>
          </w:p>
        </w:tc>
      </w:tr>
      <w:tr>
        <w:trPr>
          <w:trHeight w:val="304"/>
        </w:trPr>
        <w:tc>
          <w:tcPr>
            <w:tcW w:w="6900" w:type="dxa"/>
            <w:vAlign w:val="bottom"/>
          </w:tcPr>
          <w:p>
            <w:pPr>
              <w:ind w:left="300"/>
              <w:spacing w:after="0"/>
              <w:rPr>
                <w:sz w:val="20"/>
                <w:szCs w:val="20"/>
                <w:color w:val="auto"/>
              </w:rPr>
            </w:pPr>
            <w:r>
              <w:rPr>
                <w:rFonts w:ascii="Arial" w:cs="Arial" w:eastAsia="Arial" w:hAnsi="Arial"/>
                <w:sz w:val="18"/>
                <w:szCs w:val="18"/>
                <w:color w:val="auto"/>
              </w:rPr>
              <w:t>Less: unamortized loan fees</w:t>
            </w: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18,610</w:t>
            </w:r>
          </w:p>
        </w:tc>
      </w:tr>
      <w:tr>
        <w:trPr>
          <w:trHeight w:val="264"/>
        </w:trPr>
        <w:tc>
          <w:tcPr>
            <w:tcW w:w="6900" w:type="dxa"/>
            <w:vAlign w:val="bottom"/>
          </w:tcPr>
          <w:p>
            <w:pPr>
              <w:ind w:left="300"/>
              <w:spacing w:after="0"/>
              <w:rPr>
                <w:sz w:val="20"/>
                <w:szCs w:val="20"/>
                <w:color w:val="auto"/>
              </w:rPr>
            </w:pPr>
            <w:r>
              <w:rPr>
                <w:rFonts w:ascii="Arial" w:cs="Arial" w:eastAsia="Arial" w:hAnsi="Arial"/>
                <w:sz w:val="18"/>
                <w:szCs w:val="18"/>
                <w:color w:val="auto"/>
              </w:rPr>
              <w:t>Total debt, net of unamortized loan fees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844,029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829,265</w:t>
            </w: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54"/>
        </w:trPr>
        <w:tc>
          <w:tcPr>
            <w:tcW w:w="6900" w:type="dxa"/>
            <w:vAlign w:val="bottom"/>
          </w:tcPr>
          <w:p>
            <w:pPr>
              <w:ind w:left="30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44,247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32,041</w:t>
            </w:r>
          </w:p>
        </w:tc>
      </w:tr>
      <w:tr>
        <w:trPr>
          <w:trHeight w:val="270"/>
        </w:trPr>
        <w:tc>
          <w:tcPr>
            <w:tcW w:w="6900" w:type="dxa"/>
            <w:vAlign w:val="bottom"/>
          </w:tcPr>
          <w:p>
            <w:pPr>
              <w:ind w:left="30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799,782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bl>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June 30, 2017, our indebtedness totaled $860.8 million in term loans with an annualized effective interest rate of approximately 4.06% after considering the impact of the interest rate swap contract and unamortized loan costs. The balance consists of the $460.8 million Term Loan A-1 at a variable rate (3.98% as of June 30, 2017) that resets monthly based on one month LIBOR plus a margin of 2.75%, and the $400 million Term Loan A-2 at a variable rate (4.23% as of June 30, 2017) that resets monthly based on one month LIBOR plus a margin of 3.00%. The Term Loan A-1 requires quarterly principal repayments of $12.1 million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is subject to certain covenants to be measured on a trailing twelve month basis each calendar quarter unless otherwise specified. These covenants include:</w:t>
      </w:r>
    </w:p>
    <w:p>
      <w:pPr>
        <w:spacing w:after="0" w:line="170" w:lineRule="exact"/>
        <w:rPr>
          <w:sz w:val="20"/>
          <w:szCs w:val="20"/>
          <w:color w:val="auto"/>
        </w:rPr>
      </w:pPr>
    </w:p>
    <w:p>
      <w:pPr>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08" w:right="25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660" w:right="60" w:hanging="328"/>
        <w:spacing w:after="0" w:line="27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ind w:left="660" w:right="48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June 30, 2017, the Company was in compliance with the covenants in its credit agreements.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Minimum Liquidity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$25 million or Higher</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Wireless segment provides digital wireless service as a PCS affiliate to a portion of a four-state area covering the region from Harrisburg, York and Altoona, Pennsylvania, to Harrisonburg, Virginia, south-central and western Virginia, West Virginia, and small portions of North Carolina, Kentucky and Ohio. The Wireless segment also owns cell site towers built on leased land, and leases space on these towers to both affiliates and non-affiliated service providers.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Three Months Ended June 30, 2017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External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revenues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revenues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200" w:right="80" w:hanging="161"/>
        <w:spacing w:after="0" w:line="305" w:lineRule="auto"/>
        <w:rPr>
          <w:sz w:val="20"/>
          <w:szCs w:val="20"/>
          <w:color w:val="auto"/>
        </w:rPr>
      </w:pPr>
      <w:r>
        <w:rPr>
          <w:rFonts w:ascii="Arial" w:cs="Arial" w:eastAsia="Arial" w:hAnsi="Arial"/>
          <w:sz w:val="16"/>
          <w:szCs w:val="16"/>
          <w:color w:val="auto"/>
        </w:rPr>
        <w:t>Costs of goods and services, exclusive of depreciation and amortization shown separately below</w:t>
      </w:r>
    </w:p>
    <w:p>
      <w:pPr>
        <w:spacing w:after="0" w:line="1" w:lineRule="exact"/>
        <w:rPr>
          <w:sz w:val="20"/>
          <w:szCs w:val="20"/>
          <w:color w:val="auto"/>
        </w:rPr>
      </w:pPr>
    </w:p>
    <w:p>
      <w:pPr>
        <w:ind w:left="200" w:hanging="161"/>
        <w:spacing w:after="0" w:line="305"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Integration and acquisition expenses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 (loss)</w:t>
      </w:r>
    </w:p>
    <w:p>
      <w:pPr>
        <w:spacing w:after="0" w:line="279" w:lineRule="exact"/>
        <w:rPr>
          <w:sz w:val="20"/>
          <w:szCs w:val="20"/>
          <w:color w:val="auto"/>
        </w:rPr>
      </w:pPr>
    </w:p>
    <w:p>
      <w:pPr>
        <w:ind w:left="60" w:right="300" w:hanging="44"/>
        <w:spacing w:after="0" w:line="277" w:lineRule="auto"/>
        <w:rPr>
          <w:sz w:val="20"/>
          <w:szCs w:val="20"/>
          <w:color w:val="auto"/>
        </w:rPr>
      </w:pPr>
      <w:r>
        <w:rPr>
          <w:rFonts w:ascii="Arial" w:cs="Arial" w:eastAsia="Arial" w:hAnsi="Arial"/>
          <w:sz w:val="18"/>
          <w:szCs w:val="18"/>
          <w:color w:val="auto"/>
        </w:rPr>
        <w:t>Three Months Ended June 30, 2016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External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Internal revenues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revenues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200" w:right="80" w:hanging="161"/>
        <w:spacing w:after="0" w:line="305" w:lineRule="auto"/>
        <w:rPr>
          <w:sz w:val="20"/>
          <w:szCs w:val="20"/>
          <w:color w:val="auto"/>
        </w:rPr>
      </w:pPr>
      <w:r>
        <w:rPr>
          <w:rFonts w:ascii="Arial" w:cs="Arial" w:eastAsia="Arial" w:hAnsi="Arial"/>
          <w:sz w:val="16"/>
          <w:szCs w:val="16"/>
          <w:color w:val="auto"/>
        </w:rPr>
        <w:t>Costs of goods and services, exclusive of depreciation and amortization shown separately below</w:t>
      </w:r>
    </w:p>
    <w:p>
      <w:pPr>
        <w:spacing w:after="0" w:line="1" w:lineRule="exact"/>
        <w:rPr>
          <w:sz w:val="20"/>
          <w:szCs w:val="20"/>
          <w:color w:val="auto"/>
        </w:rPr>
      </w:pPr>
    </w:p>
    <w:p>
      <w:pPr>
        <w:ind w:left="200" w:hanging="161"/>
        <w:spacing w:after="0" w:line="305"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Integration and acquisition expenses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r>
      <w:tr>
        <w:trPr>
          <w:trHeight w:val="230"/>
        </w:trPr>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1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107,681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26,883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139,692</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5,218</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6,253</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13,566</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112,899</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28,978</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11,381</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153,258</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8,195</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(10,015)</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114,133</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29,564</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19,576</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(10,015)</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153,258</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21"/>
        </w:trPr>
        <w:tc>
          <w:tcPr>
            <w:tcW w:w="2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38,469</w:t>
            </w:r>
          </w:p>
        </w:tc>
        <w:tc>
          <w:tcPr>
            <w:tcW w:w="3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14,911</w:t>
            </w:r>
          </w:p>
        </w:tc>
        <w:tc>
          <w:tcPr>
            <w:tcW w:w="2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9,330</w:t>
            </w:r>
          </w:p>
        </w:tc>
        <w:tc>
          <w:tcPr>
            <w:tcW w:w="36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(9,329)</w:t>
            </w:r>
          </w:p>
        </w:tc>
        <w:tc>
          <w:tcPr>
            <w:tcW w:w="2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53,381</w:t>
            </w:r>
          </w:p>
        </w:tc>
      </w:tr>
      <w:tr>
        <w:trPr>
          <w:trHeight w:val="702"/>
        </w:trPr>
        <w:tc>
          <w:tcPr>
            <w:tcW w:w="2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29,637</w:t>
            </w:r>
          </w:p>
        </w:tc>
        <w:tc>
          <w:tcPr>
            <w:tcW w:w="3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36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7,521</w:t>
            </w: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43,022</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4,124</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3,678</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35,551</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6,090</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3,155</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44,925</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107,781</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25,868</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14,168</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7,204</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(10,015)</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145,006</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3,696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5,408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8,252</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93"/>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r>
      <w:tr>
        <w:trPr>
          <w:trHeight w:val="230"/>
        </w:trPr>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1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86,873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24,167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4,820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115,860</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6,280</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1,923</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6,246</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14,449</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93,153</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26,090</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11,066</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130,309</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7,525</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94,294</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26,401</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18,591</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130,309</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21"/>
        </w:trPr>
        <w:tc>
          <w:tcPr>
            <w:tcW w:w="2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35,236</w:t>
            </w:r>
          </w:p>
        </w:tc>
        <w:tc>
          <w:tcPr>
            <w:tcW w:w="3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14,564</w:t>
            </w:r>
          </w:p>
        </w:tc>
        <w:tc>
          <w:tcPr>
            <w:tcW w:w="2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8,808</w:t>
            </w:r>
          </w:p>
        </w:tc>
        <w:tc>
          <w:tcPr>
            <w:tcW w:w="36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50,296</w:t>
            </w:r>
          </w:p>
        </w:tc>
      </w:tr>
      <w:tr>
        <w:trPr>
          <w:trHeight w:val="702"/>
        </w:trPr>
        <w:tc>
          <w:tcPr>
            <w:tcW w:w="2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23,010</w:t>
            </w:r>
          </w:p>
        </w:tc>
        <w:tc>
          <w:tcPr>
            <w:tcW w:w="3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4,794</w:t>
            </w:r>
          </w:p>
        </w:tc>
        <w:tc>
          <w:tcPr>
            <w:tcW w:w="2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36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4,885</w:t>
            </w: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33,694</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14,778</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20,054</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23,495</w:t>
            </w:r>
          </w:p>
        </w:tc>
        <w:tc>
          <w:tcPr>
            <w:tcW w:w="36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5,879</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2,933</w:t>
            </w:r>
          </w:p>
        </w:tc>
        <w:tc>
          <w:tcPr>
            <w:tcW w:w="3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32,415</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87,017</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25,237</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13,411</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19,771</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136,459</w:t>
            </w:r>
          </w:p>
        </w:tc>
      </w:tr>
      <w:tr>
        <w:trPr>
          <w:trHeight w:val="34"/>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7,277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(6,150)</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2"/>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2">
            <w:col w:w="2880" w:space="220"/>
            <w:col w:w="83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Six Months Ended June 30, 2017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revenues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Service revenues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external revenues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Internal revenues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revenues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220" w:right="60" w:hanging="161"/>
        <w:spacing w:after="0" w:line="305" w:lineRule="auto"/>
        <w:rPr>
          <w:sz w:val="20"/>
          <w:szCs w:val="20"/>
          <w:color w:val="auto"/>
        </w:rPr>
      </w:pPr>
      <w:r>
        <w:rPr>
          <w:rFonts w:ascii="Arial" w:cs="Arial" w:eastAsia="Arial" w:hAnsi="Arial"/>
          <w:sz w:val="16"/>
          <w:szCs w:val="16"/>
          <w:color w:val="auto"/>
        </w:rPr>
        <w:t>Costs of goods and services, exclusive of depreciation and amortization shown separately below</w:t>
      </w:r>
    </w:p>
    <w:p>
      <w:pPr>
        <w:spacing w:after="0" w:line="1" w:lineRule="exact"/>
        <w:rPr>
          <w:sz w:val="20"/>
          <w:szCs w:val="20"/>
          <w:color w:val="auto"/>
        </w:rPr>
      </w:pPr>
    </w:p>
    <w:p>
      <w:pPr>
        <w:ind w:left="220" w:hanging="161"/>
        <w:spacing w:after="0" w:line="305"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Integration and acquisition expenses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1"/>
              </w:rPr>
              <w:t>Consolidated</w:t>
            </w:r>
          </w:p>
        </w:tc>
      </w:tr>
      <w:tr>
        <w:trPr>
          <w:trHeight w:val="230"/>
        </w:trPr>
        <w:tc>
          <w:tcPr>
            <w:tcW w:w="2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Cable</w:t>
            </w:r>
          </w:p>
        </w:tc>
        <w:tc>
          <w:tcPr>
            <w:tcW w:w="3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w w:val="98"/>
              </w:rPr>
              <w:t>Eliminations</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Totals</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1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215,867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53,294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10,176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ind w:left="68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279,337</w:t>
            </w:r>
          </w:p>
        </w:tc>
      </w:tr>
      <w:tr>
        <w:trPr>
          <w:trHeight w:val="270"/>
        </w:trPr>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11,261</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4,129</w:t>
            </w: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12,411</w:t>
            </w:r>
          </w:p>
        </w:tc>
        <w:tc>
          <w:tcPr>
            <w:tcW w:w="360" w:type="dxa"/>
            <w:vAlign w:val="bottom"/>
          </w:tcPr>
          <w:p>
            <w:pPr>
              <w:spacing w:after="0"/>
              <w:rPr>
                <w:sz w:val="23"/>
                <w:szCs w:val="23"/>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27,801</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227,128</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57,423</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22,587</w:t>
            </w:r>
          </w:p>
        </w:tc>
        <w:tc>
          <w:tcPr>
            <w:tcW w:w="360" w:type="dxa"/>
            <w:vAlign w:val="bottom"/>
          </w:tcPr>
          <w:p>
            <w:pPr>
              <w:spacing w:after="0"/>
              <w:rPr>
                <w:sz w:val="21"/>
                <w:szCs w:val="21"/>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307,138</w:t>
            </w:r>
          </w:p>
        </w:tc>
      </w:tr>
      <w:tr>
        <w:trPr>
          <w:trHeight w:val="270"/>
        </w:trPr>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2,468</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16,143</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(19,765)</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229,596</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58,577</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38,730</w:t>
            </w:r>
          </w:p>
        </w:tc>
        <w:tc>
          <w:tcPr>
            <w:tcW w:w="360" w:type="dxa"/>
            <w:vAlign w:val="bottom"/>
          </w:tcPr>
          <w:p>
            <w:pPr>
              <w:spacing w:after="0"/>
              <w:rPr>
                <w:sz w:val="21"/>
                <w:szCs w:val="21"/>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(19,765)</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307,138</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76,788</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30,139</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18,603</w:t>
            </w:r>
          </w:p>
        </w:tc>
        <w:tc>
          <w:tcPr>
            <w:tcW w:w="4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(18,388)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107,142</w:t>
            </w:r>
          </w:p>
        </w:tc>
      </w:tr>
      <w:tr>
        <w:trPr>
          <w:trHeight w:val="702"/>
        </w:trPr>
        <w:tc>
          <w:tcPr>
            <w:tcW w:w="3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58,101</w:t>
            </w:r>
          </w:p>
        </w:tc>
        <w:tc>
          <w:tcPr>
            <w:tcW w:w="4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9,725</w:t>
            </w:r>
          </w:p>
        </w:tc>
        <w:tc>
          <w:tcPr>
            <w:tcW w:w="4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3,359</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13,367</w:t>
            </w:r>
          </w:p>
        </w:tc>
        <w:tc>
          <w:tcPr>
            <w:tcW w:w="460" w:type="dxa"/>
            <w:vAlign w:val="bottom"/>
          </w:tcPr>
          <w:p>
            <w:pPr>
              <w:spacing w:after="0"/>
              <w:rPr>
                <w:sz w:val="24"/>
                <w:szCs w:val="24"/>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(1,377)</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83,175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7,916</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23"/>
                <w:szCs w:val="23"/>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8,167</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71,303</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11,879</w:t>
            </w: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6,286</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261</w:t>
            </w:r>
          </w:p>
        </w:tc>
        <w:tc>
          <w:tcPr>
            <w:tcW w:w="460" w:type="dxa"/>
            <w:vAlign w:val="bottom"/>
          </w:tcPr>
          <w:p>
            <w:pPr>
              <w:spacing w:after="0"/>
              <w:rPr>
                <w:sz w:val="23"/>
                <w:szCs w:val="23"/>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89,729</w:t>
            </w:r>
          </w:p>
        </w:tc>
      </w:tr>
      <w:tr>
        <w:trPr>
          <w:trHeight w:val="34"/>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214,108</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51,743</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28,248</w:t>
            </w:r>
          </w:p>
        </w:tc>
        <w:tc>
          <w:tcPr>
            <w:tcW w:w="4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13,879</w:t>
            </w:r>
          </w:p>
        </w:tc>
        <w:tc>
          <w:tcPr>
            <w:tcW w:w="460" w:type="dxa"/>
            <w:vAlign w:val="bottom"/>
          </w:tcPr>
          <w:p>
            <w:pPr>
              <w:spacing w:after="0"/>
              <w:rPr>
                <w:sz w:val="21"/>
                <w:szCs w:val="21"/>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(19,765)</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288,213</w:t>
            </w:r>
          </w:p>
        </w:tc>
      </w:tr>
      <w:tr>
        <w:trPr>
          <w:trHeight w:val="34"/>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15,488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6,834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10,482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(13,879)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18,925</w:t>
            </w:r>
          </w:p>
        </w:tc>
      </w:tr>
      <w:tr>
        <w:trPr>
          <w:trHeight w:val="27"/>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900" w:space="220"/>
            <w:col w:w="8280"/>
          </w:cols>
          <w:pgMar w:left="240" w:top="125" w:right="259" w:bottom="1440" w:gutter="0" w:footer="0" w:header="0"/>
        </w:sectPr>
      </w:pPr>
    </w:p>
    <w:p>
      <w:pPr>
        <w:spacing w:after="0" w:line="2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Six Months Ended June 30, 2016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revenues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Service revenues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external revenues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Internal revenues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revenues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220" w:right="60" w:hanging="161"/>
        <w:spacing w:after="0" w:line="305" w:lineRule="auto"/>
        <w:rPr>
          <w:sz w:val="20"/>
          <w:szCs w:val="20"/>
          <w:color w:val="auto"/>
        </w:rPr>
      </w:pPr>
      <w:r>
        <w:rPr>
          <w:rFonts w:ascii="Arial" w:cs="Arial" w:eastAsia="Arial" w:hAnsi="Arial"/>
          <w:sz w:val="16"/>
          <w:szCs w:val="16"/>
          <w:color w:val="auto"/>
        </w:rPr>
        <w:t>Costs of goods and services, exclusive of depreciation and amortization shown separately below</w:t>
      </w:r>
    </w:p>
    <w:p>
      <w:pPr>
        <w:spacing w:after="0" w:line="1" w:lineRule="exact"/>
        <w:rPr>
          <w:sz w:val="20"/>
          <w:szCs w:val="20"/>
          <w:color w:val="auto"/>
        </w:rPr>
      </w:pPr>
    </w:p>
    <w:p>
      <w:pPr>
        <w:ind w:left="220" w:hanging="161"/>
        <w:spacing w:after="0" w:line="305"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Integration and acquisition expenses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1"/>
              </w:rPr>
              <w:t>Consolidated</w:t>
            </w:r>
          </w:p>
        </w:tc>
      </w:tr>
      <w:tr>
        <w:trPr>
          <w:trHeight w:val="230"/>
        </w:trPr>
        <w:tc>
          <w:tcPr>
            <w:tcW w:w="2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Cable</w:t>
            </w:r>
          </w:p>
        </w:tc>
        <w:tc>
          <w:tcPr>
            <w:tcW w:w="3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w w:val="98"/>
              </w:rPr>
              <w:t>Eliminations</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Totals</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13"/>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139,052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48,507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9,779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ind w:left="68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197,338</w:t>
            </w:r>
          </w:p>
        </w:tc>
      </w:tr>
      <w:tr>
        <w:trPr>
          <w:trHeight w:val="270"/>
        </w:trPr>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9,484</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3,768</w:t>
            </w: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12,290</w:t>
            </w:r>
          </w:p>
        </w:tc>
        <w:tc>
          <w:tcPr>
            <w:tcW w:w="360" w:type="dxa"/>
            <w:vAlign w:val="bottom"/>
          </w:tcPr>
          <w:p>
            <w:pPr>
              <w:spacing w:after="0"/>
              <w:rPr>
                <w:sz w:val="23"/>
                <w:szCs w:val="23"/>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25,542</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148,536</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52,275</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22,069</w:t>
            </w:r>
          </w:p>
        </w:tc>
        <w:tc>
          <w:tcPr>
            <w:tcW w:w="360" w:type="dxa"/>
            <w:vAlign w:val="bottom"/>
          </w:tcPr>
          <w:p>
            <w:pPr>
              <w:spacing w:after="0"/>
              <w:rPr>
                <w:sz w:val="21"/>
                <w:szCs w:val="21"/>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222,880</w:t>
            </w:r>
          </w:p>
        </w:tc>
      </w:tr>
      <w:tr>
        <w:trPr>
          <w:trHeight w:val="270"/>
        </w:trPr>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2,276</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14,901</w:t>
            </w:r>
          </w:p>
        </w:tc>
        <w:tc>
          <w:tcPr>
            <w:tcW w:w="360" w:type="dxa"/>
            <w:vAlign w:val="bottom"/>
          </w:tcPr>
          <w:p>
            <w:pPr>
              <w:spacing w:after="0"/>
              <w:rPr>
                <w:sz w:val="23"/>
                <w:szCs w:val="23"/>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(17,749)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150,812</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52,847</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36,970</w:t>
            </w:r>
          </w:p>
        </w:tc>
        <w:tc>
          <w:tcPr>
            <w:tcW w:w="360" w:type="dxa"/>
            <w:vAlign w:val="bottom"/>
          </w:tcPr>
          <w:p>
            <w:pPr>
              <w:spacing w:after="0"/>
              <w:rPr>
                <w:sz w:val="21"/>
                <w:szCs w:val="21"/>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(17,749)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222,880</w:t>
            </w:r>
          </w:p>
        </w:tc>
      </w:tr>
      <w:tr>
        <w:trPr>
          <w:trHeight w:val="34"/>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51,815</w:t>
            </w:r>
          </w:p>
        </w:tc>
        <w:tc>
          <w:tcPr>
            <w:tcW w:w="4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29,210</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17,450</w:t>
            </w:r>
          </w:p>
        </w:tc>
        <w:tc>
          <w:tcPr>
            <w:tcW w:w="4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(16,418)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82,057</w:t>
            </w:r>
          </w:p>
        </w:tc>
      </w:tr>
      <w:tr>
        <w:trPr>
          <w:trHeight w:val="702"/>
        </w:trPr>
        <w:tc>
          <w:tcPr>
            <w:tcW w:w="3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34,524</w:t>
            </w:r>
          </w:p>
        </w:tc>
        <w:tc>
          <w:tcPr>
            <w:tcW w:w="48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9,902</w:t>
            </w:r>
          </w:p>
        </w:tc>
        <w:tc>
          <w:tcPr>
            <w:tcW w:w="4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3,275</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8,750</w:t>
            </w:r>
          </w:p>
        </w:tc>
        <w:tc>
          <w:tcPr>
            <w:tcW w:w="460" w:type="dxa"/>
            <w:vAlign w:val="bottom"/>
          </w:tcPr>
          <w:p>
            <w:pPr>
              <w:spacing w:after="0"/>
              <w:rPr>
                <w:sz w:val="24"/>
                <w:szCs w:val="24"/>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(1,331)</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55,120</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4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15,110</w:t>
            </w:r>
          </w:p>
        </w:tc>
        <w:tc>
          <w:tcPr>
            <w:tcW w:w="460" w:type="dxa"/>
            <w:vAlign w:val="bottom"/>
          </w:tcPr>
          <w:p>
            <w:pPr>
              <w:spacing w:after="0"/>
              <w:rPr>
                <w:sz w:val="23"/>
                <w:szCs w:val="23"/>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20,386</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31,988</w:t>
            </w:r>
          </w:p>
        </w:tc>
        <w:tc>
          <w:tcPr>
            <w:tcW w:w="480" w:type="dxa"/>
            <w:vAlign w:val="bottom"/>
          </w:tcPr>
          <w:p>
            <w:pPr>
              <w:spacing w:after="0"/>
              <w:rPr>
                <w:sz w:val="23"/>
                <w:szCs w:val="23"/>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11,974</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5,967</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23"/>
                <w:szCs w:val="23"/>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50,154</w:t>
            </w:r>
          </w:p>
        </w:tc>
      </w:tr>
      <w:tr>
        <w:trPr>
          <w:trHeight w:val="34"/>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123,603</w:t>
            </w:r>
          </w:p>
        </w:tc>
        <w:tc>
          <w:tcPr>
            <w:tcW w:w="4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51,086</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26,692</w:t>
            </w:r>
          </w:p>
        </w:tc>
        <w:tc>
          <w:tcPr>
            <w:tcW w:w="4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24,085</w:t>
            </w:r>
          </w:p>
        </w:tc>
        <w:tc>
          <w:tcPr>
            <w:tcW w:w="460" w:type="dxa"/>
            <w:vAlign w:val="bottom"/>
          </w:tcPr>
          <w:p>
            <w:pPr>
              <w:spacing w:after="0"/>
              <w:rPr>
                <w:sz w:val="21"/>
                <w:szCs w:val="21"/>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(17,749)</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207,717</w:t>
            </w:r>
          </w:p>
        </w:tc>
      </w:tr>
      <w:tr>
        <w:trPr>
          <w:trHeight w:val="34"/>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27,209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1,761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10,278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(24,085)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15,163</w:t>
            </w:r>
          </w:p>
        </w:tc>
      </w:tr>
      <w:tr>
        <w:trPr>
          <w:trHeight w:val="27"/>
        </w:trPr>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2">
            <w:col w:w="2900" w:space="220"/>
            <w:col w:w="8280"/>
          </w:cols>
          <w:pgMar w:left="240" w:top="125" w:right="259" w:bottom="144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94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840" w:type="dxa"/>
            <w:vAlign w:val="bottom"/>
            <w:gridSpan w:val="11"/>
          </w:tcPr>
          <w:p>
            <w:pPr>
              <w:spacing w:after="0"/>
              <w:rPr>
                <w:sz w:val="20"/>
                <w:szCs w:val="20"/>
                <w:color w:val="auto"/>
              </w:rPr>
            </w:pPr>
            <w:r>
              <w:rPr>
                <w:rFonts w:ascii="Arial" w:cs="Arial" w:eastAsia="Arial" w:hAnsi="Arial"/>
                <w:sz w:val="18"/>
                <w:szCs w:val="18"/>
                <w:color w:val="auto"/>
                <w:w w:val="91"/>
              </w:rPr>
              <w:t>A reconciliation of the total of the reportable segments’ operating income (loss) to consolidated income (loss) before taxes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6"/>
          </w:tcPr>
          <w:p>
            <w:pPr>
              <w:ind w:left="3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700" w:type="dxa"/>
            <w:vAlign w:val="bottom"/>
            <w:gridSpan w:val="5"/>
          </w:tcPr>
          <w:p>
            <w:pPr>
              <w:jc w:val="center"/>
              <w:ind w:right="3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4"/>
          </w:tcPr>
          <w:p>
            <w:pPr>
              <w:jc w:val="center"/>
              <w:ind w:left="850"/>
              <w:spacing w:after="0"/>
              <w:rPr>
                <w:sz w:val="20"/>
                <w:szCs w:val="20"/>
                <w:color w:val="auto"/>
              </w:rPr>
            </w:pPr>
            <w:r>
              <w:rPr>
                <w:rFonts w:ascii="Arial" w:cs="Arial" w:eastAsia="Arial" w:hAnsi="Arial"/>
                <w:sz w:val="18"/>
                <w:szCs w:val="18"/>
                <w:color w:val="auto"/>
                <w:w w:val="86"/>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consolidated operating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15,163</w:t>
            </w: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(18,489)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Non-operating income, net</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Wireless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1,039,531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1,101,716</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Cable</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225,954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218,471</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Wireline</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123,123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115,282</w:t>
            </w:r>
          </w:p>
        </w:tc>
        <w:tc>
          <w:tcPr>
            <w:tcW w:w="0" w:type="dxa"/>
            <w:vAlign w:val="bottom"/>
          </w:tcPr>
          <w:p>
            <w:pPr>
              <w:spacing w:after="0"/>
              <w:rPr>
                <w:sz w:val="1"/>
                <w:szCs w:val="1"/>
                <w:color w:val="auto"/>
              </w:rPr>
            </w:pPr>
          </w:p>
        </w:tc>
      </w:tr>
      <w:tr>
        <w:trPr>
          <w:trHeight w:val="30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54,391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48,938</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Consolidated totals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1,442,999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2013 are no longer subject to examination; net operating losses acquired in the nTelos acquisition are open to examination from 2002 forward. The Company is not subject to any state or federal income tax audits as of June 30, 2017.</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effective tax rate has fluctuated in recent periods due to the minimal base of pre-tax earnings or losses and has been further impacted by the impact of share based compensation tax benefits which are recognized as incurred under the provisions of ASC 740,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Additionally, the Company's PCS operating subsidiary leases capacity through ValleyNet.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statement impact from related party transactions with ValleyNet (in thousands):</w:t>
      </w:r>
    </w:p>
    <w:p>
      <w:pPr>
        <w:spacing w:after="0" w:line="306"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4"/>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0" w:type="dxa"/>
            <w:vAlign w:val="bottom"/>
          </w:tcPr>
          <w:p>
            <w:pPr>
              <w:spacing w:after="0"/>
              <w:rPr>
                <w:sz w:val="1"/>
                <w:szCs w:val="1"/>
                <w:color w:val="auto"/>
              </w:rPr>
            </w:pPr>
          </w:p>
        </w:tc>
      </w:tr>
      <w:tr>
        <w:trPr>
          <w:trHeight w:val="34"/>
        </w:trPr>
        <w:tc>
          <w:tcPr>
            <w:tcW w:w="3640" w:type="dxa"/>
            <w:vAlign w:val="bottom"/>
            <w:vMerge w:val="restart"/>
          </w:tcPr>
          <w:p>
            <w:pPr>
              <w:spacing w:after="0"/>
              <w:rPr>
                <w:sz w:val="20"/>
                <w:szCs w:val="20"/>
                <w:color w:val="auto"/>
              </w:rPr>
            </w:pPr>
            <w:r>
              <w:rPr>
                <w:rFonts w:ascii="Arial" w:cs="Arial" w:eastAsia="Arial" w:hAnsi="Arial"/>
                <w:sz w:val="18"/>
                <w:szCs w:val="18"/>
                <w:color w:val="auto"/>
              </w:rPr>
              <w:t>Statement of Operations and Comprehensive</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1"/>
        </w:trPr>
        <w:tc>
          <w:tcPr>
            <w:tcW w:w="3640" w:type="dxa"/>
            <w:vAlign w:val="bottom"/>
          </w:tcPr>
          <w:p>
            <w:pPr>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Facility Lease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3640" w:type="dxa"/>
            <w:vAlign w:val="bottom"/>
          </w:tcPr>
          <w:p>
            <w:pPr>
              <w:ind w:left="120"/>
              <w:spacing w:after="0"/>
              <w:rPr>
                <w:sz w:val="20"/>
                <w:szCs w:val="20"/>
                <w:color w:val="auto"/>
              </w:rPr>
            </w:pPr>
            <w:r>
              <w:rPr>
                <w:rFonts w:ascii="Arial" w:cs="Arial" w:eastAsia="Arial" w:hAnsi="Arial"/>
                <w:sz w:val="18"/>
                <w:szCs w:val="18"/>
                <w:color w:val="auto"/>
              </w:rPr>
              <w:t>Costs of Goods and Services</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58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December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640" w:type="dxa"/>
            <w:vAlign w:val="bottom"/>
            <w:vMerge w:val="restart"/>
          </w:tcPr>
          <w:p>
            <w:pPr>
              <w:spacing w:after="0"/>
              <w:rPr>
                <w:sz w:val="20"/>
                <w:szCs w:val="20"/>
                <w:color w:val="auto"/>
              </w:rPr>
            </w:pPr>
            <w:r>
              <w:rPr>
                <w:rFonts w:ascii="Arial" w:cs="Arial" w:eastAsia="Arial" w:hAnsi="Arial"/>
                <w:sz w:val="18"/>
                <w:szCs w:val="18"/>
                <w:color w:val="auto"/>
              </w:rPr>
              <w:t>Consolidated Balance Sheet</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120"/>
              <w:spacing w:after="0"/>
              <w:rPr>
                <w:sz w:val="20"/>
                <w:szCs w:val="20"/>
                <w:color w:val="auto"/>
              </w:rPr>
            </w:pPr>
            <w:r>
              <w:rPr>
                <w:rFonts w:ascii="Arial" w:cs="Arial" w:eastAsia="Arial" w:hAnsi="Arial"/>
                <w:sz w:val="18"/>
                <w:szCs w:val="18"/>
                <w:color w:val="auto"/>
              </w:rPr>
              <w:t>Accounts Receivable related to ValleyNet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120"/>
              <w:spacing w:after="0"/>
              <w:rPr>
                <w:sz w:val="20"/>
                <w:szCs w:val="20"/>
                <w:color w:val="auto"/>
              </w:rPr>
            </w:pPr>
            <w:r>
              <w:rPr>
                <w:rFonts w:ascii="Arial" w:cs="Arial" w:eastAsia="Arial" w:hAnsi="Arial"/>
                <w:sz w:val="18"/>
                <w:szCs w:val="18"/>
                <w:color w:val="auto"/>
              </w:rPr>
              <w:t>Accounts Payable related to ValleyNet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2016. The following management’s discussion and analysis should be read in conjunction with the Company’s Annual Report on Form 10-K for its fiscal year ended December 31, 2016, including the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188" w:lineRule="exact"/>
        <w:rPr>
          <w:sz w:val="20"/>
          <w:szCs w:val="20"/>
          <w:color w:val="auto"/>
        </w:rPr>
      </w:pPr>
    </w:p>
    <w:p>
      <w:pPr>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Wireless segment provides digital wireless service as a Sprint PCS affiliate to a portion of a four-state area covering the region from Harrisburg, York and Altoona, Pennsylvania, to Harrisonburg, Virginia, south-central and western Virginia, West Virginia, and small portions of North Carolina, Kentucky and Ohio. In these areas, we are the exclusive provider of Sprint-branded wireless mobility communications network products and services on the 800 MHz, 1900 MHz and 2.5 GHz bands. This segment also owns cell site towers built on leased land, and leases space on these towers to both affiliates and non-affiliated service providers.</w:t>
      </w:r>
    </w:p>
    <w:p>
      <w:pPr>
        <w:spacing w:after="0" w:line="80"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 fourth segment, Other, primarily includes Shenandoah Telecommunications Company, the parent holding company, and includes corporate costs of executive management, information technology, legal, finance, and human resources. This segment also includes certain acquisition and integration costs primarily consisting of severance accruals for short-term nTelos employees to be separated as integration activities wind down and transaction related expenses such as investment advisor, legal and other professional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Acquisition of nTelos and Exchange with Sprint: </w:t>
      </w:r>
      <w:r>
        <w:rPr>
          <w:rFonts w:ascii="Arial" w:cs="Arial" w:eastAsia="Arial" w:hAnsi="Arial"/>
          <w:sz w:val="18"/>
          <w:szCs w:val="18"/>
          <w:color w:val="auto"/>
        </w:rPr>
        <w:t>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$667.8 million, net of cash acquired. The purchase price was financed by a credit facility arranged by CoBank, ACB. We have included the operations of nTelos for financial reporting purposes for periods subsequent to the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expect to incur approximately $18.3 million of integration and acquisition expenses associated with this transaction in 2017, in addition to the $54.7</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of such costs incurred during 2016. We have incurred $5.4 and $12.5 million of these costs in the three and six months ended June 30,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These costs include $0.4 million reflected in cost of goods and services, $1.3 million reflected in selling, general and administrative costs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reflected in integration and acquisition in the three month period ended June 30, 2017. These costs include $1.2 million reflected in cost of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services, $3.1 million reflected in selling, general and administrative and $8.2 million reflected in integration and acquisition costs in the six month period ended June 30, 2017. In addition to the approximately $73 million of incurred and expected expenses described above, we also incurred approximately $28 million of debt issuance, legal and other costs in 2015 and 2016 relating to this transaction, for a total expected cost of $101 million.</w:t>
      </w:r>
    </w:p>
    <w:p>
      <w:pPr>
        <w:spacing w:after="0" w:line="14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Acquisition of Expansion Area: </w:t>
      </w:r>
      <w:r>
        <w:rPr>
          <w:rFonts w:ascii="Arial" w:cs="Arial" w:eastAsia="Arial" w:hAnsi="Arial"/>
          <w:sz w:val="16"/>
          <w:szCs w:val="16"/>
          <w:color w:val="auto"/>
        </w:rPr>
        <w:t>On April 6, 2017, we expanded our affiliate service territory, under our agreements with Sprint, to include certain areas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 Carolina, Kentucky, Maryland, Ohio and West Virginia. The expanded territory covers the Parkersburg, WV, Huntington, WV and Cumberland, MD basic trading areas. Approximately 25,000 Sprint retail and former nTelos postpaid and prepaid subscribers in the new basic trading areas will become Sprint-branded affiliate customers managed by us. We have authorization to serve over 6 million POPs in the mid-Atlantic region as a Sprint PCS Affiliate following this expansion. We plan to invest approximately $32 million over the next three years to upgrade and expand the existing wireless network coverage in those regions. Once the expansion is complete, our plan is to open multiple Sprint-branded retail locations in the new area.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with the Three Months Ended June 30,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second quarter of 2017 and 2016 are summarized as follows: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ind w:left="54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color w:val="auto"/>
              </w:rPr>
              <w:t>June 30,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4"/>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466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153,258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130,309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22,949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145,006</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136,459</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8,547</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8,252</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14,402</w:t>
            </w:r>
          </w:p>
        </w:tc>
        <w:tc>
          <w:tcPr>
            <w:tcW w:w="110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(9,389)</w:t>
            </w:r>
          </w:p>
        </w:tc>
        <w:tc>
          <w:tcPr>
            <w:tcW w:w="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(3,485)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1,297</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1,130</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676.6</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12,047</w:t>
            </w: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5,132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6,915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three months ended June 30, 2017, operating revenues increased $22.9 million, or 17.6%. Wireless segment revenues increased $19.8 million compared to the second quarter of 2016; nearly all of this increase was a result of the acquisition of nTelos on May 6, 2016. Cable segment revenues grew $3.2 million primarily as a result of 1.1% growth in average subscriber counts and an increase in revenue per subscriber. Wireline segment revenues increased $1.0 million, primarily due to increases in fiber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Total operating expenses increased $8.5 million or 6.3% to $145.0 million in the three months ended June 30, 2017 compared with $136.5 million in the prior year period. The increase in operating expenses was consistent with the growth that occurred in operating revenues, and was partially offset by a decrease of approximately $16.5 million of integration and acquisition costs.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Integration and acquisition costs in the Wireless segment primarily consisted of handsets provided to nTelos subscribers who needed a new phone to transition to the Sprint billing platform, and personnel costs associated with nTelos employees retained on a short-term basis who were necessary in the efforts required to migrate former nTelos customers to the Sprint back-office billing platform. In the Other segment, such costs primarily consisted of transaction-related expenses such as legal, severance and other professional fees. Acquisition and integration costs were $5.4 million for the three months ended June 30, 2017, and were comprised of $0.4 million classified as cost of goods and services, $1.3 million classified as Selling, general and administrative, and $3.7 million classified as integration and acquisition; whereas acquisition and integration costs for the three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months ended June 30, 2016 were $22.4 million, and were comprised of $0.3 million classified as cost of goods and services, $2.0 million classified as selling, general and administrative, and $20.1 million classified as integration and acquisition. We expect integration and acquisition costs related to the nTelos acquisition to decrease as integration activities wind down.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months ended June 30, 2017 compared with the three months ended June 30, 2016, excluding integration and acquisition costs, the Wireless segment operating expenses increased $21.9 million primarily due to on-going costs associated with the acquired nTelos operations including $12.1 million of incremental depreciation and amortization. Cable segment operating expenses increased $0.6 million, primarily due to expansion of network services. All other operating expenses increased $3.0 million, net of eliminations of intersegment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has increased primarily as a result of the incremental borrowings associated with closing the nTelos acquisition and the effect of increases in the London Interbank Offered Rate in late 2016 and during 2017. The impact of the interest rate increases has been partially offset by a swap that covers 50% of the outstanding principal under the new debt. Other changes include increased debt cost amortization reflecting the incremental costs of entering into the new debt, partially offset by increased capitalization of interest to capital projects.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has increased $1.1 million primarily as a result of interest income derived from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June 30, 2017, income tax expense increased by approximately $5.1 million, compared with the three months ended June 30, 2016. The increase is consistent with our growth in income before taxes and was partially offset by $0.5 million attributable to acquisition related deferred tax adjustments.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with the Six Months Ended June 30,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six months of 2017 and 2016 are summarized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Six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2"/>
          </w:tcPr>
          <w:p>
            <w:pPr>
              <w:jc w:val="right"/>
              <w:ind w:right="27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1120" w:type="dxa"/>
            <w:vAlign w:val="bottom"/>
          </w:tcPr>
          <w:p>
            <w:pPr>
              <w:spacing w:after="0"/>
              <w:rPr>
                <w:sz w:val="20"/>
                <w:szCs w:val="20"/>
                <w:color w:val="auto"/>
              </w:rPr>
            </w:pPr>
          </w:p>
        </w:tc>
      </w:tr>
      <w:tr>
        <w:trPr>
          <w:trHeight w:val="34"/>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64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4"/>
              </w:rPr>
              <w:t>2016</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307,138</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222,880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90"/>
              <w:spacing w:after="0"/>
              <w:rPr>
                <w:sz w:val="20"/>
                <w:szCs w:val="20"/>
                <w:color w:val="auto"/>
              </w:rPr>
            </w:pPr>
            <w:r>
              <w:rPr>
                <w:rFonts w:ascii="Arial" w:cs="Arial" w:eastAsia="Arial" w:hAnsi="Arial"/>
                <w:sz w:val="18"/>
                <w:szCs w:val="18"/>
                <w:color w:val="auto"/>
              </w:rPr>
              <w:t>84,258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w:t>
            </w:r>
          </w:p>
        </w:tc>
      </w:tr>
      <w:tr>
        <w:trPr>
          <w:trHeight w:val="304"/>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288,213</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207,717</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80,496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18,925</w:t>
            </w: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color w:val="auto"/>
              </w:rPr>
              <w:t>3,762</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24.8</w:t>
            </w:r>
          </w:p>
        </w:tc>
      </w:tr>
      <w:tr>
        <w:trPr>
          <w:trHeight w:val="594"/>
        </w:trPr>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(18,489)</w:t>
            </w: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(10,965)</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145.7</w:t>
            </w:r>
          </w:p>
        </w:tc>
      </w:tr>
      <w:tr>
        <w:trPr>
          <w:trHeight w:val="304"/>
        </w:trPr>
        <w:tc>
          <w:tcPr>
            <w:tcW w:w="464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2,672</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1,949</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269.6</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Income before taxes</w:t>
            </w: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3,108</w:t>
            </w: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(5,254)</w:t>
            </w: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847</w:t>
            </w:r>
          </w:p>
        </w:tc>
        <w:tc>
          <w:tcPr>
            <w:tcW w:w="6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(630)</w:t>
            </w: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2,261</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(4,624)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six months ended June 30, 2017, operating revenues increased $84.3 million, or 37.8%. Wireless segment revenues increased $78.8 million compared to the first six months of 2016; nearly all of this increase was a result of the acquisition of nTelos on May 6, 2016. Cable segment revenues grew $5.7 million primarily as a result of 1.1% growth in average subscriber counts and an increase in revenue per subscriber. Wireline segment revenues increased $1.8 million, net of eliminations and intersegment activities, primarily due to increases in fiber sales.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operating expenses increased $80.5 million or 38.8% to $288.2 million in the six months ended June 30, 2017 compared with $207.7 million in the prior year period. The increase in operating expenses was consistent with the growth that occurred in operating revenues, and was partially offset by a decrease of approximately $10.3 million in integration and acquisition costs.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Integration and acquisition costs were $12.5 million for the six months ended June 30, 2017, and were comprised of $1.2 million classified as cost of goods and services, $3.1 million classified as selling, general and administrative, and $8.2 million classified as integration and acquisition; whereas acquisition and integration costs for the six months ended June 30, 2016 were $22.7 million, and were comprised of $0.3 million classified as cost of goods and services, $2.0 million classified as selling, general and administrative, and $20.4 million classified as integration and acquisition. We expect integration and acquisition costs related to the nTelos acquisition to decrease as integration activities wind down.</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Excluding integration and acquisition costs the Wireless segment operating expenses increased $87.9 million primarily due to on-going costs associated with the nTelos operations that were acquired on May 6, 2016, including $39.5 million of incremental depreciation and amortization. All other operating expenses increased $2.8 million, net of eliminations of intersegment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During the six months ended June 30, 2017, income tax expense decreased by approximately $0.6 million, compared with the six months ended June 30, 2016. The decrease is consistent with our change in income before taxes and included a decrease of $0.5 million of acquisition related deferred tax adjustments, offset by $1.3 million attributable to excess tax benefits that are derived from exercises of stock options and vesting of restricted stock.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Wireless segment provides digital wireless service as a Sprint PCS affiliate to a portion of a four-state area covering the region from Harrisburg, York and Altoona, Pennsylvania, to Harrisonburg, Virginia, south-central and western Virginia, West Virginia, and portions of Maryland, North Carolina, Kentucky and Ohio. This segment also leases land on which it builds Company-owned cell towers, which it leases to affiliates and non-affiliated wireless service providers, throughout the same multi-state area described above.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receive revenues from Sprint for subscribers that obtain service in our network coverage area. We rely on Sprint to provide timely, accurate and complete information to record the appropriate revenue for each financial period. Postpaid revenues received from Sprint are recorded net of certain fees retained by Sprint. Since January 1, 2016, the fees retained by Sprint are 16.6%, and certain revenue and expense items previously included in these fees became separately settled.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also offer prepaid wireless products and services in our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show selected operating statistics of the Wireless segment, including the effects of the nTelos acquisition and the exchange with Sprint on May 6, 2016 and the acquisition of expansion area on April 6, 2017, as of the dates shown: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27"/>
        </w:trPr>
        <w:tc>
          <w:tcPr>
            <w:tcW w:w="400" w:type="dxa"/>
            <w:vAlign w:val="bottom"/>
            <w:tcBorders>
              <w:top w:val="single" w:sz="8" w:color="0000EE"/>
            </w:tcBorders>
          </w:tcPr>
          <w:p>
            <w:pPr>
              <w:spacing w:after="0"/>
              <w:rPr>
                <w:sz w:val="24"/>
                <w:szCs w:val="24"/>
                <w:color w:val="auto"/>
              </w:rPr>
            </w:pPr>
          </w:p>
        </w:tc>
        <w:tc>
          <w:tcPr>
            <w:tcW w:w="4380" w:type="dxa"/>
            <w:vAlign w:val="bottom"/>
          </w:tcPr>
          <w:p>
            <w:pPr>
              <w:spacing w:after="0"/>
              <w:rPr>
                <w:sz w:val="24"/>
                <w:szCs w:val="24"/>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June 30,</w:t>
            </w: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ind w:left="420"/>
              <w:spacing w:after="0"/>
              <w:rPr>
                <w:sz w:val="20"/>
                <w:szCs w:val="20"/>
                <w:color w:val="auto"/>
              </w:rPr>
            </w:pPr>
            <w:r>
              <w:rPr>
                <w:rFonts w:ascii="Arial" w:cs="Arial" w:eastAsia="Arial" w:hAnsi="Arial"/>
                <w:sz w:val="18"/>
                <w:szCs w:val="18"/>
                <w:color w:val="auto"/>
              </w:rPr>
              <w:t>June 30,</w:t>
            </w:r>
          </w:p>
        </w:tc>
        <w:tc>
          <w:tcPr>
            <w:tcW w:w="15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w w:val="92"/>
              </w:rPr>
              <w:t>December 31, 2015</w:t>
            </w:r>
          </w:p>
        </w:tc>
      </w:tr>
      <w:tr>
        <w:trPr>
          <w:trHeight w:val="34"/>
        </w:trPr>
        <w:tc>
          <w:tcPr>
            <w:tcW w:w="4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Retail PCS Subscribers – Postpaid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732,664</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722,562</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717,563</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312,512</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Retail PCS Subscribers – Prepaid (1)</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246,800</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236,138</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289,311</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142,840</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PCS Market POPS (000) (2)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6,047</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2,433</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PCS Covered POPS (000) (2)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5,137</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2,224</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CDMA Base Stations (sites)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Towers Owned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Non-affiliate Cell Site Leases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142"/>
        </w:trPr>
        <w:tc>
          <w:tcPr>
            <w:tcW w:w="4780" w:type="dxa"/>
            <w:vAlign w:val="bottom"/>
            <w:gridSpan w:val="2"/>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ind w:left="660" w:right="8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Prepaid subscribers reported in the December 2016 and subsequent periods include the impact of a change in the Company's policy as to how long an inactive customer is included in the customer counts. This policy change, implemented in December 2016, effectively reduced prepaid customers by approximately 24 thousand.</w:t>
      </w:r>
    </w:p>
    <w:p>
      <w:pPr>
        <w:ind w:left="660" w:right="1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260" w:type="dxa"/>
            <w:vAlign w:val="bottom"/>
            <w:gridSpan w:val="3"/>
          </w:tcPr>
          <w:p>
            <w:pPr>
              <w:ind w:left="820"/>
              <w:spacing w:after="0"/>
              <w:rPr>
                <w:sz w:val="20"/>
                <w:szCs w:val="20"/>
                <w:color w:val="auto"/>
              </w:rPr>
            </w:pPr>
            <w:r>
              <w:rPr>
                <w:rFonts w:ascii="Arial" w:cs="Arial" w:eastAsia="Arial" w:hAnsi="Arial"/>
                <w:sz w:val="18"/>
                <w:szCs w:val="18"/>
                <w:color w:val="auto"/>
              </w:rPr>
              <w:t>Three Months Ended</w:t>
            </w:r>
          </w:p>
        </w:tc>
        <w:tc>
          <w:tcPr>
            <w:tcW w:w="3160" w:type="dxa"/>
            <w:vAlign w:val="bottom"/>
            <w:gridSpan w:val="2"/>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230"/>
        </w:trPr>
        <w:tc>
          <w:tcPr>
            <w:tcW w:w="5000" w:type="dxa"/>
            <w:vAlign w:val="bottom"/>
          </w:tcPr>
          <w:p>
            <w:pPr>
              <w:spacing w:after="0"/>
              <w:rPr>
                <w:sz w:val="20"/>
                <w:szCs w:val="20"/>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June 30,</w:t>
            </w:r>
          </w:p>
        </w:tc>
        <w:tc>
          <w:tcPr>
            <w:tcW w:w="1100" w:type="dxa"/>
            <w:vAlign w:val="bottom"/>
          </w:tcPr>
          <w:p>
            <w:pPr>
              <w:spacing w:after="0"/>
              <w:rPr>
                <w:sz w:val="20"/>
                <w:szCs w:val="20"/>
                <w:color w:val="auto"/>
              </w:rPr>
            </w:pPr>
          </w:p>
        </w:tc>
      </w:tr>
      <w:tr>
        <w:trPr>
          <w:trHeight w:val="34"/>
        </w:trPr>
        <w:tc>
          <w:tcPr>
            <w:tcW w:w="50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spacing w:after="0"/>
              <w:rPr>
                <w:sz w:val="21"/>
                <w:szCs w:val="21"/>
                <w:color w:val="auto"/>
              </w:rPr>
            </w:pPr>
          </w:p>
        </w:tc>
        <w:tc>
          <w:tcPr>
            <w:tcW w:w="2040" w:type="dxa"/>
            <w:vAlign w:val="bottom"/>
          </w:tcPr>
          <w:p>
            <w:pPr>
              <w:jc w:val="right"/>
              <w:ind w:right="1010"/>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060" w:type="dxa"/>
            <w:vAlign w:val="bottom"/>
          </w:tcPr>
          <w:p>
            <w:pPr>
              <w:jc w:val="right"/>
              <w:ind w:right="1030"/>
              <w:spacing w:after="0"/>
              <w:rPr>
                <w:sz w:val="20"/>
                <w:szCs w:val="20"/>
                <w:color w:val="auto"/>
              </w:rPr>
            </w:pPr>
            <w:r>
              <w:rPr>
                <w:rFonts w:ascii="Arial" w:cs="Arial" w:eastAsia="Arial" w:hAnsi="Arial"/>
                <w:sz w:val="18"/>
                <w:szCs w:val="18"/>
                <w:color w:val="auto"/>
              </w:rPr>
              <w:t>2017</w:t>
            </w: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2016</w:t>
            </w:r>
          </w:p>
        </w:tc>
      </w:tr>
      <w:tr>
        <w:trPr>
          <w:trHeight w:val="34"/>
        </w:trPr>
        <w:tc>
          <w:tcPr>
            <w:tcW w:w="50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2040" w:type="dxa"/>
            <w:vAlign w:val="bottom"/>
          </w:tcPr>
          <w:p>
            <w:pPr>
              <w:jc w:val="right"/>
              <w:ind w:right="630"/>
              <w:spacing w:after="0"/>
              <w:rPr>
                <w:sz w:val="20"/>
                <w:szCs w:val="20"/>
                <w:color w:val="auto"/>
              </w:rPr>
            </w:pPr>
            <w:r>
              <w:rPr>
                <w:rFonts w:ascii="Arial" w:cs="Arial" w:eastAsia="Arial" w:hAnsi="Arial"/>
                <w:sz w:val="18"/>
                <w:szCs w:val="18"/>
                <w:color w:val="auto"/>
              </w:rPr>
              <w:t>40,408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26,185</w:t>
            </w:r>
          </w:p>
        </w:tc>
        <w:tc>
          <w:tcPr>
            <w:tcW w:w="100" w:type="dxa"/>
            <w:vAlign w:val="bottom"/>
          </w:tcPr>
          <w:p>
            <w:pPr>
              <w:spacing w:after="0"/>
              <w:rPr>
                <w:sz w:val="21"/>
                <w:szCs w:val="21"/>
                <w:color w:val="auto"/>
              </w:rPr>
            </w:pP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79,109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43,541</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Net PCS Subscriber Additions (Losses) – Postpaid</w:t>
            </w: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(3,450)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3"/>
                <w:szCs w:val="23"/>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(7,603)</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1,400</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Gross PCS Subscriber Additions – Prepaid</w:t>
            </w:r>
          </w:p>
        </w:tc>
        <w:tc>
          <w:tcPr>
            <w:tcW w:w="2040" w:type="dxa"/>
            <w:vAlign w:val="bottom"/>
          </w:tcPr>
          <w:p>
            <w:pPr>
              <w:jc w:val="right"/>
              <w:ind w:right="630"/>
              <w:spacing w:after="0"/>
              <w:rPr>
                <w:sz w:val="20"/>
                <w:szCs w:val="20"/>
                <w:color w:val="auto"/>
              </w:rPr>
            </w:pPr>
            <w:r>
              <w:rPr>
                <w:rFonts w:ascii="Arial" w:cs="Arial" w:eastAsia="Arial" w:hAnsi="Arial"/>
                <w:sz w:val="18"/>
                <w:szCs w:val="18"/>
                <w:color w:val="auto"/>
              </w:rPr>
              <w:t>38,203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27,353</w:t>
            </w:r>
          </w:p>
        </w:tc>
        <w:tc>
          <w:tcPr>
            <w:tcW w:w="100" w:type="dxa"/>
            <w:vAlign w:val="bottom"/>
          </w:tcPr>
          <w:p>
            <w:pPr>
              <w:spacing w:after="0"/>
              <w:rPr>
                <w:sz w:val="23"/>
                <w:szCs w:val="23"/>
                <w:color w:val="auto"/>
              </w:rPr>
            </w:pP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80,394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48,584</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Net PCS Subscriber Additions (Losses) – Prepaid</w:t>
            </w: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(2,719)</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3"/>
                <w:szCs w:val="23"/>
                <w:color w:val="auto"/>
              </w:rPr>
            </w:pP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4,539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(7,213)</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PCS Average Monthly Retail Churn % - Postpaid (1)</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2.00%</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2.02%</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PCS Average Monthly Retail Churn % - Prepaid (1) (2)</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5.49%</w:t>
            </w: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3"/>
                <w:szCs w:val="23"/>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5.18%</w:t>
            </w: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142"/>
        </w:trPr>
        <w:tc>
          <w:tcPr>
            <w:tcW w:w="50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PCS Average Monthly Retail Churn is the average of the monthly subscriber turnover, or churn, calculations for the period.</w:t>
      </w:r>
    </w:p>
    <w:p>
      <w:pPr>
        <w:spacing w:after="0" w:line="1" w:lineRule="exact"/>
        <w:rPr>
          <w:rFonts w:ascii="Arial" w:cs="Arial" w:eastAsia="Arial" w:hAnsi="Arial"/>
          <w:sz w:val="14"/>
          <w:szCs w:val="14"/>
          <w:color w:val="auto"/>
        </w:rPr>
      </w:pPr>
    </w:p>
    <w:p>
      <w:pPr>
        <w:ind w:left="660" w:right="120" w:hanging="328"/>
        <w:spacing w:after="0" w:line="246"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losses of prepaid customers in Q2’17 largely relate to government recertification requirements for customers renewing their eligibility for the government subsidized Assurance Lifeline program offered by Assurance Wireless ("Assurance"), a lifeline cell phone provider affiliated with Sprint. Churn in the Assurance program increased by approximately 4,300 deactivations as a result of recertification activity during the quarter. Excluding the impact of this activity, prepaid churn would have been 4.91% for both the three-month and six-month periods ended 6/30/17.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 numbers shown above include the following:</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60" w:type="dxa"/>
            <w:vAlign w:val="bottom"/>
          </w:tcPr>
          <w:p>
            <w:pPr>
              <w:spacing w:after="0"/>
              <w:rPr>
                <w:sz w:val="24"/>
                <w:szCs w:val="2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 2017</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30, 2016</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Acquired with acquisition</w:t>
            </w: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Acquired with</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 Expansion Area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acquisition of nTelos</w:t>
            </w:r>
          </w:p>
        </w:tc>
        <w:tc>
          <w:tcPr>
            <w:tcW w:w="0" w:type="dxa"/>
            <w:vAlign w:val="bottom"/>
          </w:tcPr>
          <w:p>
            <w:pPr>
              <w:spacing w:after="0"/>
              <w:rPr>
                <w:sz w:val="1"/>
                <w:szCs w:val="1"/>
                <w:color w:val="auto"/>
              </w:rPr>
            </w:pPr>
          </w:p>
        </w:tc>
      </w:tr>
      <w:tr>
        <w:trPr>
          <w:trHeight w:val="34"/>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Acquired PCS Subscribers - Postpaid</w:t>
            </w:r>
          </w:p>
        </w:tc>
        <w:tc>
          <w:tcPr>
            <w:tcW w:w="2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vMerge w:val="continue"/>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404,444</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Acquired PCS Subscribers - Prepaid</w:t>
            </w:r>
          </w:p>
        </w:tc>
        <w:tc>
          <w:tcPr>
            <w:tcW w:w="2040" w:type="dxa"/>
            <w:vAlign w:val="bottom"/>
          </w:tcPr>
          <w:p>
            <w:pPr>
              <w:jc w:val="right"/>
              <w:spacing w:after="0"/>
              <w:rPr>
                <w:sz w:val="20"/>
                <w:szCs w:val="20"/>
                <w:color w:val="auto"/>
              </w:rPr>
            </w:pPr>
            <w:r>
              <w:rPr>
                <w:rFonts w:ascii="Arial" w:cs="Arial" w:eastAsia="Arial" w:hAnsi="Arial"/>
                <w:sz w:val="18"/>
                <w:szCs w:val="18"/>
                <w:color w:val="auto"/>
              </w:rPr>
              <w:t>5,962</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154,944</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Acquired PCS Market POPS (000) (1)</w:t>
            </w:r>
          </w:p>
        </w:tc>
        <w:tc>
          <w:tcPr>
            <w:tcW w:w="2040" w:type="dxa"/>
            <w:vAlign w:val="bottom"/>
          </w:tcPr>
          <w:p>
            <w:pPr>
              <w:jc w:val="right"/>
              <w:spacing w:after="0"/>
              <w:rPr>
                <w:sz w:val="20"/>
                <w:szCs w:val="20"/>
                <w:color w:val="auto"/>
              </w:rPr>
            </w:pPr>
            <w:r>
              <w:rPr>
                <w:rFonts w:ascii="Arial" w:cs="Arial" w:eastAsia="Arial" w:hAnsi="Arial"/>
                <w:sz w:val="18"/>
                <w:szCs w:val="18"/>
                <w:color w:val="auto"/>
              </w:rPr>
              <w:t>510,638</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Acquired PCS Covered POPS (000) (1)</w:t>
            </w:r>
          </w:p>
        </w:tc>
        <w:tc>
          <w:tcPr>
            <w:tcW w:w="2040" w:type="dxa"/>
            <w:vAlign w:val="bottom"/>
          </w:tcPr>
          <w:p>
            <w:pPr>
              <w:jc w:val="right"/>
              <w:spacing w:after="0"/>
              <w:rPr>
                <w:sz w:val="20"/>
                <w:szCs w:val="20"/>
                <w:color w:val="auto"/>
              </w:rPr>
            </w:pPr>
            <w:r>
              <w:rPr>
                <w:rFonts w:ascii="Arial" w:cs="Arial" w:eastAsia="Arial" w:hAnsi="Arial"/>
                <w:sz w:val="18"/>
                <w:szCs w:val="18"/>
                <w:color w:val="auto"/>
              </w:rPr>
              <w:t>243,678</w:t>
            </w:r>
          </w:p>
        </w:tc>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Acquired CDMA Base Stations (sites) (2)</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Towers</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1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of approximately 100 overlap sites we intended to shut down following our May 6, 2016 acquisition of nTelos. As of June 30, 2017 we have shut down 96 overlap sites.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60" w:type="dxa"/>
            <w:vAlign w:val="bottom"/>
            <w:gridSpan w:val="4"/>
          </w:tcPr>
          <w:p>
            <w:pPr>
              <w:spacing w:after="0"/>
              <w:rPr>
                <w:sz w:val="20"/>
                <w:szCs w:val="20"/>
                <w:color w:val="auto"/>
              </w:rPr>
            </w:pPr>
            <w:r>
              <w:rPr>
                <w:rFonts w:ascii="Arial" w:cs="Arial" w:eastAsia="Arial" w:hAnsi="Arial"/>
                <w:sz w:val="18"/>
                <w:szCs w:val="18"/>
                <w:b w:val="1"/>
                <w:bCs w:val="1"/>
                <w:color w:val="auto"/>
                <w:w w:val="95"/>
              </w:rPr>
              <w:t>Three Months Ended June 30, 2017 Compared with the Three Months Ended June 30, 2016</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107,681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86,873</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20,808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2,861</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49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2,779</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114,133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94,294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19,839</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38,469</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35,236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3,233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6"/>
        </w:trPr>
        <w:tc>
          <w:tcPr>
            <w:tcW w:w="6080" w:type="dxa"/>
            <w:vAlign w:val="bottom"/>
            <w:gridSpan w:val="2"/>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29,637</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6,627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4,124</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(1,152)</w:t>
            </w: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35,551</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23,495</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12,056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107,781</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87,017</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20,764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6,352</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Wireless service revenue increased $20.8 million, or 24.0%, for the three months ended June 30, 2017, compared with the June 30, 2016, period. The table below provides additional detail regarding the growth that occurred in service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80" w:type="dxa"/>
            <w:vAlign w:val="bottom"/>
          </w:tcPr>
          <w:p>
            <w:pPr>
              <w:ind w:left="180"/>
              <w:spacing w:after="0" w:line="283"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93,722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75,219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18,503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net service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68,697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Prepaid net billings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Gross billings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6080" w:type="dxa"/>
            <w:vAlign w:val="bottom"/>
          </w:tcPr>
          <w:p>
            <w:pPr>
              <w:ind w:left="180"/>
              <w:spacing w:after="0"/>
              <w:rPr>
                <w:sz w:val="20"/>
                <w:szCs w:val="20"/>
                <w:color w:val="auto"/>
              </w:rPr>
            </w:pPr>
            <w:r>
              <w:rPr>
                <w:rFonts w:ascii="Arial" w:cs="Arial" w:eastAsia="Arial" w:hAnsi="Arial"/>
                <w:sz w:val="18"/>
                <w:szCs w:val="18"/>
                <w:color w:val="auto"/>
              </w:rPr>
              <w:t>Travel and other revenues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Amortization of expanded affiliate agreement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Straight-line adjustment - management fee waiver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107,681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86,873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20,808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120" w:hanging="328"/>
        <w:spacing w:after="0" w:line="257" w:lineRule="auto"/>
        <w:tabs>
          <w:tab w:leader="none" w:pos="5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08"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changes in Wireless segment service revenues shown in the table above are primarily due to the May 6, 2016 acquisition of nTelos. Postpaid subscribers have increased by approximately 15 thousand from June 30, 2016 to June 30, 2017, including approximately 17 thousand subscribers obtained with the acquisition of the Expansion Area. Sprint fees include a management fee of 8% of total post-paid net billings and a net service fee of 8.6% of net billings from the Sprint billing system. The net service fee has grown as a result of migrating additional nTelos acquired subscribers to the Sprint billing system and growth in total subscribers. Prepaid subscribers have decreased by approximately 42 thousand over the same time period. The drop in prepaid subscribers includes the impact of a change in our policy as to how long an inactive customer is included in the customer counts. It also includes a decrease of 4,400 prepaid customers as a result of the government's requiring Assurance customers to meet more stringent qualification criteria. This policy change, implemented in December 2016 effectively reduced prepaid customers by approximately 24 thousand.</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subscribers acquired as a result of the acquisition, we recorded an asset related to the changes to the Sprint affiliate agreement, including the right to serve new subscribers in the nTelos footprint, as previously described. That asset is being amortized through the expiration of the current initial term of that contract in 2029 and, as a result, we recorded $5.3 million in amortization as a contra revenue item in the second quarter of 2017. Sprint agreed to waive certain management fees that they would otherwise be entitled to under the affiliate agreement in exchange for our commitment to buy nTelos, upgrade its network and support the former nTelos and Sprint customers. The fees waived are being recognized on a straight-line basis, offsetting operating revenues, over the remainder of the initial term of the contract through 2029 and, as a result, we recorded an adjustment of $4.4 million in the second quarter of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related to billings to customers before migration to the Sprint billing system, whereas Sprint retains the billing and related expenses and liabilities under our affiliate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of goods and services increased $3.2 million, or 9.2%, in the second quarter of 2017 compared with the second quarter of 2016. The increase results primarily from increases in cell site rent, power, maintenance and backhaul costs for the incremental 868 cell sites in the nTelos territory of $7.1 million, as well as the related growth in the cost of agreements to service and maintain these sites of $1.3 million, and was offset by lower cost of handsets and end user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costs increased $6.6 million, or 28.8%, in the second quarter of 2017 from the comparable 2016 period, primarily due to the May 6, 2016 acquisition of nTelos. Increases include $1.9 million of incremental separately settled third party channel commissions, $1.3 million in incremental advertising and marketing campaigns, and $0.4 million in other administrative costs. Costs associated with prepaid wireless offerings increased $3.0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Integration and acquisition expenses of $4.1 million in the second quarter of 2017 include approximately $3.7 million for replacement handsets issued to former nTelos subscribers migrated to the Sprint billing platform and $0.4 million in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increased $12.1 million, or 51.3%, in the second quarter of 2017 over the comparable 2016 period, due primarily to $13.1 million in incremental depreciation derived from the May 6, 2016 acquisition of nTelos, which was partially offset by a decrease of $1.0 million in amortization of customer based intangibles recorded in the acquisition. Amortization of customer based intangibles is based on a pattern-of-benefits approach that warranted the use of a declining balance amortization method.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with the Six Months Ended June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215,867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139,052</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76,815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229,596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150,812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78,784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76,788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51,815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24,973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58,101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34,524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71,303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31,988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39,315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214,108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123,603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90,505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27,209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Wireless service revenue increased $76.8 million, or 55.2%, for the six months ended June 30, 2017, compared to the six months ended June 30, 2016, detailed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80" w:type="dxa"/>
            <w:vAlign w:val="bottom"/>
          </w:tcPr>
          <w:p>
            <w:pPr>
              <w:ind w:left="180"/>
              <w:spacing w:after="0" w:line="283"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186,711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120,857</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65,854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net service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14,987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Prepaid net billings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Gross billings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33,587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6080" w:type="dxa"/>
            <w:vAlign w:val="bottom"/>
          </w:tcPr>
          <w:p>
            <w:pPr>
              <w:ind w:left="180"/>
              <w:spacing w:after="0"/>
              <w:rPr>
                <w:sz w:val="20"/>
                <w:szCs w:val="20"/>
                <w:color w:val="auto"/>
              </w:rPr>
            </w:pPr>
            <w:r>
              <w:rPr>
                <w:rFonts w:ascii="Arial" w:cs="Arial" w:eastAsia="Arial" w:hAnsi="Arial"/>
                <w:sz w:val="18"/>
                <w:szCs w:val="18"/>
                <w:color w:val="auto"/>
              </w:rPr>
              <w:t>Travel and other revenues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Amortization of expanded affiliate agreement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Straight-line adjustment - management fee waiver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215,867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139,052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40" w:hanging="328"/>
        <w:spacing w:after="0" w:line="255" w:lineRule="auto"/>
        <w:tabs>
          <w:tab w:leader="none" w:pos="4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Effective May 6, 2016, we acquired approximately 404,000 postpaid and 155,000 prepaid subscribers through our acquisition of nTelos. This acquisition and other changes to the postpaid customer gross additions and churn, outlined in the tables above, resulted in an increase of $65.9 million or 54.5% in postpaid net billings. Sprint fees include a management fee of 8% of total post-paid net billings and a net service fee of 8.6% of net billings from the Sprint billing system. The net service fee has grown as a result of migrating additional nTelos acquired subscribers to the Sprint billing system and growth in total subscribers. Travel revenues grew by $5.0 million as a result of the nTelos acquisition. Prepaid net billings grew by $19.5 million or 59.8% as a result of the growth in the customer base related to the nTelos acquisition and other changes in gross additions and churn outlined in the tables above.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subscribers acquired as a result of the acquisition, we recorded an asset related to the changes to the Sprint affiliate agreement, including the right to serve new subscribers in the nTelos footprint, as previously described. That asset is being amortized through the expiration of the current initial term of that contract in 2029 and, as a result, we recorded $10.3 million in amortization as a contra revenue item for the six months ended June 30, 2017. Sprint agreed to waive certain management fees that they would otherwise be entitled to under the affiliate agreement in exchange for our commitment to buy nTelos, upgrade its network and support the former nTelos and Sprint customers. The fees waived are being recognized on a straight-line basis, offsetting operating revenues, over the remainder of the initial term of the contract through 2029 and, as a result, we recorded an adjustment of $8.6 million for the six months ended June 30,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recognized by nTelos, whereas historically Sprint has recognized such revenues billed to customers in our service area. As migration of nTelos customers is completed we expect regulatory recovery revenues to decrease as Sprint will recognize such revenues billed to migrated customers in our service area.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 of goods and services increased $25.0 million, or 48.2%, in 2017 from the first half of 2016. The increase results from increases in cell site rent and backhaul costs for the incremental cell sites in the nTelos territory of $25.9 million, as well as the related growth in the cost of service agreements to maintain these sites of $4.4 million and was partially offset by declines in costs of new national handsets settled separately under the affiliate agreement and end user equipment of $5.4 million. Cost of goods and services also included $0.4 million of costs to support nTelos legacy billing operations until customers migrate to Sprint’s back-office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Selling, general and administrative costs increased $23.6 million, or 68.3%, in the six months ended June 30, 2017 from the comparable 2016 period. This increase included $5.0 million of separately settled third party channel commissions; $0.8 million from the operating costs of incremental stores acquired as a result of the nTelos acquisition; $7.1 million in incremental sales and marketing campaigns. Costs associated with prepaid wireless offerings increased $7.7 million. Selling, general and administrative costs also included incremental costs of $1.3 million to support nTelos legacy billing operations until customers migrate to Sprint’s billing platform. Administrative costs, necessary to support our growth and expansion increased $1.6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Integration and acquisition expenses of $7.9 million incurred during the six months ended June 30, 2017, include approximately $7.4 million for replacement handsets issued to former nTelos subscribers when migrating to the Sprint billing platform and $0.5 million in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Depreciation and amortization increased $39.3 million, or 122.9%, in the six months ended June 30, 2017 as compared with the comparable 2016 period. As related to the May 6, 2016 acquisition of nTelos, depreciation on the acquired fixed assets increased $33.6 million and amortization of customer based intangibles increased $5.7 million. Customer based intangibles are being amortized over accelerated lives, based on a pattern of benefits.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the Wireline segment. Increases in homes passed, available homes and video customers between December 31, 2015 and June 30, 2016, resulted from the Colane acquisition on January 1,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0" w:type="dxa"/>
            <w:vAlign w:val="bottom"/>
          </w:tcPr>
          <w:p>
            <w:pPr>
              <w:jc w:val="right"/>
              <w:ind w:right="590"/>
              <w:spacing w:after="0"/>
              <w:rPr>
                <w:sz w:val="20"/>
                <w:szCs w:val="20"/>
                <w:color w:val="auto"/>
              </w:rPr>
            </w:pPr>
            <w:r>
              <w:rPr>
                <w:rFonts w:ascii="Arial" w:cs="Arial" w:eastAsia="Arial" w:hAnsi="Arial"/>
                <w:sz w:val="18"/>
                <w:szCs w:val="18"/>
                <w:color w:val="auto"/>
              </w:rPr>
              <w:t>June 30,</w:t>
            </w: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June 30,</w:t>
            </w:r>
          </w:p>
        </w:tc>
        <w:tc>
          <w:tcPr>
            <w:tcW w:w="164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2017</w:t>
            </w: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w w:val="96"/>
              </w:rPr>
              <w:t>December 31, 2015</w:t>
            </w:r>
          </w:p>
        </w:tc>
      </w:tr>
      <w:tr>
        <w:trPr>
          <w:trHeight w:val="34"/>
        </w:trPr>
        <w:tc>
          <w:tcPr>
            <w:tcW w:w="46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Homes Passed (1)</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184,834</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184,710</w:t>
            </w:r>
          </w:p>
        </w:tc>
        <w:tc>
          <w:tcPr>
            <w:tcW w:w="120" w:type="dxa"/>
            <w:vAlign w:val="bottom"/>
          </w:tcPr>
          <w:p>
            <w:pPr>
              <w:spacing w:after="0"/>
              <w:rPr>
                <w:sz w:val="21"/>
                <w:szCs w:val="21"/>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184,627</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172,538</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1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Video customers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46,014</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49,241</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48,184</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31,291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28,854</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27,230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24,550</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Total customer relationships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77,305</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77,366</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76,471</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72,734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Video</w:t>
            </w:r>
          </w:p>
        </w:tc>
        <w:tc>
          <w:tcPr>
            <w:tcW w:w="1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48,248</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50,618</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51,549</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50,215</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15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27.9%</w:t>
            </w: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Digital video penetration (5)</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81.5%</w:t>
            </w:r>
          </w:p>
        </w:tc>
        <w:tc>
          <w:tcPr>
            <w:tcW w:w="156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75.3%</w:t>
            </w:r>
          </w:p>
        </w:tc>
        <w:tc>
          <w:tcPr>
            <w:tcW w:w="164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184,834</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183,826</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183,743</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172,538</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61,947</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60,495</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58,230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55,131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33.5%</w:t>
            </w:r>
          </w:p>
        </w:tc>
        <w:tc>
          <w:tcPr>
            <w:tcW w:w="15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6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Voice</w:t>
            </w:r>
          </w:p>
        </w:tc>
        <w:tc>
          <w:tcPr>
            <w:tcW w:w="1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182,303</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181,089</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181,006</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169,801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22,092</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21,092</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20,166</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12.1%</w:t>
            </w: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132,287</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132,465</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130,871</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125,512</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3,301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2,962</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2,844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114,366</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92,615</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81,305</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76,949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Average Revenue Generating Units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132,829</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131,218</w:t>
            </w:r>
          </w:p>
        </w:tc>
        <w:tc>
          <w:tcPr>
            <w:tcW w:w="120" w:type="dxa"/>
            <w:vAlign w:val="bottom"/>
          </w:tcPr>
          <w:p>
            <w:pPr>
              <w:spacing w:after="0"/>
              <w:rPr>
                <w:sz w:val="23"/>
                <w:szCs w:val="23"/>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131,385</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124,054</w:t>
            </w:r>
          </w:p>
        </w:tc>
      </w:tr>
      <w:tr>
        <w:trPr>
          <w:trHeight w:val="142"/>
        </w:trPr>
        <w:tc>
          <w:tcPr>
            <w:tcW w:w="46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40" w:type="dxa"/>
            <w:vAlign w:val="bottom"/>
          </w:tcPr>
          <w:p>
            <w:pPr>
              <w:spacing w:after="0"/>
              <w:rPr>
                <w:sz w:val="12"/>
                <w:szCs w:val="12"/>
                <w:color w:val="auto"/>
              </w:rPr>
            </w:pPr>
          </w:p>
        </w:tc>
      </w:tr>
    </w:tbl>
    <w:p>
      <w:pPr>
        <w:ind w:left="660" w:right="200" w:hanging="328"/>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24"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Customer relationships represent the number of customers who receive at least one of our services.</w:t>
      </w:r>
    </w:p>
    <w:p>
      <w:pPr>
        <w:spacing w:after="0" w:line="55" w:lineRule="exact"/>
        <w:rPr>
          <w:rFonts w:ascii="Arial" w:cs="Arial" w:eastAsia="Arial" w:hAnsi="Arial"/>
          <w:sz w:val="14"/>
          <w:szCs w:val="14"/>
          <w:color w:val="auto"/>
        </w:rPr>
      </w:pPr>
    </w:p>
    <w:p>
      <w:pPr>
        <w:ind w:left="660" w:right="180" w:hanging="328"/>
        <w:spacing w:after="0" w:line="257"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3"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passed or available homes, as appropriate.</w:t>
      </w:r>
    </w:p>
    <w:p>
      <w:pPr>
        <w:spacing w:after="0" w:line="55" w:lineRule="exact"/>
        <w:rPr>
          <w:rFonts w:ascii="Arial" w:cs="Arial" w:eastAsia="Arial" w:hAnsi="Arial"/>
          <w:sz w:val="14"/>
          <w:szCs w:val="14"/>
          <w:color w:val="auto"/>
        </w:rPr>
      </w:pPr>
    </w:p>
    <w:p>
      <w:pPr>
        <w:ind w:left="660" w:right="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1" w:lineRule="exact"/>
        <w:rPr>
          <w:rFonts w:ascii="Arial" w:cs="Arial" w:eastAsia="Arial" w:hAnsi="Arial"/>
          <w:sz w:val="14"/>
          <w:szCs w:val="14"/>
          <w:color w:val="auto"/>
        </w:rPr>
      </w:pPr>
    </w:p>
    <w:p>
      <w:pPr>
        <w:ind w:left="660" w:right="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customers.</w:t>
      </w:r>
    </w:p>
    <w:p>
      <w:pPr>
        <w:spacing w:after="0" w:line="55" w:lineRule="exact"/>
        <w:rPr>
          <w:rFonts w:ascii="Arial" w:cs="Arial" w:eastAsia="Arial" w:hAnsi="Arial"/>
          <w:sz w:val="14"/>
          <w:szCs w:val="14"/>
          <w:color w:val="auto"/>
        </w:rPr>
      </w:pPr>
    </w:p>
    <w:p>
      <w:pPr>
        <w:ind w:left="660" w:right="1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with the Three Months Ended June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26,883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24,167</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2,716</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2,681</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447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29,564</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26,401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3,163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14,911</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347</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4,867</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73</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25,868</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25,237</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Cable segment service revenues increased $2.7 million, or 11.2%, due to video rate increases in January 2017 to offset increases in programming costs, new and existing customers selecting higher-speed data ("HSD") access packages, and a 1.1% increase in average revenue generating units.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$0.4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Cable segment cost of goods and services increased $0.3 million, or 2.4%, in the second quarter of 2017 over the comparable 2016 period. The increase resulted from higher network and maintenance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$0.1 million against the prior year quarter due to higher commission and marketing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with the Six Months Ended June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4"/>
          </w:tcPr>
          <w:p>
            <w:pPr>
              <w:ind w:left="380"/>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53,294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48,507</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4,787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943</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58,577</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52,847</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5,730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30,139</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29,210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929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9,725</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(177)</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11,879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51,743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51,086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657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5,073</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Cable segment service revenues increased $4.8 million, or 9.9%, due to video rate increases in January 2017 to offset increases in programming costs, customers selecting HSD access packages and growth in HSD and phone customers, and a 1.1% increase in average revenue generating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$0.9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Cable segment cost of goods and services increased $0.9 million, or 3.2%, in the six months ended June 30, 2017 over the comparable 2016 period. The increase resulted from higher network and maintenance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June 30,</w:t>
            </w:r>
          </w:p>
        </w:tc>
        <w:tc>
          <w:tcPr>
            <w:tcW w:w="1780" w:type="dxa"/>
            <w:vAlign w:val="bottom"/>
          </w:tcPr>
          <w:p>
            <w:pPr>
              <w:jc w:val="right"/>
              <w:ind w:right="430"/>
              <w:spacing w:after="0"/>
              <w:rPr>
                <w:sz w:val="20"/>
                <w:szCs w:val="20"/>
                <w:color w:val="auto"/>
              </w:rPr>
            </w:pPr>
            <w:r>
              <w:rPr>
                <w:rFonts w:ascii="Arial" w:cs="Arial" w:eastAsia="Arial" w:hAnsi="Arial"/>
                <w:sz w:val="18"/>
                <w:szCs w:val="18"/>
                <w:color w:val="auto"/>
              </w:rPr>
              <w:t>December 31,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June 30,</w:t>
            </w:r>
          </w:p>
        </w:tc>
        <w:tc>
          <w:tcPr>
            <w:tcW w:w="164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1780" w:type="dxa"/>
            <w:vAlign w:val="bottom"/>
          </w:tcPr>
          <w:p>
            <w:pPr>
              <w:jc w:val="right"/>
              <w:ind w:right="730"/>
              <w:spacing w:after="0"/>
              <w:rPr>
                <w:sz w:val="20"/>
                <w:szCs w:val="20"/>
                <w:color w:val="auto"/>
              </w:rPr>
            </w:pPr>
            <w:r>
              <w:rPr>
                <w:rFonts w:ascii="Arial" w:cs="Arial" w:eastAsia="Arial" w:hAnsi="Arial"/>
                <w:sz w:val="18"/>
                <w:szCs w:val="18"/>
                <w:color w:val="auto"/>
              </w:rPr>
              <w:t>2016</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640" w:type="dxa"/>
            <w:vAlign w:val="bottom"/>
          </w:tcPr>
          <w:p>
            <w:pPr>
              <w:jc w:val="right"/>
              <w:spacing w:after="0"/>
              <w:rPr>
                <w:sz w:val="20"/>
                <w:szCs w:val="20"/>
                <w:color w:val="auto"/>
              </w:rPr>
            </w:pPr>
            <w:r>
              <w:rPr>
                <w:rFonts w:ascii="Arial" w:cs="Arial" w:eastAsia="Arial" w:hAnsi="Arial"/>
                <w:sz w:val="18"/>
                <w:szCs w:val="18"/>
                <w:color w:val="auto"/>
                <w:w w:val="97"/>
              </w:rPr>
              <w:t>December 31, 2015</w:t>
            </w:r>
          </w:p>
        </w:tc>
      </w:tr>
      <w:tr>
        <w:trPr>
          <w:trHeight w:val="34"/>
        </w:trPr>
        <w:tc>
          <w:tcPr>
            <w:tcW w:w="47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Telephone Access Lines (1)</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18,077</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18,443</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19,188</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20,252</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9,139</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9,149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9,269</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9,476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Video Customers (2)</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5,180</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5,264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5,327</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5,356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DSL and Cable Modem Subscribers (1)</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14,605</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14,314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14,122</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13,890</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1,971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1,752</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Total Fiber Miles (3)</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146,967</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142,230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126,639</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123,891</w:t>
            </w:r>
          </w:p>
        </w:tc>
      </w:tr>
      <w:tr>
        <w:trPr>
          <w:trHeight w:val="142"/>
        </w:trPr>
        <w:tc>
          <w:tcPr>
            <w:tcW w:w="47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r>
    </w:tbl>
    <w:p>
      <w:pPr>
        <w:ind w:left="660" w:hanging="328"/>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 October 1, 2015, we launched cable modem services on our cable plant, and ceased the requirement that a customer have a telephone access line to purchase internet service. As of June 30, 2017, 1,361 customers have purchased cable modem service received via the coaxial cable network.</w:t>
      </w:r>
    </w:p>
    <w:p>
      <w:pPr>
        <w:spacing w:after="0" w:line="24"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Wireline segment’s video service passes approximately 16,500 homes.</w:t>
      </w:r>
    </w:p>
    <w:p>
      <w:pPr>
        <w:spacing w:after="0" w:line="55" w:lineRule="exact"/>
        <w:rPr>
          <w:rFonts w:ascii="Arial" w:cs="Arial" w:eastAsia="Arial" w:hAnsi="Arial"/>
          <w:sz w:val="14"/>
          <w:szCs w:val="14"/>
          <w:color w:val="auto"/>
        </w:rPr>
      </w:pPr>
    </w:p>
    <w:p>
      <w:pPr>
        <w:ind w:left="660" w:right="140" w:hanging="328"/>
        <w:spacing w:after="0" w:line="273"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with the Three Months Ended June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295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13,038</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745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19,576</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985</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540"/>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9,330</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522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3,155</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222</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14,168</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13,411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757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228</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operating revenues in the quarter ended June 30, 2017 increased $1.0 million, or 5.3%, against the comparable 2016 period, as a result of increases in fiber and access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Operating expenses overall increased $0.8 million, or 5.6%, in the quarter ended June 30, 2017, compared to the 2016 quarter. The $0.5 million increase in cost of goods and services primarily resulted from costs to support the increase in carrier access and fiber revenues shown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with the Six Months Ended June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ind w:left="380"/>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10,917</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361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25,703</w:t>
            </w:r>
          </w:p>
        </w:tc>
        <w:tc>
          <w:tcPr>
            <w:tcW w:w="4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1,440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38,730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36,970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1,760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540"/>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18,603</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1,153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3,359</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84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6,286</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5,967</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319</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28,248</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26,692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1,556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10,482</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operating revenues in the six months ended June 30, 2017 increased $1.8 million, or 4.8%, against the comparable 2016 period. Carrier access and fiber revenues increased $1.4 million due to increases in fiber and access contracts. The increase in service revenues primarily results from higher revenues for high-speed data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Operating expenses overall increased $1.6 million, or 5.8%, in the six months ended June 30, 2017, compared to the 2016 period. The $1.2 million increase in cost of goods and services primarily resulted from costs to support the increase in carrier access and fiber revenues shown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by Sprint, amortization of the affiliate contract expansion intangible reflected as a contra revenue, actuarial gains and losses on pension and other post-retirement benefit plans,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The waiver will end when the cumulative amount waived reaches $252 million, which we expect to occur in five years.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we may again report Adjusted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and Continuing OIBDA and similar measures are widely used by investors and financial analysts as measures of our financial performance over time, and to compare our financial performance with that of other companies in our industry.</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Adjusted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three and six months ended June 30, 2017 and 2016.</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34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Adjusted OIBDA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69,444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55,905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143,012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96,271</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60,277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49,810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124,905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90,176</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reconciles Adjusted OIBDA and Continuing OIBDA to operating income, which we consider to be the most directly comparable GAAP financial measure, for the three and six months ended June 30, 2017 and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19"/>
                <w:szCs w:val="19"/>
                <w:color w:val="auto"/>
              </w:rPr>
            </w:pPr>
          </w:p>
        </w:tc>
        <w:tc>
          <w:tcPr>
            <w:tcW w:w="244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9"/>
                <w:szCs w:val="19"/>
                <w:color w:val="auto"/>
              </w:rPr>
            </w:pPr>
          </w:p>
        </w:tc>
        <w:tc>
          <w:tcPr>
            <w:tcW w:w="234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8,252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18,925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15,163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44,925</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32,415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89,729</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50,154</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2,418</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4,434</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8,640</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5,343</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10,321</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080" w:type="dxa"/>
            <w:vAlign w:val="bottom"/>
          </w:tcPr>
          <w:p>
            <w:pPr>
              <w:ind w:left="40"/>
              <w:spacing w:after="0"/>
              <w:rPr>
                <w:sz w:val="20"/>
                <w:szCs w:val="20"/>
                <w:color w:val="auto"/>
              </w:rPr>
            </w:pPr>
            <w:r>
              <w:rPr>
                <w:rFonts w:ascii="Arial" w:cs="Arial" w:eastAsia="Arial" w:hAnsi="Arial"/>
                <w:sz w:val="18"/>
                <w:szCs w:val="18"/>
                <w:color w:val="auto"/>
              </w:rPr>
              <w:t>Plus temporary back office costs to support the billing operations through</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migration (1)</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1,685</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4,286</w:t>
            </w: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8,167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69,444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55,905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143,012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96,271</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(18,107)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60,277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49,810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124,905</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90,176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460" w:hanging="328"/>
        <w:spacing w:after="0" w:line="290" w:lineRule="auto"/>
        <w:tabs>
          <w:tab w:leader="none" w:pos="565"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Once former nTelos customers migrate to the Sprint back office, the Company incurs certain postpaid fees retained by Sprint that would offset a portion of these savings. For the three and six months ended June 30, 2017, these offsets were estimated at $0.5 million and $1.3 million,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by major segment for the three and six months ended June 30,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Wireless Segment:</w:t>
            </w:r>
          </w:p>
        </w:tc>
        <w:tc>
          <w:tcPr>
            <w:tcW w:w="280" w:type="dxa"/>
            <w:vAlign w:val="bottom"/>
          </w:tcPr>
          <w:p>
            <w:pPr>
              <w:spacing w:after="0"/>
              <w:rPr>
                <w:sz w:val="19"/>
                <w:szCs w:val="19"/>
                <w:color w:val="auto"/>
              </w:rPr>
            </w:pPr>
          </w:p>
        </w:tc>
        <w:tc>
          <w:tcPr>
            <w:tcW w:w="244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9"/>
                <w:szCs w:val="19"/>
                <w:color w:val="auto"/>
              </w:rPr>
            </w:pPr>
          </w:p>
        </w:tc>
        <w:tc>
          <w:tcPr>
            <w:tcW w:w="234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6,352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15,488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27,209</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35,551</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71,303</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1,085</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straight line adjustment to management fee waiver (1)</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4,434</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8,640</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5,343</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10,321</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temporary back office costs to support the billing operations</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1,693</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4,286</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 (2)</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4,124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7,916</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58,216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44,981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119,647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73,733</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Less waived management fee (3)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(18,107)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49,049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38,886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101,540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67,638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28"/>
        <w:spacing w:after="0" w:line="260" w:lineRule="auto"/>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the intangible asset exchange with Sprint, we recognized an intangible asset for the affiliate contract expansion received. Consistent with the presentation of related service fees charged by Sprint, we recognize the amortization of this intangible as a contra-revenue over the remaining contract term that concludes November 2029.</w:t>
      </w:r>
    </w:p>
    <w:p>
      <w:pPr>
        <w:ind w:left="660" w:right="60" w:hanging="328"/>
        <w:spacing w:after="0" w:line="260" w:lineRule="auto"/>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Integration and acquisition costs consist of severance accruals for short-term nTelos personnel to be separated as integration activities wind down, transaction related expenses, device costs to support the transition to Sprint billing platforms, and other transition costs to support the migration to Sprint back-office functions. Once former nTelos customers migrate to the Sprint back office, the Company incurs certain postpaid fees retained by Sprint and prepaid costs passed to us by Sprint that would offset a portion of these savings.</w:t>
      </w:r>
    </w:p>
    <w:p>
      <w:pPr>
        <w:ind w:left="660" w:right="40" w:hanging="328"/>
        <w:spacing w:after="0" w:line="24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part of our amended affiliate agreement, Sprint agreed to waive the management fee, which is historically presented as a contra-revenue, for a period of approximately six years. The impact of Sprint’s waiver of the management fee over the approximate six-year period is reflected as an increase in revenue, offset by the non-cash adjustment to recognize this impact on a straight-line basis over the remaining contract term that concludes November 2029.</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Cable Segment: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8"/>
                <w:szCs w:val="18"/>
                <w:color w:val="auto"/>
              </w:rPr>
            </w:pPr>
          </w:p>
        </w:tc>
        <w:tc>
          <w:tcPr>
            <w:tcW w:w="2340" w:type="dxa"/>
            <w:vAlign w:val="bottom"/>
            <w:gridSpan w:val="3"/>
          </w:tcPr>
          <w:p>
            <w:pPr>
              <w:jc w:val="center"/>
              <w:ind w:right="15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vMerge w:val="continue"/>
          </w:tcPr>
          <w:p>
            <w:pPr>
              <w:spacing w:after="0"/>
              <w:rPr>
                <w:sz w:val="21"/>
                <w:szCs w:val="21"/>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6,834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6,090</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11,879</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Less gain on asset sales</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34"/>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Adjusted OIBDA and Continuing OIBDA</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9,919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19,204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7"/>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Wireline Segment:</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3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40" w:type="dxa"/>
            <w:vAlign w:val="bottom"/>
            <w:gridSpan w:val="3"/>
          </w:tcPr>
          <w:p>
            <w:pPr>
              <w:jc w:val="center"/>
              <w:ind w:right="15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5,408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10,482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3,155</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6,286</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(gain) loss on asset sales</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30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0"/>
                <w:szCs w:val="20"/>
                <w:color w:val="auto"/>
              </w:rPr>
            </w:pPr>
            <w:r>
              <w:rPr>
                <w:rFonts w:ascii="Arial" w:cs="Arial" w:eastAsia="Arial" w:hAnsi="Arial"/>
                <w:sz w:val="18"/>
                <w:szCs w:val="18"/>
                <w:color w:val="auto"/>
              </w:rPr>
              <w:t>Adjusted OIBDA and Continuing OIBDA</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17,037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40" w:type="dxa"/>
            <w:vAlign w:val="bottom"/>
            <w:vMerge w:val="restart"/>
          </w:tcPr>
          <w:p>
            <w:pPr>
              <w:jc w:val="right"/>
              <w:ind w:right="190"/>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three principal sources of funds available to meet the financing needs of our operations, capital projects, debt service,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We generated $86.8 million of net cash from operations in the first six months of 2017, compared with $50.4 million in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2016.</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June 30, 2017, our indebtedness totaled $860.8 million in term loans with an annualized effective interest rate of approximately 4.06%</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the impact of the interest rate swap contract and unamortized loan costs. The balance consists of the $460.8 million Term Loan A-1 at a variable rate (3.98% as of June 30, 2017) that resets monthly based on one month LIBOR plus a margin of 2.75%, and the $400.0 million Term Loan A-2 at a variable rate (4.23% as of June 30, 2017) that resets monthly based on one month LIBOR plus a margin of 3.00%. The Term Loan A-1 requires quarterly principal repayments of $12.1 million quarterly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8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bound by certain covenants under the 2016 credit agreement. Noncompliance with any one or more of the covenants may have an adverse effect on our financial condition or liquidity in the event such noncompliance cannot be cured or should we be unable to obtain a waiver from the lenders. As of June 30, 2017, we were in compliance with all covenants, and ratios at June 30, 2017 were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Covenant Requirement at June</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Actual</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30,2017</w:t>
            </w:r>
          </w:p>
        </w:tc>
        <w:tc>
          <w:tcPr>
            <w:tcW w:w="0" w:type="dxa"/>
            <w:vAlign w:val="bottom"/>
          </w:tcPr>
          <w:p>
            <w:pPr>
              <w:spacing w:after="0"/>
              <w:rPr>
                <w:sz w:val="1"/>
                <w:szCs w:val="1"/>
                <w:color w:val="auto"/>
              </w:rPr>
            </w:pPr>
          </w:p>
        </w:tc>
      </w:tr>
      <w:tr>
        <w:trPr>
          <w:trHeight w:val="34"/>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vMerge w:val="continue"/>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3.75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Minimum Liquidity Balance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133,403</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accordance with the Credit Agreement, the total leverage and debt service coverage ratios noted above are based on consolidated EBITDA, cash taxes, scheduled principal payments and cash interest expense for the nine month period ending June 30, 2017, divided by three and multiplied by four, all as defined under the Credit Agreement. In addition to the covenants above, we are required to supply the lenders with quarterly financial statements and other reports as defined by the 2016 credit agreement. We were in compliance with all reporting requirements at June 30, 2017.</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no off-balance sheet arrangements (other than operating leases) and have not entered into any transactions involving unconsolidated, limited purpose entities or commodity contracts.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We budgeted $155.2 million in capital expenditures for 2017, including $86.4 million in the Wireless segment for upgrades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of the nTelos wireless network, $2.9 million for upgrades in the Wireless segment Expansion Area; $28.1 million for network expansion including new fiber routes, new cell towers, and cable market expansion; $27.0 million for additional network capacity; and $10.8 million for information technology upgrades, new and renovated buildings and other projects.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first six months of 2017, we spent $68.8 million on capital projects, compared to $60.1 million in the comparable 2016 period. Spending related to Wireless projects accounted for $40.3 million in the first six months of 2017, primarily for upgrades of former nTelos sites and additional cell sites to expand coverage in the former nTelos territory. Cable capital spending of $15.4 million related to network and cable market expansion. Wireline capital projects cost $11.6 million, driven primarily by fiber builds. Other projects totaled $1.5 million, largely related to information technology projects.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products and services. The actual amount and timing of our future capital requirements may differ materially from our estimate depending on the demand for our products and new market developments and opportunities.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is also critical to our ability to maintain a positive cash flow from operations. The foregoing events individually or collectively could affect our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We plan to adopt the standard effective January 1, 2018 and to adopt this standard using the modified retrospective transition approach. We are continuing to assess all potential impacts of the standard, including the impact to the pattern with which revenue is recognized, the impact of the standard on current accounting policies, practices and system of internal controls, in order to identify material differences, if any that would result from applying the new requirements. In 2016, we identified a project team and commenced an initial impact assessment process for ASU 2014-09. We are continuing its work toward establishing new policies and processes, and are implementing necessary changes to data and procedures necessary to comply with the new requirements. Based on the results of the project team’s assessment to date, we anticipate this standard will have an impact, which could be significant, to the consolidated financial statements. While continuing to assess all potential impacts of the standard, we believe the most significant impact relates to additional disclosures required for qualitative and quantitative information concerning the nature, amount, timing, and any uncertainty of revenue and cash flows from contracts with customers, the capitalization of costs of commissions, upfront contract costs, the pattern with which revenue is recognized, and other contract acquisition-based and contract fulfillment costs.</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February 2016, the FASB issued ASU No. 2016-02, “Leases”, also known as Topic 842,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We are currently evaluating the ASU and expect that it will have a material impact on our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June 30, 2017, the Company had $860.8 million of variable rate debt outstanding (excluding unamortized loan fees and costs of $16.7 million), bearing interest at a weighted average rate of 4.09% as determined on a monthly basis. An increase in market interest rates of 1.00% would add approximately $8.4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This swap, combined with the swap purchased in 2012, covers notional principal equal to approximately 50% of the expected outstanding variable rate debt through maturity in 2023. The Company is required to pay a combined fixed rate of approximately 1.16% and receive a variable rate based on one month LIBOR (1.23% as of June 30, 2017),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$0.8 million, based on the spread between the fixed rate and the variable rate currently in effect on our debt.</w:t>
      </w:r>
    </w:p>
    <w:p>
      <w:pPr>
        <w:spacing w:after="0" w:line="17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second component of interest rate risk consists of temporary excess cash, which can be invested in various short-term investment vehicles such as overnight repurchase agreements and Treasury bills with a maturity of less than 90 days. As of June 30, 2017, the cash is invested in a commercial checking account that has limited interest rate risk. Management continually evaluates the most beneficial use of these funds.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third component of interest rate risk is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June 30, 2017, the Company has $430.4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2016, we identified material weaknesses in internal control over financial reporting. The material weaknesses will not be considered remediated until the applicable remedial controls operate for a sufficient period of time and management has concluded, through testing, that these controls are operating effectively. As remediation has not yet been completed our President and Chief Executive Officer and our Vice President, Finance and Chief Financial Officer have concluded that our disclosure controls and procedures continued to be ineffective as of June 30, 2017.</w:t>
      </w:r>
    </w:p>
    <w:p>
      <w:pPr>
        <w:spacing w:after="0" w:line="10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condensed consolidated financial statements included in this Quarterly Report on Form 10-Q fairly state, in all material respects, our financial position, results of operations and cash flows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acquisition of nTelos was completed on May 6, 2016. Our Company’s management has extended its oversight and monitoring processes that support internal control over financial reporting to include the operations of nTelos and consideration for such has been included in our evaluation of disclosure controls and procedures. Our management is continuing to integrate the acquired operations into our overall internal control financial reporting process, expected to be complete in 2017.</w:t>
      </w:r>
    </w:p>
    <w:p>
      <w:pPr>
        <w:spacing w:after="0" w:line="10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June 30, 2017, that have materially affected or are reasonably likely to material affect, the Company’s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continuing to implement the remediation plans as disclosed in our Annual Report on Form 10-K for our fiscal year ended December 31, 2016.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1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Under the Company’s agreements with Sprint, Sprint provides the Company with billing, collections, customer care, certain network operations and other back-office services for the PCS operation. As a result, Sprint remits to the Company a substantial portion of the Company’s total operating revenues, which will increase as legacy nTelos subscribers migrate to the Sprint billing platform in the future.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average national costs to acquire and support a prepaid customer, certain national channel commission and handset subsidy costs, and travel revenue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postpaid and 6% of prepaid revenue currently retained by Sprint (before the effect of fee waivers). Sprint reports directly billed costs and revenues to the Company.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2016 to September 30, 2016. The most recent report indicated there were no material issues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which would adversely affect the information used to support the recording of the revenues provided by Sprint related to the Company’s relationship with them.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240" w:top="125" w:right="57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June 30, 2017, the Company has not identified any needed updates to the risk factors included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June 30, 2017:</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Average Price</w:t>
            </w:r>
          </w:p>
        </w:tc>
      </w:tr>
      <w:tr>
        <w:trPr>
          <w:trHeight w:val="230"/>
        </w:trPr>
        <w:tc>
          <w:tcPr>
            <w:tcW w:w="7400" w:type="dxa"/>
            <w:vAlign w:val="bottom"/>
          </w:tcPr>
          <w:p>
            <w:pPr>
              <w:spacing w:after="0"/>
              <w:rPr>
                <w:sz w:val="20"/>
                <w:szCs w:val="20"/>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color w:val="auto"/>
                <w:w w:val="99"/>
              </w:rPr>
              <w:t>Paid per Share</w:t>
            </w:r>
          </w:p>
        </w:tc>
      </w:tr>
      <w:tr>
        <w:trPr>
          <w:trHeight w:val="34"/>
        </w:trPr>
        <w:tc>
          <w:tcPr>
            <w:tcW w:w="74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April 1 to April 30</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5,568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31.49</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May 1 to May 31</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30.81</w:t>
            </w:r>
          </w:p>
        </w:tc>
      </w:tr>
      <w:tr>
        <w:trPr>
          <w:trHeight w:val="304"/>
        </w:trPr>
        <w:tc>
          <w:tcPr>
            <w:tcW w:w="7400" w:type="dxa"/>
            <w:vAlign w:val="bottom"/>
          </w:tcPr>
          <w:p>
            <w:pPr>
              <w:spacing w:after="0"/>
              <w:rPr>
                <w:sz w:val="20"/>
                <w:szCs w:val="20"/>
                <w:color w:val="auto"/>
              </w:rPr>
            </w:pPr>
            <w:r>
              <w:rPr>
                <w:rFonts w:ascii="Arial" w:cs="Arial" w:eastAsia="Arial" w:hAnsi="Arial"/>
                <w:sz w:val="18"/>
                <w:szCs w:val="18"/>
                <w:color w:val="auto"/>
              </w:rPr>
              <w:t>June 1 to June 30</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34"/>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31.13</w:t>
            </w:r>
          </w:p>
        </w:tc>
      </w:tr>
      <w:tr>
        <w:trPr>
          <w:trHeight w:val="20"/>
        </w:trPr>
        <w:tc>
          <w:tcPr>
            <w:tcW w:w="74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620" w:right="5420" w:hanging="5612"/>
        <w:spacing w:after="0" w:line="449" w:lineRule="auto"/>
        <w:tabs>
          <w:tab w:leader="none" w:pos="6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exhibits are filed with this Quarterly Report on Form 10-Q: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4" w:lineRule="exact"/>
        <w:rPr>
          <w:sz w:val="20"/>
          <w:szCs w:val="20"/>
          <w:color w:val="auto"/>
        </w:rPr>
      </w:pPr>
    </w:p>
    <w:p>
      <w:pPr>
        <w:ind w:left="620" w:hanging="553"/>
        <w:spacing w:after="0" w:line="256" w:lineRule="auto"/>
        <w:tabs>
          <w:tab w:leader="none" w:pos="600" w:val="left"/>
        </w:tabs>
        <w:rPr>
          <w:sz w:val="20"/>
          <w:szCs w:val="20"/>
          <w:color w:val="auto"/>
        </w:rPr>
      </w:pPr>
      <w:r>
        <w:rPr>
          <w:rFonts w:ascii="Arial" w:cs="Arial" w:eastAsia="Arial" w:hAnsi="Arial"/>
          <w:sz w:val="18"/>
          <w:szCs w:val="18"/>
          <w:color w:val="auto"/>
        </w:rPr>
        <w:t>10.54</w:t>
        <w:tab/>
        <w:t>Addendum XX to Sprint PCS Management Agreement, dated as of March 9, 2017, by and among Shenandoah Personal Communications, LLC, Sprint Spectrum L.P., Sprint Communications Company, L.P., SprintCom, Inc. and Horizon Personal Communications, LLC, filed as Exhibit 10.1 to the Company's Current Report on Form 8-K filed</w:t>
      </w:r>
    </w:p>
    <w:p>
      <w:pPr>
        <w:ind w:left="620"/>
        <w:spacing w:after="0"/>
        <w:rPr>
          <w:sz w:val="20"/>
          <w:szCs w:val="20"/>
          <w:color w:val="auto"/>
        </w:rPr>
      </w:pPr>
      <w:r>
        <w:rPr>
          <w:rFonts w:ascii="Arial" w:cs="Arial" w:eastAsia="Arial" w:hAnsi="Arial"/>
          <w:sz w:val="18"/>
          <w:szCs w:val="18"/>
          <w:color w:val="auto"/>
        </w:rPr>
        <w:t>March 15, 2017.</w:t>
      </w:r>
    </w:p>
    <w:p>
      <w:pPr>
        <w:spacing w:after="0" w:line="31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33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Certifications pursuant to Rule 13a-14(b) under the Securities Exchange Act of 1934 and 18 U.S.C. § 1350.</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 Formatted in XBRL (Extensible Business Reporting Language)</w:t>
      </w:r>
    </w:p>
    <w:p>
      <w:pPr>
        <w:sectPr>
          <w:pgSz w:w="11900" w:h="16838" w:orient="portrait"/>
          <w:cols w:equalWidth="0" w:num="1">
            <w:col w:w="11320"/>
          </w:cols>
          <w:pgMar w:left="240" w:top="125" w:right="339" w:bottom="1440" w:gutter="0" w:footer="0" w:header="0"/>
        </w:sect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1320" w:space="44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1360" w:space="40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60" w:space="400"/>
            <w:col w:w="9560"/>
          </w:cols>
          <w:pgMar w:left="240" w:top="125" w:right="339" w:bottom="1440" w:gutter="0" w:footer="0" w:header="0"/>
          <w:type w:val="continuous"/>
        </w:sectPr>
      </w:pPr>
    </w:p>
    <w:p>
      <w:pPr>
        <w:spacing w:after="0" w:line="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320"/>
          </w:cols>
          <w:pgMar w:left="240" w:top="125" w:right="339" w:bottom="1440" w:gutter="0" w:footer="0" w:header="0"/>
          <w:type w:val="continuous"/>
        </w:sectPr>
      </w:pPr>
    </w:p>
    <w:p>
      <w:pPr>
        <w:spacing w:after="0" w:line="358" w:lineRule="exact"/>
        <w:rPr>
          <w:sz w:val="20"/>
          <w:szCs w:val="20"/>
          <w:color w:val="auto"/>
        </w:rPr>
      </w:pPr>
    </w:p>
    <w:p>
      <w:pPr>
        <w:jc w:val="both"/>
        <w:ind w:left="660" w:right="2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125"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 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August 2,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00"/>
          </w:cols>
          <w:pgMar w:left="240" w:top="125" w:right="10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540" w:type="dxa"/>
            <w:vAlign w:val="bottom"/>
            <w:gridSpan w:val="7"/>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1540" w:type="dxa"/>
            <w:vAlign w:val="bottom"/>
            <w:gridSpan w:val="7"/>
          </w:tcPr>
          <w:p>
            <w:pPr>
              <w:spacing w:after="0"/>
              <w:rPr>
                <w:sz w:val="20"/>
                <w:szCs w:val="20"/>
                <w:color w:val="auto"/>
              </w:rPr>
            </w:pPr>
            <w:r>
              <w:rPr>
                <w:rFonts w:ascii="Arial" w:cs="Arial" w:eastAsia="Arial" w:hAnsi="Arial"/>
                <w:sz w:val="18"/>
                <w:szCs w:val="18"/>
                <w:color w:val="auto"/>
              </w:rPr>
              <w:t>EXHIBIT INDEX</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5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9660" w:type="dxa"/>
            <w:vAlign w:val="bottom"/>
            <w:gridSpan w:val="3"/>
          </w:tcPr>
          <w:p>
            <w:pPr>
              <w:ind w:left="4740"/>
              <w:spacing w:after="0"/>
              <w:rPr>
                <w:sz w:val="20"/>
                <w:szCs w:val="20"/>
                <w:color w:val="auto"/>
              </w:rPr>
            </w:pPr>
            <w:r>
              <w:rPr>
                <w:rFonts w:ascii="Arial" w:cs="Arial" w:eastAsia="Arial" w:hAnsi="Arial"/>
                <w:sz w:val="18"/>
                <w:szCs w:val="18"/>
                <w:b w:val="1"/>
                <w:bCs w:val="1"/>
                <w:color w:val="auto"/>
              </w:rPr>
              <w:t>Exhibit</w:t>
            </w:r>
          </w:p>
        </w:tc>
      </w:tr>
      <w:tr>
        <w:trPr>
          <w:trHeight w:val="20"/>
        </w:trPr>
        <w:tc>
          <w:tcPr>
            <w:tcW w:w="420" w:type="dxa"/>
            <w:vAlign w:val="bottom"/>
            <w:gridSpan w:val="2"/>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573"/>
        </w:trPr>
        <w:tc>
          <w:tcPr>
            <w:tcW w:w="420" w:type="dxa"/>
            <w:vAlign w:val="bottom"/>
            <w:gridSpan w:val="2"/>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Arial" w:cs="Arial" w:eastAsia="Arial" w:hAnsi="Arial"/>
                <w:sz w:val="18"/>
                <w:szCs w:val="18"/>
                <w:color w:val="auto"/>
                <w:w w:val="88"/>
              </w:rPr>
              <w:t>10.54</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8"/>
              </w:rPr>
              <w:t>Addendum XX to Sprint PCS Management Agreement, dated as of March 9, 2017, by and among Shenandoah Personal</w:t>
            </w: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5"/>
              </w:rPr>
              <w:t>Communications, LLC, Sprint Spectrum L.P., Sprint Communications Company, L.P., SprintCom, Inc. and Horizon Personal</w:t>
            </w: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Communications, LLC, filed as Exhibit 10.1 to the Company's Current Report on Form 8-K filed March 15, 2017.</w:t>
            </w:r>
          </w:p>
        </w:tc>
      </w:tr>
      <w:tr>
        <w:trPr>
          <w:trHeight w:val="500"/>
        </w:trPr>
        <w:tc>
          <w:tcPr>
            <w:tcW w:w="680" w:type="dxa"/>
            <w:vAlign w:val="bottom"/>
            <w:gridSpan w:val="3"/>
          </w:tcPr>
          <w:p>
            <w:pPr>
              <w:spacing w:after="0"/>
              <w:rPr>
                <w:sz w:val="24"/>
                <w:szCs w:val="24"/>
                <w:color w:val="auto"/>
              </w:rPr>
            </w:pPr>
          </w:p>
        </w:tc>
        <w:tc>
          <w:tcPr>
            <w:tcW w:w="620" w:type="dxa"/>
            <w:vAlign w:val="bottom"/>
            <w:gridSpan w:val="3"/>
          </w:tcPr>
          <w:p>
            <w:pPr>
              <w:jc w:val="center"/>
              <w:ind w:right="240"/>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r>
              <w:rPr>
                <w:rFonts w:ascii="Arial" w:cs="Arial" w:eastAsia="Arial" w:hAnsi="Arial"/>
                <w:sz w:val="18"/>
                <w:szCs w:val="18"/>
                <w:color w:val="000000"/>
                <w:w w:val="90"/>
              </w:rPr>
              <w:t>*</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5"/>
              </w:rPr>
              <w:t>Certification of President and Chief Executive Officer pursuant to Rule 13a-14(a) under the Securities Exchange Act of 1934.</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r>
      <w:tr>
        <w:trPr>
          <w:trHeight w:val="520"/>
        </w:trPr>
        <w:tc>
          <w:tcPr>
            <w:tcW w:w="680" w:type="dxa"/>
            <w:vAlign w:val="bottom"/>
            <w:gridSpan w:val="3"/>
          </w:tcPr>
          <w:p>
            <w:pPr>
              <w:spacing w:after="0"/>
              <w:rPr>
                <w:sz w:val="24"/>
                <w:szCs w:val="24"/>
                <w:color w:val="auto"/>
              </w:rPr>
            </w:pPr>
          </w:p>
        </w:tc>
        <w:tc>
          <w:tcPr>
            <w:tcW w:w="620" w:type="dxa"/>
            <w:vAlign w:val="bottom"/>
            <w:gridSpan w:val="3"/>
          </w:tcPr>
          <w:p>
            <w:pPr>
              <w:jc w:val="center"/>
              <w:ind w:right="240"/>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r>
              <w:rPr>
                <w:rFonts w:ascii="Arial" w:cs="Arial" w:eastAsia="Arial" w:hAnsi="Arial"/>
                <w:sz w:val="18"/>
                <w:szCs w:val="18"/>
                <w:color w:val="000000"/>
                <w:w w:val="90"/>
              </w:rPr>
              <w:t>*</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1"/>
              </w:rPr>
              <w:t>Certification of Vice President - Finance and Chief Financial Officer pursuant to Rule 13a-14(a) under the Securities Exchange Act</w:t>
            </w:r>
          </w:p>
        </w:tc>
      </w:tr>
      <w:tr>
        <w:trPr>
          <w:trHeight w:val="237"/>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of 1934.</w:t>
            </w:r>
          </w:p>
        </w:tc>
      </w:tr>
      <w:tr>
        <w:trPr>
          <w:trHeight w:val="500"/>
        </w:trPr>
        <w:tc>
          <w:tcPr>
            <w:tcW w:w="680" w:type="dxa"/>
            <w:vAlign w:val="bottom"/>
            <w:gridSpan w:val="3"/>
          </w:tcPr>
          <w:p>
            <w:pPr>
              <w:spacing w:after="0"/>
              <w:rPr>
                <w:sz w:val="24"/>
                <w:szCs w:val="24"/>
                <w:color w:val="auto"/>
              </w:rPr>
            </w:pPr>
          </w:p>
        </w:tc>
        <w:tc>
          <w:tcPr>
            <w:tcW w:w="620" w:type="dxa"/>
            <w:vAlign w:val="bottom"/>
            <w:gridSpan w:val="3"/>
          </w:tcPr>
          <w:p>
            <w:pPr>
              <w:jc w:val="center"/>
              <w:ind w:right="260"/>
              <w:spacing w:after="0"/>
              <w:rPr>
                <w:rFonts w:ascii="Arial" w:cs="Arial" w:eastAsia="Arial" w:hAnsi="Arial"/>
                <w:sz w:val="18"/>
                <w:szCs w:val="18"/>
                <w:color w:val="0000EE"/>
              </w:rPr>
            </w:pPr>
            <w:hyperlink w:anchor="page50">
              <w:r>
                <w:rPr>
                  <w:rFonts w:ascii="Arial" w:cs="Arial" w:eastAsia="Arial" w:hAnsi="Arial"/>
                  <w:sz w:val="18"/>
                  <w:szCs w:val="18"/>
                  <w:color w:val="0000EE"/>
                </w:rPr>
                <w:t>32</w:t>
              </w:r>
            </w:hyperlink>
            <w:r>
              <w:rPr>
                <w:rFonts w:ascii="Arial" w:cs="Arial" w:eastAsia="Arial" w:hAnsi="Arial"/>
                <w:sz w:val="18"/>
                <w:szCs w:val="18"/>
                <w:color w:val="000000"/>
              </w:rPr>
              <w:t>**</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Certifications pursuant to Rule 13a-14(b) under the Securities Exchange Act of 1934 and 18 U.S.C. § 1350.</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337" w:lineRule="exact"/>
        <w:rPr>
          <w:sz w:val="20"/>
          <w:szCs w:val="20"/>
          <w:color w:val="auto"/>
        </w:rPr>
      </w:pPr>
    </w:p>
    <w:p>
      <w:pPr>
        <w:ind w:left="1760" w:hanging="1089"/>
        <w:spacing w:after="0"/>
        <w:tabs>
          <w:tab w:leader="none" w:pos="1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2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58" w:lineRule="exact"/>
        <w:rPr>
          <w:sz w:val="20"/>
          <w:szCs w:val="20"/>
          <w:color w:val="auto"/>
        </w:rPr>
      </w:pPr>
    </w:p>
    <w:p>
      <w:pPr>
        <w:jc w:val="both"/>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08"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60" w:firstLine="656"/>
        <w:spacing w:after="0" w:line="342" w:lineRule="auto"/>
        <w:tabs>
          <w:tab w:leader="none" w:pos="13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2017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2, 2017</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2, 2017</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3"/>
    </w:lvl>
  </w:abstractNum>
  <w:abstractNum w:abstractNumId="9">
    <w:nsid w:val="721DA317"/>
    <w:multiLevelType w:val="hybridMultilevel"/>
    <w:lvl w:ilvl="0">
      <w:lvlJc w:val="left"/>
      <w:lvlText w:val="%1."/>
      <w:numFmt w:val="decimal"/>
      <w:start w:val="4"/>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2019-12-29T05:53:19Z</dcterms:created>
  <dcterms:modified xsi:type="dcterms:W3CDTF">2019-12-29T05:53:19Z</dcterms:modified>
</cp:coreProperties>
</file>